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58AE" w:rsidP="001E58AE">
      <w:pPr>
        <w:pStyle w:val="Title"/>
      </w:pPr>
      <w:r>
        <w:fldChar w:fldCharType="begin"/>
      </w:r>
      <w:r>
        <w:instrText xml:space="preserve"> TITLE   \* MERGEFORMAT </w:instrText>
      </w:r>
      <w:r>
        <w:fldChar w:fldCharType="separate"/>
      </w:r>
      <w:r>
        <w:t>WRHCL304A Perform colour correction</w:t>
      </w:r>
      <w:r>
        <w:fldChar w:fldCharType="end"/>
      </w:r>
    </w:p>
    <w:p w:rsidR="001E58AE" w:rsidP="001E58AE">
      <w:pPr>
        <w:pStyle w:val="Version"/>
        <w:sectPr w:rsidSect="005F00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F003B" w:rsidP="005F003B">
      <w:pPr>
        <w:pStyle w:val="SuperHeading"/>
      </w:pPr>
      <w:r w:rsidRPr="005F003B">
        <w:t>WRHCL304A Perform colour correction</w:t>
      </w:r>
    </w:p>
    <w:p w:rsidR="00000000" w:rsidRPr="005F003B" w:rsidP="005F003B">
      <w:pPr>
        <w:pStyle w:val="SuperHeading"/>
      </w:pPr>
    </w:p>
    <w:p w:rsidR="00000000" w:rsidRPr="005F003B" w:rsidP="005F003B">
      <w:pPr>
        <w:pStyle w:val="Heading1"/>
      </w:pPr>
      <w:bookmarkStart w:id="1" w:name="O_152427"/>
      <w:bookmarkEnd w:id="1"/>
      <w:r w:rsidRPr="005F003B">
        <w:t>Modification History</w:t>
      </w:r>
    </w:p>
    <w:p w:rsidR="00000000" w:rsidRPr="005F003B" w:rsidP="005F003B">
      <w:pPr>
        <w:pStyle w:val="BodyText"/>
      </w:pPr>
      <w:r w:rsidRPr="005F003B">
        <w:t>Not applicable.</w:t>
      </w:r>
    </w:p>
    <w:p w:rsidR="00000000" w:rsidRPr="005F003B" w:rsidP="005F003B">
      <w:pPr>
        <w:pStyle w:val="AllowPageBreak"/>
      </w:pPr>
    </w:p>
    <w:p w:rsidR="00000000" w:rsidRPr="005F003B" w:rsidP="005F003B">
      <w:pPr>
        <w:pStyle w:val="Heading1"/>
      </w:pPr>
      <w:bookmarkStart w:id="2" w:name="O_152428"/>
      <w:bookmarkEnd w:id="2"/>
      <w:r w:rsidRPr="005F003B">
        <w:t>Unit Descriptor</w:t>
      </w:r>
    </w:p>
    <w:tbl>
      <w:tblPr>
        <w:tblW w:w="9214" w:type="dxa"/>
        <w:tblLayout w:type="fixed"/>
        <w:tblCellMar>
          <w:left w:w="62" w:type="dxa"/>
          <w:right w:w="62" w:type="dxa"/>
        </w:tblCellMar>
        <w:tblLook w:val="0000"/>
      </w:tblPr>
      <w:tblGrid>
        <w:gridCol w:w="2552"/>
        <w:gridCol w:w="6662"/>
      </w:tblGrid>
      <w:tr w:rsidTr="001E58AE">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F003B" w:rsidP="005F003B">
            <w:pPr>
              <w:pStyle w:val="BodyText"/>
            </w:pPr>
            <w:r w:rsidRPr="005F003B">
              <w:t>This unit describes the skills and knowledge required to select and apply techniques to change unwanted hair colo</w:t>
            </w:r>
            <w:r w:rsidRPr="005F003B">
              <w:t>ur and tones to achieve the desired base colour and tone.</w:t>
            </w:r>
          </w:p>
          <w:p w:rsidR="00000000" w:rsidRPr="005F003B" w:rsidP="005F003B">
            <w:pPr>
              <w:pStyle w:val="BodyText"/>
            </w:pPr>
            <w:r w:rsidRPr="005F003B">
              <w:t>This unit of competency will apply to a range of hairdressing services and roles in the workplace.</w:t>
            </w:r>
          </w:p>
        </w:tc>
      </w:tr>
    </w:tbl>
    <w:p w:rsidR="00000000" w:rsidRPr="005F003B" w:rsidP="005F003B">
      <w:pPr>
        <w:pStyle w:val="BodyText"/>
      </w:pPr>
    </w:p>
    <w:p w:rsidR="00000000" w:rsidRPr="005F003B" w:rsidP="005F003B">
      <w:pPr>
        <w:pStyle w:val="AllowPageBreak"/>
      </w:pPr>
    </w:p>
    <w:p w:rsidR="00000000" w:rsidRPr="005F003B" w:rsidP="005F003B">
      <w:pPr>
        <w:pStyle w:val="Heading1"/>
      </w:pPr>
      <w:bookmarkStart w:id="3" w:name="O_152429"/>
      <w:bookmarkEnd w:id="3"/>
      <w:r w:rsidRPr="005F003B">
        <w:t>Application of the Unit</w:t>
      </w:r>
    </w:p>
    <w:tbl>
      <w:tblPr>
        <w:tblW w:w="9214" w:type="dxa"/>
        <w:tblLayout w:type="fixed"/>
        <w:tblCellMar>
          <w:left w:w="62" w:type="dxa"/>
          <w:right w:w="62" w:type="dxa"/>
        </w:tblCellMar>
        <w:tblLook w:val="0000"/>
      </w:tblPr>
      <w:tblGrid>
        <w:gridCol w:w="2552"/>
        <w:gridCol w:w="6662"/>
      </w:tblGrid>
      <w:tr w:rsidTr="001E58AE">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F003B" w:rsidP="005F003B">
            <w:pPr>
              <w:pStyle w:val="BodyText"/>
            </w:pPr>
            <w:r w:rsidRPr="005F003B">
              <w:t>This unit requires the operator to communicate with clients regarding unwanted hair colour and tone and their desired base colour and tone. It involves analysis of unwanted tones and the selection and application of colour products to neutralise and/or cha</w:t>
            </w:r>
            <w:r w:rsidRPr="005F003B">
              <w:t>nge unwanted tones. Knowledge of the colour wheel, the workplace colour product range, relevant local health regulations and the workplace approach to colour services is required.</w:t>
            </w:r>
          </w:p>
          <w:p w:rsidR="00000000" w:rsidRPr="005F003B" w:rsidP="005F003B">
            <w:pPr>
              <w:pStyle w:val="BodyText"/>
            </w:pPr>
            <w:r w:rsidRPr="005F003B">
              <w:t>In the context of an assessment-only and/or a training delivery and assessme</w:t>
            </w:r>
            <w:r w:rsidRPr="005F003B">
              <w:t>nt pathway, units of competency that relate to this unit are identified in the evidence guide of this unit.</w:t>
            </w:r>
          </w:p>
        </w:tc>
      </w:tr>
    </w:tbl>
    <w:p w:rsidR="00000000" w:rsidRPr="005F003B" w:rsidP="005F003B">
      <w:pPr>
        <w:pStyle w:val="BodyText"/>
      </w:pPr>
    </w:p>
    <w:p w:rsidR="00000000" w:rsidRPr="005F003B" w:rsidP="005F003B">
      <w:pPr>
        <w:pStyle w:val="AllowPageBreak"/>
      </w:pPr>
    </w:p>
    <w:p w:rsidR="00000000" w:rsidRPr="005F003B" w:rsidP="005F003B">
      <w:pPr>
        <w:pStyle w:val="Heading1"/>
      </w:pPr>
      <w:bookmarkStart w:id="4" w:name="O_152430"/>
      <w:bookmarkEnd w:id="4"/>
      <w:r w:rsidRPr="005F003B">
        <w:t>Licensing/Regulatory Information</w:t>
      </w:r>
    </w:p>
    <w:p w:rsidR="00000000" w:rsidRPr="005F003B" w:rsidP="005F003B">
      <w:pPr>
        <w:pStyle w:val="BodyText"/>
      </w:pPr>
      <w:r w:rsidRPr="005F003B">
        <w:t>Not applicable.</w:t>
      </w:r>
    </w:p>
    <w:p w:rsidR="00000000" w:rsidRPr="005F003B" w:rsidP="005F003B">
      <w:pPr>
        <w:pStyle w:val="AllowPageBreak"/>
      </w:pPr>
    </w:p>
    <w:p w:rsidR="00000000" w:rsidRPr="005F003B" w:rsidP="005F003B">
      <w:pPr>
        <w:pStyle w:val="Heading1"/>
      </w:pPr>
      <w:bookmarkStart w:id="5" w:name="O_152432"/>
      <w:bookmarkEnd w:id="5"/>
      <w:r w:rsidRPr="005F003B">
        <w:t>Pre-Requisites</w:t>
      </w:r>
    </w:p>
    <w:p w:rsidR="00000000" w:rsidRPr="005F003B" w:rsidP="005F003B">
      <w:pPr>
        <w:pStyle w:val="BodyText"/>
      </w:pPr>
      <w:r w:rsidRPr="005F003B">
        <w:t>Not applicable.</w:t>
      </w:r>
    </w:p>
    <w:p w:rsidR="00000000" w:rsidRPr="005F003B" w:rsidP="005F003B">
      <w:pPr>
        <w:pStyle w:val="AllowPageBreak"/>
      </w:pPr>
    </w:p>
    <w:p w:rsidR="00000000" w:rsidRPr="005F003B" w:rsidP="005F003B">
      <w:pPr>
        <w:pStyle w:val="Heading1"/>
      </w:pPr>
      <w:bookmarkStart w:id="6" w:name="O_152431"/>
      <w:bookmarkEnd w:id="6"/>
      <w:r w:rsidRPr="005F003B">
        <w:t>Employability Skills Information</w:t>
      </w:r>
    </w:p>
    <w:tbl>
      <w:tblPr>
        <w:tblW w:w="9214" w:type="dxa"/>
        <w:tblLayout w:type="fixed"/>
        <w:tblCellMar>
          <w:left w:w="62" w:type="dxa"/>
          <w:right w:w="62" w:type="dxa"/>
        </w:tblCellMar>
        <w:tblLook w:val="0000"/>
      </w:tblPr>
      <w:tblGrid>
        <w:gridCol w:w="2552"/>
        <w:gridCol w:w="6662"/>
      </w:tblGrid>
      <w:tr w:rsidTr="001E58AE">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F003B" w:rsidP="005F003B">
            <w:pPr>
              <w:pStyle w:val="BodyText"/>
            </w:pPr>
            <w:r w:rsidRPr="005F003B">
              <w:t>This unit contains employability skills.</w:t>
            </w:r>
          </w:p>
        </w:tc>
      </w:tr>
    </w:tbl>
    <w:p w:rsidR="00000000" w:rsidRPr="005F003B" w:rsidP="005F003B">
      <w:pPr>
        <w:pStyle w:val="BodyText"/>
      </w:pPr>
    </w:p>
    <w:p w:rsidR="00000000" w:rsidRPr="005F003B" w:rsidP="005F003B">
      <w:pPr>
        <w:pStyle w:val="AllowPageBreak"/>
      </w:pPr>
    </w:p>
    <w:p w:rsidR="00000000" w:rsidRPr="005F003B" w:rsidP="005F003B">
      <w:pPr>
        <w:pStyle w:val="Heading1"/>
      </w:pPr>
      <w:bookmarkStart w:id="7" w:name="O_152433"/>
      <w:bookmarkEnd w:id="7"/>
      <w:r w:rsidRPr="005F003B">
        <w:t>Elements and Performance Criteria Pre-Content</w:t>
      </w:r>
    </w:p>
    <w:tbl>
      <w:tblPr>
        <w:tblW w:w="9308" w:type="dxa"/>
        <w:tblLayout w:type="fixed"/>
        <w:tblCellMar>
          <w:left w:w="62" w:type="dxa"/>
          <w:right w:w="62" w:type="dxa"/>
        </w:tblCellMar>
        <w:tblLook w:val="0000"/>
      </w:tblPr>
      <w:tblGrid>
        <w:gridCol w:w="2552"/>
        <w:gridCol w:w="6756"/>
      </w:tblGrid>
      <w:tr w:rsidTr="001E58AE">
        <w:tblPrEx>
          <w:tblW w:w="9308"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t>Elements describe the essential outcomes of a unit of competency.</w:t>
            </w:r>
          </w:p>
        </w:tc>
        <w:tc>
          <w:tcPr>
            <w:tcW w:w="6756" w:type="dxa"/>
            <w:tcBorders>
              <w:top w:val="nil"/>
              <w:left w:val="nil"/>
              <w:bottom w:val="nil"/>
              <w:right w:val="nil"/>
            </w:tcBorders>
            <w:tcMar>
              <w:top w:w="0" w:type="dxa"/>
              <w:left w:w="62" w:type="dxa"/>
              <w:bottom w:w="0" w:type="dxa"/>
              <w:right w:w="62" w:type="dxa"/>
            </w:tcMar>
          </w:tcPr>
          <w:p w:rsidR="00000000" w:rsidRPr="005F003B" w:rsidP="005F003B">
            <w:pPr>
              <w:pStyle w:val="BodyText"/>
            </w:pPr>
            <w:r w:rsidRPr="005F003B">
              <w:t xml:space="preserve">Performance criteria describe </w:t>
            </w:r>
            <w:r w:rsidRPr="005F003B">
              <w:t xml:space="preserve">the level of performance required to demonstrate achievement of the element. The variables for the </w:t>
            </w:r>
            <w:r w:rsidRPr="005F003B">
              <w:rPr>
                <w:rStyle w:val="BoldandItalics"/>
              </w:rPr>
              <w:t>bold italicised</w:t>
            </w:r>
            <w:r w:rsidRPr="005F003B">
              <w:t xml:space="preserve"> text are outlined in the range statement. Assessment of performance is to be consistent with the evidence guide.</w:t>
            </w:r>
          </w:p>
        </w:tc>
      </w:tr>
    </w:tbl>
    <w:p w:rsidR="00000000" w:rsidRPr="005F003B" w:rsidP="005F003B">
      <w:pPr>
        <w:pStyle w:val="BodyText"/>
      </w:pPr>
    </w:p>
    <w:p w:rsidR="00000000" w:rsidRPr="005F003B" w:rsidP="005F003B">
      <w:pPr>
        <w:pStyle w:val="AllowPageBreak"/>
      </w:pPr>
    </w:p>
    <w:p w:rsidR="00000000" w:rsidRPr="005F003B" w:rsidP="005F003B">
      <w:pPr>
        <w:pStyle w:val="Heading1"/>
      </w:pPr>
      <w:bookmarkStart w:id="8" w:name="O_152434"/>
      <w:bookmarkEnd w:id="8"/>
      <w:r w:rsidRPr="005F003B">
        <w:t xml:space="preserve">Elements </w:t>
      </w:r>
      <w:r w:rsidRPr="005F003B">
        <w:t>and Performance Criteria</w:t>
      </w:r>
    </w:p>
    <w:tbl>
      <w:tblPr>
        <w:tblW w:w="9308" w:type="dxa"/>
        <w:tblLayout w:type="fixed"/>
        <w:tblCellMar>
          <w:left w:w="62" w:type="dxa"/>
          <w:right w:w="62" w:type="dxa"/>
        </w:tblCellMar>
        <w:tblLook w:val="0000"/>
      </w:tblPr>
      <w:tblGrid>
        <w:gridCol w:w="426"/>
        <w:gridCol w:w="2126"/>
        <w:gridCol w:w="567"/>
        <w:gridCol w:w="6095"/>
        <w:gridCol w:w="94"/>
      </w:tblGrid>
      <w:tr w:rsidTr="001E58AE">
        <w:tblPrEx>
          <w:tblW w:w="9308" w:type="dxa"/>
          <w:tblLayout w:type="fixed"/>
          <w:tblCellMar>
            <w:left w:w="62" w:type="dxa"/>
            <w:right w:w="62" w:type="dxa"/>
          </w:tblCellMar>
          <w:tblLook w:val="0000"/>
        </w:tblPrEx>
        <w:trPr>
          <w:gridAfter w:val="1"/>
          <w:wAfter w:w="94" w:type="dxa"/>
          <w:tblHeader/>
        </w:trPr>
        <w:tc>
          <w:tcPr>
            <w:tcW w:w="2552" w:type="dxa"/>
            <w:gridSpan w:val="2"/>
            <w:tcBorders>
              <w:top w:val="nil"/>
              <w:left w:val="nil"/>
              <w:bottom w:val="nil"/>
              <w:right w:val="nil"/>
            </w:tcBorders>
            <w:tcMar>
              <w:top w:w="0" w:type="dxa"/>
              <w:left w:w="62" w:type="dxa"/>
              <w:bottom w:w="0" w:type="dxa"/>
              <w:right w:w="62" w:type="dxa"/>
            </w:tcMar>
          </w:tcPr>
          <w:p w:rsidR="00000000" w:rsidRPr="005F003B" w:rsidP="005F003B">
            <w:pPr>
              <w:pStyle w:val="BodyText"/>
            </w:pPr>
            <w:r w:rsidRPr="005F003B">
              <w:rPr>
                <w:rStyle w:val="SpecialBold"/>
              </w:rPr>
              <w:t>ELEMENT</w:t>
            </w:r>
          </w:p>
        </w:tc>
        <w:tc>
          <w:tcPr>
            <w:tcW w:w="6662" w:type="dxa"/>
            <w:gridSpan w:val="2"/>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rPr>
                <w:rStyle w:val="SpecialBold"/>
              </w:rPr>
              <w:t>PERFORMANCE CRITERIA</w:t>
            </w:r>
          </w:p>
        </w:tc>
      </w:tr>
      <w:tr w:rsidTr="001E58AE">
        <w:tblPrEx>
          <w:tblW w:w="9308"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t>1</w:t>
            </w:r>
          </w:p>
        </w:tc>
        <w:tc>
          <w:tcPr>
            <w:tcW w:w="2126" w:type="dxa"/>
            <w:vMerge w:val="restart"/>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t>Consult with client.</w:t>
            </w:r>
          </w:p>
        </w:tc>
        <w:tc>
          <w:tcPr>
            <w:tcW w:w="567" w:type="dxa"/>
            <w:tcBorders>
              <w:top w:val="nil"/>
              <w:left w:val="nil"/>
              <w:bottom w:val="nil"/>
              <w:right w:val="nil"/>
            </w:tcBorders>
            <w:tcMar>
              <w:top w:w="0" w:type="dxa"/>
              <w:left w:w="62" w:type="dxa"/>
              <w:bottom w:w="0" w:type="dxa"/>
              <w:right w:w="62" w:type="dxa"/>
            </w:tcMar>
          </w:tcPr>
          <w:p w:rsidR="00000000" w:rsidRPr="005F003B" w:rsidP="005F003B">
            <w:pPr>
              <w:pStyle w:val="BodyText"/>
            </w:pPr>
            <w:r w:rsidRPr="005F003B">
              <w:t>1.1</w:t>
            </w:r>
          </w:p>
        </w:tc>
        <w:tc>
          <w:tcPr>
            <w:tcW w:w="6189" w:type="dxa"/>
            <w:gridSpan w:val="2"/>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rPr>
                <w:rStyle w:val="BoldandItalics"/>
              </w:rPr>
              <w:t>Client characteristics</w:t>
            </w:r>
            <w:r w:rsidRPr="005F003B">
              <w:t xml:space="preserve"> are analysed through physical and visual examination.</w:t>
            </w:r>
          </w:p>
        </w:tc>
      </w:tr>
      <w:tr w:rsidTr="001E58AE">
        <w:tblPrEx>
          <w:tblW w:w="9308"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5F003B" w:rsidP="005F003B">
            <w:pPr>
              <w:pStyle w:val="BodyText"/>
            </w:pPr>
            <w:r w:rsidRPr="005F003B">
              <w:t>1.2</w:t>
            </w:r>
          </w:p>
        </w:tc>
        <w:tc>
          <w:tcPr>
            <w:tcW w:w="6189" w:type="dxa"/>
            <w:gridSpan w:val="2"/>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rPr>
                <w:rStyle w:val="BoldandItalics"/>
              </w:rPr>
              <w:t>Client history</w:t>
            </w:r>
            <w:r w:rsidRPr="005F003B">
              <w:t xml:space="preserve"> is referred to and previous colour and products used are discussed with </w:t>
            </w:r>
            <w:r w:rsidRPr="005F003B">
              <w:rPr>
                <w:rStyle w:val="BoldandItalics"/>
              </w:rPr>
              <w:t>client</w:t>
            </w:r>
            <w:r w:rsidRPr="005F003B">
              <w:t xml:space="preserve"> where applicable.</w:t>
            </w:r>
          </w:p>
        </w:tc>
      </w:tr>
      <w:tr w:rsidTr="001E58AE">
        <w:tblPrEx>
          <w:tblW w:w="9308"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5F003B" w:rsidP="005F003B">
            <w:pPr>
              <w:pStyle w:val="BodyText"/>
            </w:pPr>
            <w:r w:rsidRPr="005F003B">
              <w:t>1.3</w:t>
            </w:r>
          </w:p>
        </w:tc>
        <w:tc>
          <w:tcPr>
            <w:tcW w:w="6189" w:type="dxa"/>
            <w:gridSpan w:val="2"/>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rPr>
                <w:rStyle w:val="BoldandItalics"/>
              </w:rPr>
              <w:t>Client</w:t>
            </w:r>
            <w:r w:rsidRPr="005F003B">
              <w:t xml:space="preserve"> satisfaction or dissatisfaction with current hair colour and tone and client expectations are established through questioning and active listening.</w:t>
            </w:r>
          </w:p>
        </w:tc>
      </w:tr>
      <w:tr w:rsidTr="001E58AE">
        <w:tblPrEx>
          <w:tblW w:w="9308"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5F003B" w:rsidP="005F003B">
            <w:pPr>
              <w:pStyle w:val="BodyText"/>
            </w:pPr>
            <w:r w:rsidRPr="005F003B">
              <w:t>1.4</w:t>
            </w:r>
          </w:p>
        </w:tc>
        <w:tc>
          <w:tcPr>
            <w:tcW w:w="6189" w:type="dxa"/>
            <w:gridSpan w:val="2"/>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rPr>
                <w:rStyle w:val="BoldandItalics"/>
              </w:rPr>
              <w:t>Contraindications</w:t>
            </w:r>
            <w:r w:rsidRPr="005F003B">
              <w:t xml:space="preserve"> to proceeding with colour correction services are identified and explained to client where identified.</w:t>
            </w:r>
          </w:p>
        </w:tc>
      </w:tr>
      <w:tr w:rsidTr="001E58AE">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5F003B">
            <w:pPr>
              <w:pStyle w:val="BodyText"/>
              <w:rPr>
                <w:lang w:val="en-NZ"/>
              </w:rPr>
            </w:pPr>
          </w:p>
        </w:tc>
      </w:tr>
      <w:tr w:rsidTr="001E58AE">
        <w:tblPrEx>
          <w:tblW w:w="9308"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t>2</w:t>
            </w:r>
          </w:p>
        </w:tc>
        <w:tc>
          <w:tcPr>
            <w:tcW w:w="2126" w:type="dxa"/>
            <w:vMerge w:val="restart"/>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t>Analyse unwanted colour and tones and desired colour finish.</w:t>
            </w:r>
          </w:p>
        </w:tc>
        <w:tc>
          <w:tcPr>
            <w:tcW w:w="567" w:type="dxa"/>
            <w:tcBorders>
              <w:top w:val="nil"/>
              <w:left w:val="nil"/>
              <w:bottom w:val="nil"/>
              <w:right w:val="nil"/>
            </w:tcBorders>
            <w:tcMar>
              <w:top w:w="0" w:type="dxa"/>
              <w:left w:w="62" w:type="dxa"/>
              <w:bottom w:w="0" w:type="dxa"/>
              <w:right w:w="62" w:type="dxa"/>
            </w:tcMar>
          </w:tcPr>
          <w:p w:rsidR="00000000" w:rsidRPr="005F003B" w:rsidP="005F003B">
            <w:pPr>
              <w:pStyle w:val="BodyText"/>
            </w:pPr>
            <w:r w:rsidRPr="005F003B">
              <w:t>2.1</w:t>
            </w:r>
          </w:p>
        </w:tc>
        <w:tc>
          <w:tcPr>
            <w:tcW w:w="6189" w:type="dxa"/>
            <w:gridSpan w:val="2"/>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rPr>
                <w:rStyle w:val="BoldandItalics"/>
              </w:rPr>
              <w:t>Unwanted colour and tones</w:t>
            </w:r>
            <w:r w:rsidRPr="005F003B">
              <w:t xml:space="preserve"> are analysed through visual examination.</w:t>
            </w:r>
          </w:p>
        </w:tc>
      </w:tr>
      <w:tr w:rsidTr="001E58AE">
        <w:tblPrEx>
          <w:tblW w:w="9308"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t>2.2</w:t>
            </w:r>
          </w:p>
        </w:tc>
        <w:tc>
          <w:tcPr>
            <w:tcW w:w="6189" w:type="dxa"/>
            <w:gridSpan w:val="2"/>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t>Target base colour and tone are confirmed with client through discussion and reference to manufacturer's colour charts.</w:t>
            </w:r>
          </w:p>
        </w:tc>
      </w:tr>
      <w:tr w:rsidTr="001E58AE">
        <w:tblPrEx>
          <w:tblW w:w="9308"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t>2.3</w:t>
            </w:r>
          </w:p>
        </w:tc>
        <w:tc>
          <w:tcPr>
            <w:tcW w:w="6189" w:type="dxa"/>
            <w:gridSpan w:val="2"/>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t>A strand test is applied where indicated by client analysis.</w:t>
            </w:r>
          </w:p>
        </w:tc>
      </w:tr>
      <w:tr w:rsidTr="001E58AE">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5F003B">
            <w:pPr>
              <w:pStyle w:val="BodyText"/>
              <w:rPr>
                <w:lang w:val="en-NZ"/>
              </w:rPr>
            </w:pPr>
          </w:p>
        </w:tc>
      </w:tr>
      <w:tr w:rsidTr="001E58AE">
        <w:tblPrEx>
          <w:tblW w:w="9308"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t>3</w:t>
            </w:r>
          </w:p>
        </w:tc>
        <w:tc>
          <w:tcPr>
            <w:tcW w:w="2126" w:type="dxa"/>
            <w:vMerge w:val="restart"/>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t>Select and apply products.</w:t>
            </w:r>
          </w:p>
        </w:tc>
        <w:tc>
          <w:tcPr>
            <w:tcW w:w="567" w:type="dxa"/>
            <w:tcBorders>
              <w:top w:val="nil"/>
              <w:left w:val="nil"/>
              <w:bottom w:val="nil"/>
              <w:right w:val="nil"/>
            </w:tcBorders>
            <w:tcMar>
              <w:top w:w="0" w:type="dxa"/>
              <w:left w:w="62" w:type="dxa"/>
              <w:bottom w:w="0" w:type="dxa"/>
              <w:right w:w="62" w:type="dxa"/>
            </w:tcMar>
          </w:tcPr>
          <w:p w:rsidR="00000000" w:rsidRPr="005F003B" w:rsidP="005F003B">
            <w:pPr>
              <w:pStyle w:val="BodyText"/>
            </w:pPr>
            <w:r w:rsidRPr="005F003B">
              <w:t>3.1</w:t>
            </w:r>
          </w:p>
        </w:tc>
        <w:tc>
          <w:tcPr>
            <w:tcW w:w="6189" w:type="dxa"/>
            <w:gridSpan w:val="2"/>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rPr>
                <w:rStyle w:val="BoldandItalics"/>
              </w:rPr>
              <w:t>Colour correction products</w:t>
            </w:r>
            <w:r w:rsidRPr="005F003B">
              <w:t xml:space="preserve"> are selected to neutralise unwanted colour and tones and achieve desired base colour and tone.</w:t>
            </w:r>
          </w:p>
        </w:tc>
      </w:tr>
      <w:tr w:rsidTr="001E58AE">
        <w:tblPrEx>
          <w:tblW w:w="9308"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t>3.2</w:t>
            </w:r>
          </w:p>
        </w:tc>
        <w:tc>
          <w:tcPr>
            <w:tcW w:w="6189" w:type="dxa"/>
            <w:gridSpan w:val="2"/>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t>Product application, processing and removal are selected and implemented according to manufacturer's instructions to achieve desired colour result.</w:t>
            </w:r>
          </w:p>
        </w:tc>
      </w:tr>
      <w:tr w:rsidTr="001E58AE">
        <w:tblPrEx>
          <w:tblW w:w="9308"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5F003B" w:rsidP="005F003B">
            <w:pPr>
              <w:pStyle w:val="BodyText"/>
            </w:pPr>
            <w:r w:rsidRPr="005F003B">
              <w:t>3.3</w:t>
            </w:r>
          </w:p>
        </w:tc>
        <w:tc>
          <w:tcPr>
            <w:tcW w:w="6189" w:type="dxa"/>
            <w:gridSpan w:val="2"/>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rPr>
                <w:rStyle w:val="BoldandItalics"/>
              </w:rPr>
              <w:t>Client and operator comfort and safety</w:t>
            </w:r>
            <w:r w:rsidRPr="005F003B">
              <w:t xml:space="preserve"> are ensured at all stages of the service according to </w:t>
            </w:r>
            <w:r w:rsidRPr="005F003B">
              <w:rPr>
                <w:rStyle w:val="BoldandItalics"/>
              </w:rPr>
              <w:t>relevant legislation</w:t>
            </w:r>
            <w:r w:rsidRPr="005F003B">
              <w:t xml:space="preserve">, manufacturer's product safety data sheets, and </w:t>
            </w:r>
            <w:r w:rsidRPr="005F003B">
              <w:rPr>
                <w:rStyle w:val="BoldandItalics"/>
              </w:rPr>
              <w:t>workplace policies and procedures</w:t>
            </w:r>
            <w:r w:rsidRPr="005F003B">
              <w:t>.</w:t>
            </w:r>
          </w:p>
        </w:tc>
      </w:tr>
      <w:tr w:rsidTr="001E58AE">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5F003B">
            <w:pPr>
              <w:pStyle w:val="BodyText"/>
              <w:rPr>
                <w:lang w:val="en-NZ"/>
              </w:rPr>
            </w:pPr>
          </w:p>
        </w:tc>
      </w:tr>
      <w:tr w:rsidTr="001E58AE">
        <w:tblPrEx>
          <w:tblW w:w="9308"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t>4</w:t>
            </w:r>
          </w:p>
        </w:tc>
        <w:tc>
          <w:tcPr>
            <w:tcW w:w="2126" w:type="dxa"/>
            <w:vMerge w:val="restart"/>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t>Provide after care advice.</w:t>
            </w:r>
          </w:p>
        </w:tc>
        <w:tc>
          <w:tcPr>
            <w:tcW w:w="567" w:type="dxa"/>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t>4.1</w:t>
            </w:r>
          </w:p>
        </w:tc>
        <w:tc>
          <w:tcPr>
            <w:tcW w:w="6189" w:type="dxa"/>
            <w:gridSpan w:val="2"/>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t>Advice on appropriate colour protective shampoos and conditioners is provided to client.</w:t>
            </w:r>
          </w:p>
        </w:tc>
      </w:tr>
      <w:tr w:rsidTr="001E58AE">
        <w:tblPrEx>
          <w:tblW w:w="9308"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t>4.2</w:t>
            </w:r>
          </w:p>
        </w:tc>
        <w:tc>
          <w:tcPr>
            <w:tcW w:w="6189" w:type="dxa"/>
            <w:gridSpan w:val="2"/>
            <w:tcBorders>
              <w:top w:val="nil"/>
              <w:left w:val="nil"/>
              <w:bottom w:val="nil"/>
              <w:right w:val="nil"/>
            </w:tcBorders>
            <w:tcMar>
              <w:top w:w="0" w:type="dxa"/>
              <w:left w:w="62" w:type="dxa"/>
              <w:bottom w:w="0" w:type="dxa"/>
              <w:right w:w="62" w:type="dxa"/>
            </w:tcMar>
          </w:tcPr>
          <w:p w:rsidR="00000000" w:rsidRPr="005F003B" w:rsidP="005F003B">
            <w:pPr>
              <w:pStyle w:val="BodyText"/>
            </w:pPr>
            <w:r w:rsidRPr="005F003B">
              <w:t>Sun protection strategies are suggested to client.</w:t>
            </w:r>
          </w:p>
        </w:tc>
      </w:tr>
    </w:tbl>
    <w:p w:rsidR="00000000" w:rsidRPr="005F003B" w:rsidP="005F003B">
      <w:pPr>
        <w:pStyle w:val="BodyText"/>
      </w:pPr>
    </w:p>
    <w:p w:rsidR="00000000" w:rsidRPr="005F003B" w:rsidP="005F003B">
      <w:pPr>
        <w:pStyle w:val="AllowPageBreak"/>
      </w:pPr>
    </w:p>
    <w:p w:rsidR="00000000" w:rsidRPr="005F003B" w:rsidP="005F003B">
      <w:pPr>
        <w:pStyle w:val="Heading1"/>
      </w:pPr>
      <w:bookmarkStart w:id="9" w:name="O_152435"/>
      <w:bookmarkEnd w:id="9"/>
      <w:r w:rsidRPr="005F003B">
        <w:t>Required Skills and Knowledge</w:t>
      </w:r>
    </w:p>
    <w:tbl>
      <w:tblPr>
        <w:tblW w:w="9214" w:type="dxa"/>
        <w:tblLayout w:type="fixed"/>
        <w:tblCellMar>
          <w:left w:w="62" w:type="dxa"/>
          <w:right w:w="62" w:type="dxa"/>
        </w:tblCellMar>
        <w:tblLook w:val="0000"/>
      </w:tblPr>
      <w:tblGrid>
        <w:gridCol w:w="2880"/>
        <w:gridCol w:w="6334"/>
      </w:tblGrid>
      <w:tr w:rsidTr="001E58AE">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rPr>
                <w:rStyle w:val="SpecialBold"/>
              </w:rPr>
              <w:t>REQUIRED SKILLS AND KNOWLEDGE</w:t>
            </w:r>
          </w:p>
        </w:tc>
      </w:tr>
      <w:tr w:rsidTr="001E58AE">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rPr>
                <w:rStyle w:val="SpecialBold"/>
              </w:rPr>
              <w:t>This describes the essential skills and knowledge and their level</w:t>
            </w:r>
            <w:r w:rsidRPr="005F003B">
              <w:t xml:space="preserve">, </w:t>
            </w:r>
            <w:r w:rsidRPr="005F003B">
              <w:rPr>
                <w:rStyle w:val="SpecialBold"/>
              </w:rPr>
              <w:t>required for this unit</w:t>
            </w:r>
            <w:r w:rsidRPr="005F003B">
              <w:t>.</w:t>
            </w:r>
          </w:p>
        </w:tc>
      </w:tr>
      <w:tr w:rsidTr="001E58AE">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5F003B">
            <w:pPr>
              <w:pStyle w:val="BodyText"/>
              <w:rPr>
                <w:lang w:val="en-NZ"/>
              </w:rPr>
            </w:pPr>
          </w:p>
        </w:tc>
      </w:tr>
      <w:tr w:rsidTr="001E58AE">
        <w:tblPrEx>
          <w:tblW w:w="9214" w:type="dxa"/>
          <w:tblLayout w:type="fixed"/>
          <w:tblCellMar>
            <w:left w:w="62" w:type="dxa"/>
            <w:right w:w="62" w:type="dxa"/>
          </w:tblCellMar>
          <w:tblLook w:val="0000"/>
        </w:tblPrEx>
        <w:tc>
          <w:tcPr>
            <w:tcW w:w="2880" w:type="dxa"/>
            <w:vMerge w:val="restart"/>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rPr>
                <w:rStyle w:val="SpecialBold"/>
              </w:rPr>
              <w:t>Skills may include</w:t>
            </w:r>
            <w:r w:rsidRPr="005F003B">
              <w:t>:</w:t>
            </w:r>
          </w:p>
        </w:tc>
        <w:tc>
          <w:tcPr>
            <w:tcW w:w="6334" w:type="dxa"/>
            <w:tcBorders>
              <w:top w:val="nil"/>
              <w:left w:val="nil"/>
              <w:bottom w:val="nil"/>
              <w:right w:val="nil"/>
            </w:tcBorders>
            <w:tcMar>
              <w:top w:w="0" w:type="dxa"/>
              <w:left w:w="62" w:type="dxa"/>
              <w:bottom w:w="0" w:type="dxa"/>
              <w:right w:w="62" w:type="dxa"/>
            </w:tcMar>
          </w:tcPr>
          <w:p w:rsidR="00000000" w:rsidP="005F003B">
            <w:pPr>
              <w:pStyle w:val="ListBullet"/>
              <w:rPr>
                <w:lang w:val="en-NZ"/>
              </w:rPr>
            </w:pPr>
            <w:r w:rsidRPr="005F003B">
              <w:t>pre-colour service analysis</w:t>
            </w:r>
          </w:p>
        </w:tc>
      </w:tr>
      <w:tr w:rsidTr="001E58AE">
        <w:tblPrEx>
          <w:tblW w:w="9214" w:type="dxa"/>
          <w:tblLayout w:type="fixed"/>
          <w:tblCellMar>
            <w:left w:w="62" w:type="dxa"/>
            <w:right w:w="62" w:type="dxa"/>
          </w:tblCellMar>
          <w:tblLook w:val="0000"/>
        </w:tblPrEx>
        <w:tc>
          <w:tcPr>
            <w:tcW w:w="2880" w:type="dxa"/>
            <w:vMerge/>
            <w:tcBorders>
              <w:top w:val="nil"/>
              <w:left w:val="nil"/>
              <w:bottom w:val="nil"/>
              <w:right w:val="nil"/>
            </w:tcBorders>
            <w:tcMar>
              <w:top w:w="0" w:type="dxa"/>
              <w:left w:w="62" w:type="dxa"/>
              <w:bottom w:w="0" w:type="dxa"/>
              <w:right w:w="62" w:type="dxa"/>
            </w:tcMar>
          </w:tcPr>
          <w:p w:rsidR="00000000" w:rsidP="005F003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334" w:type="dxa"/>
            <w:tcBorders>
              <w:top w:val="nil"/>
              <w:left w:val="nil"/>
              <w:bottom w:val="nil"/>
              <w:right w:val="nil"/>
            </w:tcBorders>
            <w:tcMar>
              <w:top w:w="0" w:type="dxa"/>
              <w:left w:w="62" w:type="dxa"/>
              <w:bottom w:w="0" w:type="dxa"/>
              <w:right w:w="62" w:type="dxa"/>
            </w:tcMar>
          </w:tcPr>
          <w:p w:rsidR="00000000" w:rsidRPr="005F003B" w:rsidP="005F003B">
            <w:pPr>
              <w:pStyle w:val="ListBullet"/>
            </w:pPr>
            <w:r w:rsidRPr="005F003B">
              <w:t>communication techniques, including:</w:t>
            </w:r>
          </w:p>
          <w:p w:rsidR="00000000" w:rsidRPr="005F003B" w:rsidP="005F003B">
            <w:pPr>
              <w:pStyle w:val="ListBullet2"/>
            </w:pPr>
            <w:r w:rsidRPr="005F003B">
              <w:t>using open and closed questions</w:t>
            </w:r>
          </w:p>
          <w:p w:rsidR="00000000" w:rsidRPr="005F003B" w:rsidP="005F003B">
            <w:pPr>
              <w:pStyle w:val="ListBullet2"/>
            </w:pPr>
            <w:r w:rsidRPr="005F003B">
              <w:t>speaking clearly and concisely</w:t>
            </w:r>
          </w:p>
          <w:p w:rsidR="00000000" w:rsidRPr="005F003B" w:rsidP="005F003B">
            <w:pPr>
              <w:pStyle w:val="ListBullet2"/>
            </w:pPr>
            <w:r w:rsidRPr="005F003B">
              <w:t>using appropriate language</w:t>
            </w:r>
          </w:p>
          <w:p w:rsidR="00000000" w:rsidP="005F003B">
            <w:pPr>
              <w:pStyle w:val="ListBullet2"/>
              <w:rPr>
                <w:lang w:val="en-NZ"/>
              </w:rPr>
            </w:pPr>
            <w:r w:rsidRPr="005F003B">
              <w:t>non-verbal communication</w:t>
            </w:r>
          </w:p>
        </w:tc>
      </w:tr>
      <w:tr w:rsidTr="001E58AE">
        <w:tblPrEx>
          <w:tblW w:w="9214" w:type="dxa"/>
          <w:tblLayout w:type="fixed"/>
          <w:tblCellMar>
            <w:left w:w="62" w:type="dxa"/>
            <w:right w:w="62" w:type="dxa"/>
          </w:tblCellMar>
          <w:tblLook w:val="0000"/>
        </w:tblPrEx>
        <w:tc>
          <w:tcPr>
            <w:tcW w:w="2880" w:type="dxa"/>
            <w:vMerge/>
            <w:tcBorders>
              <w:top w:val="nil"/>
              <w:left w:val="nil"/>
              <w:bottom w:val="nil"/>
              <w:right w:val="nil"/>
            </w:tcBorders>
            <w:tcMar>
              <w:top w:w="0" w:type="dxa"/>
              <w:left w:w="62" w:type="dxa"/>
              <w:bottom w:w="0" w:type="dxa"/>
              <w:right w:w="62" w:type="dxa"/>
            </w:tcMar>
          </w:tcPr>
          <w:p w:rsidR="00000000" w:rsidP="005F003B">
            <w:pPr>
              <w:pStyle w:val="ListBullet2"/>
              <w:rPr>
                <w:lang w:val="en-NZ"/>
              </w:rPr>
            </w:pPr>
          </w:p>
        </w:tc>
        <w:tc>
          <w:tcPr>
            <w:tcW w:w="6334" w:type="dxa"/>
            <w:tcBorders>
              <w:top w:val="nil"/>
              <w:left w:val="nil"/>
              <w:bottom w:val="nil"/>
              <w:right w:val="nil"/>
            </w:tcBorders>
            <w:tcMar>
              <w:top w:w="0" w:type="dxa"/>
              <w:left w:w="62" w:type="dxa"/>
              <w:bottom w:w="0" w:type="dxa"/>
              <w:right w:w="62" w:type="dxa"/>
            </w:tcMar>
          </w:tcPr>
          <w:p w:rsidR="00000000" w:rsidP="005F003B">
            <w:pPr>
              <w:pStyle w:val="ListBullet"/>
              <w:rPr>
                <w:lang w:val="en-NZ"/>
              </w:rPr>
            </w:pPr>
            <w:r w:rsidRPr="005F003B">
              <w:t>client consultation</w:t>
            </w:r>
          </w:p>
        </w:tc>
      </w:tr>
      <w:tr w:rsidTr="001E58AE">
        <w:tblPrEx>
          <w:tblW w:w="9214" w:type="dxa"/>
          <w:tblLayout w:type="fixed"/>
          <w:tblCellMar>
            <w:left w:w="62" w:type="dxa"/>
            <w:right w:w="62" w:type="dxa"/>
          </w:tblCellMar>
          <w:tblLook w:val="0000"/>
        </w:tblPrEx>
        <w:tc>
          <w:tcPr>
            <w:tcW w:w="2880" w:type="dxa"/>
            <w:vMerge/>
            <w:tcBorders>
              <w:top w:val="nil"/>
              <w:left w:val="nil"/>
              <w:bottom w:val="nil"/>
              <w:right w:val="nil"/>
            </w:tcBorders>
            <w:tcMar>
              <w:top w:w="0" w:type="dxa"/>
              <w:left w:w="62" w:type="dxa"/>
              <w:bottom w:w="0" w:type="dxa"/>
              <w:right w:w="62" w:type="dxa"/>
            </w:tcMar>
          </w:tcPr>
          <w:p w:rsidR="00000000" w:rsidP="005F003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334" w:type="dxa"/>
            <w:tcBorders>
              <w:top w:val="nil"/>
              <w:left w:val="nil"/>
              <w:bottom w:val="nil"/>
              <w:right w:val="nil"/>
            </w:tcBorders>
            <w:tcMar>
              <w:top w:w="0" w:type="dxa"/>
              <w:left w:w="62" w:type="dxa"/>
              <w:bottom w:w="0" w:type="dxa"/>
              <w:right w:w="62" w:type="dxa"/>
            </w:tcMar>
          </w:tcPr>
          <w:p w:rsidR="00000000" w:rsidP="005F003B">
            <w:pPr>
              <w:pStyle w:val="ListBullet"/>
              <w:rPr>
                <w:lang w:val="en-NZ"/>
              </w:rPr>
            </w:pPr>
            <w:r w:rsidRPr="005F003B">
              <w:t>using manufacturer's colour charts</w:t>
            </w:r>
          </w:p>
        </w:tc>
      </w:tr>
      <w:tr w:rsidTr="001E58AE">
        <w:tblPrEx>
          <w:tblW w:w="9214" w:type="dxa"/>
          <w:tblLayout w:type="fixed"/>
          <w:tblCellMar>
            <w:left w:w="62" w:type="dxa"/>
            <w:right w:w="62" w:type="dxa"/>
          </w:tblCellMar>
          <w:tblLook w:val="0000"/>
        </w:tblPrEx>
        <w:tc>
          <w:tcPr>
            <w:tcW w:w="2880" w:type="dxa"/>
            <w:vMerge/>
            <w:tcBorders>
              <w:top w:val="nil"/>
              <w:left w:val="nil"/>
              <w:bottom w:val="nil"/>
              <w:right w:val="nil"/>
            </w:tcBorders>
            <w:tcMar>
              <w:top w:w="0" w:type="dxa"/>
              <w:left w:w="62" w:type="dxa"/>
              <w:bottom w:w="0" w:type="dxa"/>
              <w:right w:w="62" w:type="dxa"/>
            </w:tcMar>
          </w:tcPr>
          <w:p w:rsidR="00000000" w:rsidP="005F003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334" w:type="dxa"/>
            <w:tcBorders>
              <w:top w:val="nil"/>
              <w:left w:val="nil"/>
              <w:bottom w:val="nil"/>
              <w:right w:val="nil"/>
            </w:tcBorders>
            <w:tcMar>
              <w:top w:w="0" w:type="dxa"/>
              <w:left w:w="62" w:type="dxa"/>
              <w:bottom w:w="0" w:type="dxa"/>
              <w:right w:w="62" w:type="dxa"/>
            </w:tcMar>
          </w:tcPr>
          <w:p w:rsidR="00000000" w:rsidP="005F003B">
            <w:pPr>
              <w:pStyle w:val="ListBullet"/>
              <w:rPr>
                <w:lang w:val="en-NZ"/>
              </w:rPr>
            </w:pPr>
            <w:r w:rsidRPr="005F003B">
              <w:t>colour product selection</w:t>
            </w:r>
          </w:p>
        </w:tc>
      </w:tr>
      <w:tr w:rsidTr="001E58AE">
        <w:tblPrEx>
          <w:tblW w:w="9214" w:type="dxa"/>
          <w:tblLayout w:type="fixed"/>
          <w:tblCellMar>
            <w:left w:w="62" w:type="dxa"/>
            <w:right w:w="62" w:type="dxa"/>
          </w:tblCellMar>
          <w:tblLook w:val="0000"/>
        </w:tblPrEx>
        <w:tc>
          <w:tcPr>
            <w:tcW w:w="2880" w:type="dxa"/>
            <w:vMerge/>
            <w:tcBorders>
              <w:top w:val="nil"/>
              <w:left w:val="nil"/>
              <w:bottom w:val="nil"/>
              <w:right w:val="nil"/>
            </w:tcBorders>
            <w:tcMar>
              <w:top w:w="0" w:type="dxa"/>
              <w:left w:w="62" w:type="dxa"/>
              <w:bottom w:w="0" w:type="dxa"/>
              <w:right w:w="62" w:type="dxa"/>
            </w:tcMar>
          </w:tcPr>
          <w:p w:rsidR="00000000" w:rsidP="005F003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334" w:type="dxa"/>
            <w:tcBorders>
              <w:top w:val="nil"/>
              <w:left w:val="nil"/>
              <w:bottom w:val="nil"/>
              <w:right w:val="nil"/>
            </w:tcBorders>
            <w:tcMar>
              <w:top w:w="0" w:type="dxa"/>
              <w:left w:w="62" w:type="dxa"/>
              <w:bottom w:w="0" w:type="dxa"/>
              <w:right w:w="62" w:type="dxa"/>
            </w:tcMar>
          </w:tcPr>
          <w:p w:rsidR="00000000" w:rsidP="005F003B">
            <w:pPr>
              <w:pStyle w:val="ListBullet"/>
              <w:rPr>
                <w:lang w:val="en-NZ"/>
              </w:rPr>
            </w:pPr>
            <w:r w:rsidRPr="005F003B">
              <w:t>colour product application within defined workplace timeframes</w:t>
            </w:r>
          </w:p>
        </w:tc>
      </w:tr>
      <w:tr w:rsidTr="001E58AE">
        <w:tblPrEx>
          <w:tblW w:w="9214" w:type="dxa"/>
          <w:tblLayout w:type="fixed"/>
          <w:tblCellMar>
            <w:left w:w="62" w:type="dxa"/>
            <w:right w:w="62" w:type="dxa"/>
          </w:tblCellMar>
          <w:tblLook w:val="0000"/>
        </w:tblPrEx>
        <w:tc>
          <w:tcPr>
            <w:tcW w:w="2880" w:type="dxa"/>
            <w:vMerge/>
            <w:tcBorders>
              <w:top w:val="nil"/>
              <w:left w:val="nil"/>
              <w:bottom w:val="nil"/>
              <w:right w:val="nil"/>
            </w:tcBorders>
            <w:tcMar>
              <w:top w:w="0" w:type="dxa"/>
              <w:left w:w="62" w:type="dxa"/>
              <w:bottom w:w="0" w:type="dxa"/>
              <w:right w:w="62" w:type="dxa"/>
            </w:tcMar>
          </w:tcPr>
          <w:p w:rsidR="00000000" w:rsidP="005F003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334" w:type="dxa"/>
            <w:tcBorders>
              <w:top w:val="nil"/>
              <w:left w:val="nil"/>
              <w:bottom w:val="nil"/>
              <w:right w:val="nil"/>
            </w:tcBorders>
            <w:tcMar>
              <w:top w:w="0" w:type="dxa"/>
              <w:left w:w="62" w:type="dxa"/>
              <w:bottom w:w="0" w:type="dxa"/>
              <w:right w:w="62" w:type="dxa"/>
            </w:tcMar>
          </w:tcPr>
          <w:p w:rsidR="00000000" w:rsidP="005F003B">
            <w:pPr>
              <w:pStyle w:val="ListBullet"/>
              <w:rPr>
                <w:lang w:val="en-NZ"/>
              </w:rPr>
            </w:pPr>
            <w:r w:rsidRPr="005F003B">
              <w:t>residual colour removal</w:t>
            </w:r>
          </w:p>
        </w:tc>
      </w:tr>
      <w:tr w:rsidTr="001E58AE">
        <w:tblPrEx>
          <w:tblW w:w="9214" w:type="dxa"/>
          <w:tblLayout w:type="fixed"/>
          <w:tblCellMar>
            <w:left w:w="62" w:type="dxa"/>
            <w:right w:w="62" w:type="dxa"/>
          </w:tblCellMar>
          <w:tblLook w:val="0000"/>
        </w:tblPrEx>
        <w:tc>
          <w:tcPr>
            <w:tcW w:w="2880" w:type="dxa"/>
            <w:vMerge/>
            <w:tcBorders>
              <w:top w:val="nil"/>
              <w:left w:val="nil"/>
              <w:bottom w:val="nil"/>
              <w:right w:val="nil"/>
            </w:tcBorders>
            <w:tcMar>
              <w:top w:w="0" w:type="dxa"/>
              <w:left w:w="62" w:type="dxa"/>
              <w:bottom w:w="0" w:type="dxa"/>
              <w:right w:w="62" w:type="dxa"/>
            </w:tcMar>
          </w:tcPr>
          <w:p w:rsidR="00000000" w:rsidP="005F003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334" w:type="dxa"/>
            <w:tcBorders>
              <w:top w:val="nil"/>
              <w:left w:val="nil"/>
              <w:bottom w:val="nil"/>
              <w:right w:val="nil"/>
            </w:tcBorders>
            <w:tcMar>
              <w:top w:w="0" w:type="dxa"/>
              <w:left w:w="62" w:type="dxa"/>
              <w:bottom w:w="0" w:type="dxa"/>
              <w:right w:w="62" w:type="dxa"/>
            </w:tcMar>
          </w:tcPr>
          <w:p w:rsidR="00000000" w:rsidP="005F003B">
            <w:pPr>
              <w:pStyle w:val="ListBullet"/>
              <w:rPr>
                <w:lang w:val="en-NZ"/>
              </w:rPr>
            </w:pPr>
            <w:r w:rsidRPr="005F003B">
              <w:t xml:space="preserve">language, literacy and numeracy skills relevant to the role </w:t>
            </w:r>
            <w:r w:rsidRPr="005F003B">
              <w:t>and workplace requirements.</w:t>
            </w:r>
          </w:p>
        </w:tc>
      </w:tr>
      <w:tr w:rsidTr="001E58AE">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34" w:type="dxa"/>
            <w:tcBorders>
              <w:top w:val="nil"/>
              <w:left w:val="nil"/>
              <w:bottom w:val="nil"/>
              <w:right w:val="nil"/>
            </w:tcBorders>
            <w:tcMar>
              <w:top w:w="0" w:type="dxa"/>
              <w:left w:w="62" w:type="dxa"/>
              <w:bottom w:w="0" w:type="dxa"/>
              <w:right w:w="62" w:type="dxa"/>
            </w:tcMar>
          </w:tcPr>
          <w:p w:rsidR="00000000" w:rsidP="005F003B">
            <w:pPr>
              <w:pStyle w:val="BodyText"/>
              <w:rPr>
                <w:lang w:val="en-NZ"/>
              </w:rPr>
            </w:pPr>
          </w:p>
        </w:tc>
      </w:tr>
      <w:tr w:rsidTr="001E58AE">
        <w:tblPrEx>
          <w:tblW w:w="9214" w:type="dxa"/>
          <w:tblLayout w:type="fixed"/>
          <w:tblCellMar>
            <w:left w:w="62" w:type="dxa"/>
            <w:right w:w="62" w:type="dxa"/>
          </w:tblCellMar>
          <w:tblLook w:val="0000"/>
        </w:tblPrEx>
        <w:tc>
          <w:tcPr>
            <w:tcW w:w="2880" w:type="dxa"/>
            <w:vMerge w:val="restart"/>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rPr>
                <w:rStyle w:val="SpecialBold"/>
              </w:rPr>
              <w:t>Knowledge may include</w:t>
            </w:r>
            <w:r w:rsidRPr="005F003B">
              <w:t>:</w:t>
            </w:r>
          </w:p>
        </w:tc>
        <w:tc>
          <w:tcPr>
            <w:tcW w:w="6334" w:type="dxa"/>
            <w:tcBorders>
              <w:top w:val="nil"/>
              <w:left w:val="nil"/>
              <w:bottom w:val="nil"/>
              <w:right w:val="nil"/>
            </w:tcBorders>
            <w:tcMar>
              <w:top w:w="0" w:type="dxa"/>
              <w:left w:w="62" w:type="dxa"/>
              <w:bottom w:w="0" w:type="dxa"/>
              <w:right w:w="62" w:type="dxa"/>
            </w:tcMar>
          </w:tcPr>
          <w:p w:rsidR="00000000" w:rsidP="005F003B">
            <w:pPr>
              <w:pStyle w:val="ListBullet"/>
              <w:rPr>
                <w:lang w:val="en-NZ"/>
              </w:rPr>
            </w:pPr>
            <w:r w:rsidRPr="005F003B">
              <w:t>the composition of colour and high lift tints</w:t>
            </w:r>
          </w:p>
        </w:tc>
      </w:tr>
      <w:tr w:rsidTr="001E58AE">
        <w:tblPrEx>
          <w:tblW w:w="9214" w:type="dxa"/>
          <w:tblLayout w:type="fixed"/>
          <w:tblCellMar>
            <w:left w:w="62" w:type="dxa"/>
            <w:right w:w="62" w:type="dxa"/>
          </w:tblCellMar>
          <w:tblLook w:val="0000"/>
        </w:tblPrEx>
        <w:tc>
          <w:tcPr>
            <w:tcW w:w="2880" w:type="dxa"/>
            <w:vMerge/>
            <w:tcBorders>
              <w:top w:val="nil"/>
              <w:left w:val="nil"/>
              <w:bottom w:val="nil"/>
              <w:right w:val="nil"/>
            </w:tcBorders>
            <w:tcMar>
              <w:top w:w="0" w:type="dxa"/>
              <w:left w:w="62" w:type="dxa"/>
              <w:bottom w:w="0" w:type="dxa"/>
              <w:right w:w="62" w:type="dxa"/>
            </w:tcMar>
          </w:tcPr>
          <w:p w:rsidR="00000000" w:rsidP="005F003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334" w:type="dxa"/>
            <w:tcBorders>
              <w:top w:val="nil"/>
              <w:left w:val="nil"/>
              <w:bottom w:val="nil"/>
              <w:right w:val="nil"/>
            </w:tcBorders>
            <w:tcMar>
              <w:top w:w="0" w:type="dxa"/>
              <w:left w:w="62" w:type="dxa"/>
              <w:bottom w:w="0" w:type="dxa"/>
              <w:right w:w="62" w:type="dxa"/>
            </w:tcMar>
          </w:tcPr>
          <w:p w:rsidR="00000000" w:rsidP="005F003B">
            <w:pPr>
              <w:pStyle w:val="ListBullet"/>
              <w:rPr>
                <w:lang w:val="en-NZ"/>
              </w:rPr>
            </w:pPr>
            <w:r w:rsidRPr="005F003B">
              <w:t>the effects of hydrogen peroxide on the hair and hair colour</w:t>
            </w:r>
          </w:p>
        </w:tc>
      </w:tr>
      <w:tr w:rsidTr="001E58AE">
        <w:tblPrEx>
          <w:tblW w:w="9214" w:type="dxa"/>
          <w:tblLayout w:type="fixed"/>
          <w:tblCellMar>
            <w:left w:w="62" w:type="dxa"/>
            <w:right w:w="62" w:type="dxa"/>
          </w:tblCellMar>
          <w:tblLook w:val="0000"/>
        </w:tblPrEx>
        <w:tc>
          <w:tcPr>
            <w:tcW w:w="2880" w:type="dxa"/>
            <w:vMerge/>
            <w:tcBorders>
              <w:top w:val="nil"/>
              <w:left w:val="nil"/>
              <w:bottom w:val="nil"/>
              <w:right w:val="nil"/>
            </w:tcBorders>
            <w:tcMar>
              <w:top w:w="0" w:type="dxa"/>
              <w:left w:w="62" w:type="dxa"/>
              <w:bottom w:w="0" w:type="dxa"/>
              <w:right w:w="62" w:type="dxa"/>
            </w:tcMar>
          </w:tcPr>
          <w:p w:rsidR="00000000" w:rsidP="005F003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334" w:type="dxa"/>
            <w:tcBorders>
              <w:top w:val="nil"/>
              <w:left w:val="nil"/>
              <w:bottom w:val="nil"/>
              <w:right w:val="nil"/>
            </w:tcBorders>
            <w:tcMar>
              <w:top w:w="0" w:type="dxa"/>
              <w:left w:w="62" w:type="dxa"/>
              <w:bottom w:w="0" w:type="dxa"/>
              <w:right w:w="62" w:type="dxa"/>
            </w:tcMar>
          </w:tcPr>
          <w:p w:rsidR="00000000" w:rsidP="005F003B">
            <w:pPr>
              <w:pStyle w:val="ListBullet"/>
              <w:rPr>
                <w:lang w:val="en-NZ"/>
              </w:rPr>
            </w:pPr>
            <w:r w:rsidRPr="005F003B">
              <w:t>the chemical and physical effects of tint and high lift tint colour products on hair structure</w:t>
            </w:r>
          </w:p>
        </w:tc>
      </w:tr>
      <w:tr w:rsidTr="001E58AE">
        <w:tblPrEx>
          <w:tblW w:w="9214" w:type="dxa"/>
          <w:tblLayout w:type="fixed"/>
          <w:tblCellMar>
            <w:left w:w="62" w:type="dxa"/>
            <w:right w:w="62" w:type="dxa"/>
          </w:tblCellMar>
          <w:tblLook w:val="0000"/>
        </w:tblPrEx>
        <w:tc>
          <w:tcPr>
            <w:tcW w:w="2880" w:type="dxa"/>
            <w:vMerge/>
            <w:tcBorders>
              <w:top w:val="nil"/>
              <w:left w:val="nil"/>
              <w:bottom w:val="nil"/>
              <w:right w:val="nil"/>
            </w:tcBorders>
            <w:tcMar>
              <w:top w:w="0" w:type="dxa"/>
              <w:left w:w="62" w:type="dxa"/>
              <w:bottom w:w="0" w:type="dxa"/>
              <w:right w:w="62" w:type="dxa"/>
            </w:tcMar>
          </w:tcPr>
          <w:p w:rsidR="00000000" w:rsidP="005F003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334" w:type="dxa"/>
            <w:tcBorders>
              <w:top w:val="nil"/>
              <w:left w:val="nil"/>
              <w:bottom w:val="nil"/>
              <w:right w:val="nil"/>
            </w:tcBorders>
            <w:tcMar>
              <w:top w:w="0" w:type="dxa"/>
              <w:left w:w="62" w:type="dxa"/>
              <w:bottom w:w="0" w:type="dxa"/>
              <w:right w:w="62" w:type="dxa"/>
            </w:tcMar>
          </w:tcPr>
          <w:p w:rsidR="00000000" w:rsidP="005F003B">
            <w:pPr>
              <w:pStyle w:val="ListBullet"/>
              <w:rPr>
                <w:lang w:val="en-NZ"/>
              </w:rPr>
            </w:pPr>
            <w:r w:rsidRPr="005F003B">
              <w:t>the colour wheel and its application in colour selection</w:t>
            </w:r>
          </w:p>
        </w:tc>
      </w:tr>
      <w:tr w:rsidTr="001E58AE">
        <w:tblPrEx>
          <w:tblW w:w="9214" w:type="dxa"/>
          <w:tblLayout w:type="fixed"/>
          <w:tblCellMar>
            <w:left w:w="62" w:type="dxa"/>
            <w:right w:w="62" w:type="dxa"/>
          </w:tblCellMar>
          <w:tblLook w:val="0000"/>
        </w:tblPrEx>
        <w:tc>
          <w:tcPr>
            <w:tcW w:w="2880" w:type="dxa"/>
            <w:vMerge/>
            <w:tcBorders>
              <w:top w:val="nil"/>
              <w:left w:val="nil"/>
              <w:bottom w:val="nil"/>
              <w:right w:val="nil"/>
            </w:tcBorders>
            <w:tcMar>
              <w:top w:w="0" w:type="dxa"/>
              <w:left w:w="62" w:type="dxa"/>
              <w:bottom w:w="0" w:type="dxa"/>
              <w:right w:w="62" w:type="dxa"/>
            </w:tcMar>
          </w:tcPr>
          <w:p w:rsidR="00000000" w:rsidP="005F003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334" w:type="dxa"/>
            <w:tcBorders>
              <w:top w:val="nil"/>
              <w:left w:val="nil"/>
              <w:bottom w:val="nil"/>
              <w:right w:val="nil"/>
            </w:tcBorders>
            <w:tcMar>
              <w:top w:w="0" w:type="dxa"/>
              <w:left w:w="62" w:type="dxa"/>
              <w:bottom w:w="0" w:type="dxa"/>
              <w:right w:w="62" w:type="dxa"/>
            </w:tcMar>
          </w:tcPr>
          <w:p w:rsidR="00000000" w:rsidP="005F003B">
            <w:pPr>
              <w:pStyle w:val="ListBullet"/>
              <w:rPr>
                <w:lang w:val="en-NZ"/>
              </w:rPr>
            </w:pPr>
            <w:r w:rsidRPr="005F003B">
              <w:t>manufacturer's colour chart systems</w:t>
            </w:r>
          </w:p>
        </w:tc>
      </w:tr>
      <w:tr w:rsidTr="001E58AE">
        <w:tblPrEx>
          <w:tblW w:w="9214" w:type="dxa"/>
          <w:tblLayout w:type="fixed"/>
          <w:tblCellMar>
            <w:left w:w="62" w:type="dxa"/>
            <w:right w:w="62" w:type="dxa"/>
          </w:tblCellMar>
          <w:tblLook w:val="0000"/>
        </w:tblPrEx>
        <w:tc>
          <w:tcPr>
            <w:tcW w:w="2880" w:type="dxa"/>
            <w:vMerge/>
            <w:tcBorders>
              <w:top w:val="nil"/>
              <w:left w:val="nil"/>
              <w:bottom w:val="nil"/>
              <w:right w:val="nil"/>
            </w:tcBorders>
            <w:tcMar>
              <w:top w:w="0" w:type="dxa"/>
              <w:left w:w="62" w:type="dxa"/>
              <w:bottom w:w="0" w:type="dxa"/>
              <w:right w:w="62" w:type="dxa"/>
            </w:tcMar>
          </w:tcPr>
          <w:p w:rsidR="00000000" w:rsidP="005F003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334" w:type="dxa"/>
            <w:tcBorders>
              <w:top w:val="nil"/>
              <w:left w:val="nil"/>
              <w:bottom w:val="nil"/>
              <w:right w:val="nil"/>
            </w:tcBorders>
            <w:tcMar>
              <w:top w:w="0" w:type="dxa"/>
              <w:left w:w="62" w:type="dxa"/>
              <w:bottom w:w="0" w:type="dxa"/>
              <w:right w:w="62" w:type="dxa"/>
            </w:tcMar>
          </w:tcPr>
          <w:p w:rsidR="00000000" w:rsidP="005F003B">
            <w:pPr>
              <w:pStyle w:val="ListBullet"/>
              <w:rPr>
                <w:lang w:val="en-NZ"/>
              </w:rPr>
            </w:pPr>
            <w:r w:rsidRPr="005F003B">
              <w:t xml:space="preserve">processing and developing times for a defined workplace </w:t>
            </w:r>
            <w:r w:rsidRPr="005F003B">
              <w:t>product range</w:t>
            </w:r>
          </w:p>
        </w:tc>
      </w:tr>
      <w:tr w:rsidTr="001E58AE">
        <w:tblPrEx>
          <w:tblW w:w="9214" w:type="dxa"/>
          <w:tblLayout w:type="fixed"/>
          <w:tblCellMar>
            <w:left w:w="62" w:type="dxa"/>
            <w:right w:w="62" w:type="dxa"/>
          </w:tblCellMar>
          <w:tblLook w:val="0000"/>
        </w:tblPrEx>
        <w:tc>
          <w:tcPr>
            <w:tcW w:w="2880" w:type="dxa"/>
            <w:vMerge/>
            <w:tcBorders>
              <w:top w:val="nil"/>
              <w:left w:val="nil"/>
              <w:bottom w:val="nil"/>
              <w:right w:val="nil"/>
            </w:tcBorders>
            <w:tcMar>
              <w:top w:w="0" w:type="dxa"/>
              <w:left w:w="62" w:type="dxa"/>
              <w:bottom w:w="0" w:type="dxa"/>
              <w:right w:w="62" w:type="dxa"/>
            </w:tcMar>
          </w:tcPr>
          <w:p w:rsidR="00000000" w:rsidP="005F003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334" w:type="dxa"/>
            <w:tcBorders>
              <w:top w:val="nil"/>
              <w:left w:val="nil"/>
              <w:bottom w:val="nil"/>
              <w:right w:val="nil"/>
            </w:tcBorders>
            <w:tcMar>
              <w:top w:w="0" w:type="dxa"/>
              <w:left w:w="62" w:type="dxa"/>
              <w:bottom w:w="0" w:type="dxa"/>
              <w:right w:w="62" w:type="dxa"/>
            </w:tcMar>
          </w:tcPr>
          <w:p w:rsidR="00000000" w:rsidP="005F003B">
            <w:pPr>
              <w:pStyle w:val="ListBullet"/>
              <w:rPr>
                <w:lang w:val="en-NZ"/>
              </w:rPr>
            </w:pPr>
            <w:r w:rsidRPr="005F003B">
              <w:t>the provisions of relevant health and hygiene legislation and regulations</w:t>
            </w:r>
          </w:p>
        </w:tc>
      </w:tr>
      <w:tr w:rsidTr="001E58AE">
        <w:tblPrEx>
          <w:tblW w:w="9214" w:type="dxa"/>
          <w:tblLayout w:type="fixed"/>
          <w:tblCellMar>
            <w:left w:w="62" w:type="dxa"/>
            <w:right w:w="62" w:type="dxa"/>
          </w:tblCellMar>
          <w:tblLook w:val="0000"/>
        </w:tblPrEx>
        <w:tc>
          <w:tcPr>
            <w:tcW w:w="2880" w:type="dxa"/>
            <w:vMerge/>
            <w:tcBorders>
              <w:top w:val="nil"/>
              <w:left w:val="nil"/>
              <w:bottom w:val="nil"/>
              <w:right w:val="nil"/>
            </w:tcBorders>
            <w:tcMar>
              <w:top w:w="0" w:type="dxa"/>
              <w:left w:w="62" w:type="dxa"/>
              <w:bottom w:w="0" w:type="dxa"/>
              <w:right w:w="62" w:type="dxa"/>
            </w:tcMar>
          </w:tcPr>
          <w:p w:rsidR="00000000" w:rsidP="005F003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334" w:type="dxa"/>
            <w:tcBorders>
              <w:top w:val="nil"/>
              <w:left w:val="nil"/>
              <w:bottom w:val="nil"/>
              <w:right w:val="nil"/>
            </w:tcBorders>
            <w:tcMar>
              <w:top w:w="0" w:type="dxa"/>
              <w:left w:w="62" w:type="dxa"/>
              <w:bottom w:w="0" w:type="dxa"/>
              <w:right w:w="62" w:type="dxa"/>
            </w:tcMar>
          </w:tcPr>
          <w:p w:rsidR="00000000" w:rsidP="005F003B">
            <w:pPr>
              <w:pStyle w:val="ListBullet"/>
              <w:rPr>
                <w:lang w:val="en-NZ"/>
              </w:rPr>
            </w:pPr>
            <w:r w:rsidRPr="005F003B">
              <w:t>the provisions of relevant occupational health and safety legislation and regulations.</w:t>
            </w:r>
          </w:p>
        </w:tc>
      </w:tr>
      <w:tr w:rsidTr="001E58AE">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34" w:type="dxa"/>
            <w:tcBorders>
              <w:top w:val="nil"/>
              <w:left w:val="nil"/>
              <w:bottom w:val="nil"/>
              <w:right w:val="nil"/>
            </w:tcBorders>
            <w:tcMar>
              <w:top w:w="0" w:type="dxa"/>
              <w:left w:w="62" w:type="dxa"/>
              <w:bottom w:w="0" w:type="dxa"/>
              <w:right w:w="62" w:type="dxa"/>
            </w:tcMar>
          </w:tcPr>
          <w:p w:rsidR="00000000" w:rsidRPr="005F003B" w:rsidP="005F003B">
            <w:pPr>
              <w:pStyle w:val="BodyText"/>
            </w:pPr>
          </w:p>
        </w:tc>
      </w:tr>
    </w:tbl>
    <w:p w:rsidR="001E58AE" w:rsidP="005F003B">
      <w:pPr>
        <w:pStyle w:val="BodyText"/>
      </w:pPr>
    </w:p>
    <w:p w:rsidR="001E58AE" w:rsidP="005F003B">
      <w:pPr>
        <w:pStyle w:val="BodyText"/>
      </w:pPr>
    </w:p>
    <w:p w:rsidR="00000000" w:rsidRPr="005F003B" w:rsidP="005F003B">
      <w:pPr>
        <w:pStyle w:val="Heading1"/>
      </w:pPr>
      <w:bookmarkStart w:id="10" w:name="O_152436"/>
      <w:bookmarkEnd w:id="10"/>
      <w:r w:rsidRPr="005F003B">
        <w:t>Evidence Guide</w:t>
      </w:r>
    </w:p>
    <w:tbl>
      <w:tblPr>
        <w:tblW w:w="9214" w:type="dxa"/>
        <w:tblLayout w:type="fixed"/>
        <w:tblCellMar>
          <w:left w:w="62" w:type="dxa"/>
          <w:right w:w="62" w:type="dxa"/>
        </w:tblCellMar>
        <w:tblLook w:val="0000"/>
      </w:tblPr>
      <w:tblGrid>
        <w:gridCol w:w="3403"/>
        <w:gridCol w:w="5811"/>
      </w:tblGrid>
      <w:tr w:rsidTr="001E58AE">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rPr>
                <w:rStyle w:val="SpecialBold"/>
              </w:rPr>
              <w:t>EVIDENCE GUIDE</w:t>
            </w:r>
          </w:p>
        </w:tc>
      </w:tr>
      <w:tr w:rsidTr="001E58AE">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t>The evidence guide describes the underpinning knowledge and skills that must be demonstrated to prove competence. It is essential for assessment and must be read in conjunction with the performance criteria, the range statement and the assessment guideline</w:t>
            </w:r>
            <w:r w:rsidRPr="005F003B">
              <w:t>s of the relevant Training Package.</w:t>
            </w:r>
          </w:p>
        </w:tc>
      </w:tr>
      <w:tr w:rsidTr="001E58AE">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5F003B">
            <w:pPr>
              <w:pStyle w:val="BodyText"/>
              <w:rPr>
                <w:lang w:val="en-NZ"/>
              </w:rPr>
            </w:pPr>
          </w:p>
        </w:tc>
      </w:tr>
      <w:tr w:rsidTr="001E58AE">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5F003B" w:rsidP="005F003B">
            <w:pPr>
              <w:pStyle w:val="BodyText"/>
            </w:pPr>
            <w:r w:rsidRPr="005F003B">
              <w:rPr>
                <w:rStyle w:val="SpecialBold"/>
              </w:rPr>
              <w:t>Overview of assessment</w:t>
            </w:r>
          </w:p>
          <w:p w:rsidR="00000000" w:rsidP="005F003B">
            <w:pPr>
              <w:pStyle w:val="BodyText"/>
              <w:rPr>
                <w:lang w:val="en-NZ"/>
              </w:rPr>
            </w:pPr>
            <w:r w:rsidRPr="005F003B">
              <w:t xml:space="preserve">A person who demonstrates competency in this unit of competency must be able to apply knowledge of the use and application of a defined workplace range of tint and high lift tint products for </w:t>
            </w:r>
            <w:r w:rsidRPr="005F003B">
              <w:t>a range of colour outcomes on different clients. Knowledge and skill with regard to relevant legislation and workplace procedures that ensure client and operator comfort, health and safety must also be demonstrated.</w:t>
            </w:r>
          </w:p>
        </w:tc>
      </w:tr>
      <w:tr w:rsidTr="001E58AE">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5F003B">
            <w:pPr>
              <w:pStyle w:val="BodyText"/>
              <w:rPr>
                <w:lang w:val="en-NZ"/>
              </w:rPr>
            </w:pPr>
          </w:p>
        </w:tc>
      </w:tr>
      <w:tr w:rsidTr="001E58AE">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rPr>
                <w:rStyle w:val="SpecialBold"/>
              </w:rPr>
              <w:t>Specific evidence requirements</w:t>
            </w:r>
          </w:p>
        </w:tc>
      </w:tr>
      <w:tr w:rsidTr="001E58AE">
        <w:tblPrEx>
          <w:tblW w:w="9214" w:type="dxa"/>
          <w:tblLayout w:type="fixed"/>
          <w:tblCellMar>
            <w:left w:w="62" w:type="dxa"/>
            <w:right w:w="62" w:type="dxa"/>
          </w:tblCellMar>
          <w:tblLook w:val="0000"/>
        </w:tblPrEx>
        <w:tc>
          <w:tcPr>
            <w:tcW w:w="3403" w:type="dxa"/>
            <w:vMerge w:val="restart"/>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rPr>
                <w:rStyle w:val="SpecialBold"/>
              </w:rPr>
              <w:t>Critical aspects for assessment and evidence required to demonstrate competency in this unit</w:t>
            </w:r>
          </w:p>
        </w:tc>
        <w:tc>
          <w:tcPr>
            <w:tcW w:w="5811" w:type="dxa"/>
            <w:tcBorders>
              <w:top w:val="nil"/>
              <w:left w:val="nil"/>
              <w:bottom w:val="nil"/>
              <w:right w:val="nil"/>
            </w:tcBorders>
            <w:tcMar>
              <w:top w:w="0" w:type="dxa"/>
              <w:left w:w="62" w:type="dxa"/>
              <w:bottom w:w="0" w:type="dxa"/>
              <w:right w:w="62" w:type="dxa"/>
            </w:tcMar>
          </w:tcPr>
          <w:p w:rsidR="00000000" w:rsidP="005F003B">
            <w:pPr>
              <w:pStyle w:val="ListBullet"/>
              <w:rPr>
                <w:lang w:val="en-NZ"/>
              </w:rPr>
            </w:pPr>
            <w:r w:rsidRPr="005F003B">
              <w:t>knowledge and consistent application of workplace policies, procedures and safe work practices in relation to colour services</w:t>
            </w:r>
          </w:p>
        </w:tc>
      </w:tr>
      <w:tr w:rsidTr="001E58AE">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5F003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5F003B">
            <w:pPr>
              <w:pStyle w:val="ListBullet"/>
              <w:rPr>
                <w:lang w:val="en-NZ"/>
              </w:rPr>
            </w:pPr>
            <w:r w:rsidRPr="005F003B">
              <w:t>consistently applying effective questioning and active listening techniques to consult and negotiate with clients and to ensure client comfort and safety throughout the service</w:t>
            </w:r>
          </w:p>
        </w:tc>
      </w:tr>
      <w:tr w:rsidTr="001E58AE">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5F003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5F003B">
            <w:pPr>
              <w:pStyle w:val="ListBullet"/>
              <w:rPr>
                <w:lang w:val="en-NZ"/>
              </w:rPr>
            </w:pPr>
            <w:r w:rsidRPr="005F003B">
              <w:t>recognising and managing contraindications</w:t>
            </w:r>
          </w:p>
        </w:tc>
      </w:tr>
      <w:tr w:rsidTr="001E58AE">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5F003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5F003B">
            <w:pPr>
              <w:pStyle w:val="ListBullet"/>
              <w:rPr>
                <w:lang w:val="en-NZ"/>
              </w:rPr>
            </w:pPr>
            <w:r w:rsidRPr="005F003B">
              <w:t>reading, accurately interpre</w:t>
            </w:r>
            <w:r w:rsidRPr="005F003B">
              <w:t>ting and consistently applying manufacturer's colour charts and product instructions</w:t>
            </w:r>
          </w:p>
        </w:tc>
      </w:tr>
      <w:tr w:rsidTr="001E58AE">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5F003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5F003B">
            <w:pPr>
              <w:pStyle w:val="ListBullet"/>
              <w:rPr>
                <w:lang w:val="en-NZ"/>
              </w:rPr>
            </w:pPr>
            <w:r w:rsidRPr="005F003B">
              <w:t>consistently safe selection, preparation, application, processing and removal of colour products according to manufacturer's instructions and workplace procedures</w:t>
            </w:r>
          </w:p>
        </w:tc>
      </w:tr>
      <w:tr w:rsidTr="001E58AE">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5F003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5F003B">
            <w:pPr>
              <w:pStyle w:val="ListBullet"/>
              <w:rPr>
                <w:lang w:val="en-NZ"/>
              </w:rPr>
            </w:pPr>
            <w:r w:rsidRPr="005F003B">
              <w:t>consistently applying client and operator safety precautions.</w:t>
            </w:r>
          </w:p>
        </w:tc>
      </w:tr>
      <w:tr w:rsidTr="001E58AE">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5F003B">
            <w:pPr>
              <w:pStyle w:val="BodyText"/>
              <w:rPr>
                <w:lang w:val="en-NZ"/>
              </w:rPr>
            </w:pPr>
          </w:p>
        </w:tc>
      </w:tr>
      <w:tr w:rsidTr="001E58AE">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rPr>
                <w:rStyle w:val="SpecialBold"/>
              </w:rPr>
              <w:t>Context of assessment</w:t>
            </w:r>
          </w:p>
        </w:tc>
        <w:tc>
          <w:tcPr>
            <w:tcW w:w="5811" w:type="dxa"/>
            <w:tcBorders>
              <w:top w:val="nil"/>
              <w:left w:val="nil"/>
              <w:bottom w:val="nil"/>
              <w:right w:val="nil"/>
            </w:tcBorders>
            <w:tcMar>
              <w:top w:w="0" w:type="dxa"/>
              <w:left w:w="62" w:type="dxa"/>
              <w:bottom w:w="0" w:type="dxa"/>
              <w:right w:w="62" w:type="dxa"/>
            </w:tcMar>
          </w:tcPr>
          <w:p w:rsidR="00000000" w:rsidRPr="005F003B" w:rsidP="005F003B">
            <w:pPr>
              <w:pStyle w:val="BodyText"/>
            </w:pPr>
            <w:r w:rsidRPr="005F003B">
              <w:t xml:space="preserve">For valid and reliable assessment of this unit, competency should be consistently demonstrated over a period of time and observed by the assessor </w:t>
            </w:r>
            <w:r w:rsidRPr="005F003B">
              <w:t>and/or the technical expert working in partnership with the assessor. The technical expert may include the hairdresser and/or an experienced person at the workplace.</w:t>
            </w:r>
          </w:p>
          <w:p w:rsidR="00000000" w:rsidP="005F003B">
            <w:pPr>
              <w:pStyle w:val="BodyText"/>
              <w:rPr>
                <w:lang w:val="en-NZ"/>
              </w:rPr>
            </w:pPr>
            <w:r w:rsidRPr="005F003B">
              <w:t>Competency should be demonstrated in the workplace or a simulated workplace environment in</w:t>
            </w:r>
            <w:r w:rsidRPr="005F003B">
              <w:t xml:space="preserve"> a range of situations which may include client interruptions and involvement in other related activities normally expected in the workplace. For further guidance on the use of an appropriate simulated environment, refer to the Assessment Guidelines in thi</w:t>
            </w:r>
            <w:r w:rsidRPr="005F003B">
              <w:t>s Training Package.</w:t>
            </w:r>
          </w:p>
        </w:tc>
      </w:tr>
      <w:tr w:rsidTr="001E58AE">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5F003B">
            <w:pPr>
              <w:pStyle w:val="BodyText"/>
              <w:rPr>
                <w:lang w:val="en-NZ"/>
              </w:rPr>
            </w:pPr>
          </w:p>
        </w:tc>
      </w:tr>
      <w:tr w:rsidTr="001E58AE">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rPr>
                <w:rStyle w:val="SpecialBold"/>
              </w:rPr>
              <w:t>Specific resources for assessment</w:t>
            </w:r>
          </w:p>
        </w:tc>
        <w:tc>
          <w:tcPr>
            <w:tcW w:w="5811" w:type="dxa"/>
            <w:tcBorders>
              <w:top w:val="nil"/>
              <w:left w:val="nil"/>
              <w:bottom w:val="nil"/>
              <w:right w:val="nil"/>
            </w:tcBorders>
            <w:tcMar>
              <w:top w:w="0" w:type="dxa"/>
              <w:left w:w="62" w:type="dxa"/>
              <w:bottom w:w="0" w:type="dxa"/>
              <w:right w:w="62" w:type="dxa"/>
            </w:tcMar>
          </w:tcPr>
          <w:p w:rsidR="00000000" w:rsidRPr="005F003B" w:rsidP="005F003B">
            <w:pPr>
              <w:pStyle w:val="BodyText"/>
            </w:pPr>
            <w:r w:rsidRPr="005F003B">
              <w:t>Competency for this unit should be assessed through access to:</w:t>
            </w:r>
          </w:p>
          <w:p w:rsidR="00000000" w:rsidRPr="005F003B" w:rsidP="005F003B">
            <w:pPr>
              <w:pStyle w:val="ListBullet"/>
            </w:pPr>
            <w:r w:rsidRPr="005F003B">
              <w:t>relevant documentation including occupational health and safety legislation and regulations, workplace policy and procedures manuals a</w:t>
            </w:r>
            <w:r w:rsidRPr="005F003B">
              <w:t>nd manufacturer's product safety data sheets</w:t>
            </w:r>
          </w:p>
          <w:p w:rsidR="00000000" w:rsidRPr="005F003B" w:rsidP="005F003B">
            <w:pPr>
              <w:pStyle w:val="ListBullet"/>
            </w:pPr>
            <w:r w:rsidRPr="005F003B">
              <w:t>a salon or simulated salon environment</w:t>
            </w:r>
          </w:p>
          <w:p w:rsidR="00000000" w:rsidRPr="005F003B" w:rsidP="005F003B">
            <w:pPr>
              <w:pStyle w:val="ListBullet"/>
            </w:pPr>
            <w:r w:rsidRPr="005F003B">
              <w:t>a workplace colouring range along with manufacturer's colour charts and product instructions</w:t>
            </w:r>
          </w:p>
          <w:p w:rsidR="00000000" w:rsidP="005F003B">
            <w:pPr>
              <w:pStyle w:val="ListBullet"/>
              <w:rPr>
                <w:lang w:val="en-NZ"/>
              </w:rPr>
            </w:pPr>
            <w:r w:rsidRPr="005F003B">
              <w:t>clients with a variety of colour correction requirements.</w:t>
            </w:r>
          </w:p>
        </w:tc>
      </w:tr>
      <w:tr w:rsidTr="001E58AE">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5F003B">
            <w:pPr>
              <w:pStyle w:val="BodyText"/>
              <w:rPr>
                <w:lang w:val="en-NZ"/>
              </w:rPr>
            </w:pPr>
          </w:p>
        </w:tc>
      </w:tr>
      <w:tr w:rsidTr="001E58AE">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rPr>
                <w:rStyle w:val="SpecialBold"/>
              </w:rPr>
              <w:t>Relationship to other units</w:t>
            </w:r>
          </w:p>
        </w:tc>
        <w:tc>
          <w:tcPr>
            <w:tcW w:w="5811" w:type="dxa"/>
            <w:tcBorders>
              <w:top w:val="nil"/>
              <w:left w:val="nil"/>
              <w:bottom w:val="nil"/>
              <w:right w:val="nil"/>
            </w:tcBorders>
            <w:tcMar>
              <w:top w:w="0" w:type="dxa"/>
              <w:left w:w="62" w:type="dxa"/>
              <w:bottom w:w="0" w:type="dxa"/>
              <w:right w:w="62" w:type="dxa"/>
            </w:tcMar>
          </w:tcPr>
          <w:p w:rsidR="00000000" w:rsidRPr="005F003B" w:rsidP="005F003B">
            <w:pPr>
              <w:pStyle w:val="BodyText"/>
            </w:pPr>
            <w:r w:rsidRPr="005F003B">
              <w:t>This unit requires an assessment outcome that includes evidence of client consultation, knowledge of the chemical and physical effects of hair colour and lightening colour products on the hair and their safe application. In a wo</w:t>
            </w:r>
            <w:r w:rsidRPr="005F003B">
              <w:t xml:space="preserve">rkplace environment colour correction is usually integrated with general colour or lightening services. </w:t>
            </w:r>
          </w:p>
          <w:p w:rsidR="00000000" w:rsidRPr="005F003B" w:rsidP="005F003B">
            <w:pPr>
              <w:pStyle w:val="BodyText"/>
            </w:pPr>
            <w:r w:rsidRPr="005F003B">
              <w:rPr>
                <w:rStyle w:val="SpecialBold"/>
              </w:rPr>
              <w:t>Prerequisite units</w:t>
            </w:r>
          </w:p>
          <w:p w:rsidR="00000000" w:rsidRPr="005F003B" w:rsidP="005F003B">
            <w:pPr>
              <w:pStyle w:val="ListBullet"/>
            </w:pPr>
            <w:r w:rsidRPr="005F003B">
              <w:t>WRHCS201A Prepare clients for salon services</w:t>
            </w:r>
          </w:p>
          <w:p w:rsidR="00000000" w:rsidRPr="005F003B" w:rsidP="005F003B">
            <w:pPr>
              <w:pStyle w:val="ListBullet"/>
            </w:pPr>
            <w:r w:rsidRPr="005F003B">
              <w:t>WRHCS205A Follow personal health and safety routines at work</w:t>
            </w:r>
          </w:p>
          <w:p w:rsidR="00000000" w:rsidRPr="005F003B" w:rsidP="005F003B">
            <w:pPr>
              <w:pStyle w:val="ListBullet"/>
            </w:pPr>
            <w:r w:rsidRPr="005F003B">
              <w:t>SIRXOHS001A Apply safe wo</w:t>
            </w:r>
            <w:r w:rsidRPr="005F003B">
              <w:t>rking practices.</w:t>
            </w:r>
          </w:p>
          <w:p w:rsidR="00000000" w:rsidRPr="005F003B" w:rsidP="005F003B">
            <w:pPr>
              <w:pStyle w:val="BodyText"/>
            </w:pPr>
            <w:r w:rsidRPr="005F003B">
              <w:rPr>
                <w:rStyle w:val="SpecialBold"/>
              </w:rPr>
              <w:t>Co-requisite units</w:t>
            </w:r>
          </w:p>
          <w:p w:rsidR="00000000" w:rsidRPr="005F003B" w:rsidP="005F003B">
            <w:pPr>
              <w:pStyle w:val="ListBullet"/>
            </w:pPr>
            <w:r w:rsidRPr="005F003B">
              <w:t>WRHCL302B Colour and lighten hair</w:t>
            </w:r>
          </w:p>
          <w:p w:rsidR="00000000" w:rsidRPr="005F003B" w:rsidP="005F003B">
            <w:pPr>
              <w:pStyle w:val="ListBullet"/>
            </w:pPr>
            <w:r w:rsidRPr="005F003B">
              <w:t>WRHCL303B Design and perform full and partial highlighting techniques</w:t>
            </w:r>
          </w:p>
          <w:p w:rsidR="00000000" w:rsidRPr="005F003B" w:rsidP="005F003B">
            <w:pPr>
              <w:pStyle w:val="ListBullet"/>
            </w:pPr>
            <w:r w:rsidRPr="005F003B">
              <w:t>WRHHS301A Apply the principles of hairdressing science</w:t>
            </w:r>
          </w:p>
          <w:p w:rsidR="00000000" w:rsidP="005F003B">
            <w:pPr>
              <w:pStyle w:val="ListBullet"/>
              <w:rPr>
                <w:lang w:val="en-NZ"/>
              </w:rPr>
            </w:pPr>
            <w:r w:rsidRPr="005F003B">
              <w:t>WRHWP302A Operate effectively as a hairdresser in a salon wo</w:t>
            </w:r>
            <w:r w:rsidRPr="005F003B">
              <w:t>rk team.</w:t>
            </w:r>
          </w:p>
        </w:tc>
      </w:tr>
      <w:tr w:rsidTr="001E58AE">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5F003B">
            <w:pPr>
              <w:pStyle w:val="BodyText"/>
              <w:rPr>
                <w:lang w:val="en-NZ"/>
              </w:rPr>
            </w:pPr>
          </w:p>
        </w:tc>
      </w:tr>
      <w:tr w:rsidTr="001E58AE">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rPr>
                <w:rStyle w:val="SpecialBold"/>
              </w:rPr>
              <w:t>Method of assessment</w:t>
            </w:r>
          </w:p>
        </w:tc>
        <w:tc>
          <w:tcPr>
            <w:tcW w:w="5811" w:type="dxa"/>
            <w:tcBorders>
              <w:top w:val="nil"/>
              <w:left w:val="nil"/>
              <w:bottom w:val="nil"/>
              <w:right w:val="nil"/>
            </w:tcBorders>
            <w:tcMar>
              <w:top w:w="0" w:type="dxa"/>
              <w:left w:w="62" w:type="dxa"/>
              <w:bottom w:w="0" w:type="dxa"/>
              <w:right w:w="62" w:type="dxa"/>
            </w:tcMar>
          </w:tcPr>
          <w:p w:rsidR="00000000" w:rsidRPr="005F003B" w:rsidP="005F003B">
            <w:pPr>
              <w:pStyle w:val="BodyText"/>
            </w:pPr>
            <w:r w:rsidRPr="005F003B">
              <w:t>The following assessment methods are suggested.</w:t>
            </w:r>
          </w:p>
          <w:p w:rsidR="00000000" w:rsidRPr="005F003B" w:rsidP="005F003B">
            <w:pPr>
              <w:pStyle w:val="ListBullet"/>
            </w:pPr>
            <w:r w:rsidRPr="005F003B">
              <w:t xml:space="preserve">Observation of the learner performing a range of tasks in an actual or simulated </w:t>
            </w:r>
            <w:r w:rsidRPr="005F003B">
              <w:t>work environment, over sufficient time to demonstrate his/her handling of a range of contingencies. Tasks may include:</w:t>
            </w:r>
          </w:p>
          <w:p w:rsidR="00000000" w:rsidRPr="005F003B" w:rsidP="005F003B">
            <w:pPr>
              <w:pStyle w:val="ListBullet2"/>
            </w:pPr>
            <w:r w:rsidRPr="005F003B">
              <w:t>the completion of workplace documentation relevant to analysis of client characteristics prior to colour correction services</w:t>
            </w:r>
          </w:p>
          <w:p w:rsidR="00000000" w:rsidRPr="005F003B" w:rsidP="005F003B">
            <w:pPr>
              <w:pStyle w:val="ListBullet2"/>
            </w:pPr>
            <w:r w:rsidRPr="005F003B">
              <w:t>demonstrate</w:t>
            </w:r>
            <w:r w:rsidRPr="005F003B">
              <w:t>d client consultation and corrective colour selection prior to service</w:t>
            </w:r>
          </w:p>
          <w:p w:rsidR="00000000" w:rsidRPr="005F003B" w:rsidP="005F003B">
            <w:pPr>
              <w:pStyle w:val="ListBullet2"/>
            </w:pPr>
            <w:r w:rsidRPr="005F003B">
              <w:t>demonstrated safe application and processing of corrective colour products and techniques on a variety of clients with different needs.</w:t>
            </w:r>
          </w:p>
          <w:p w:rsidR="00000000" w:rsidP="005F003B">
            <w:pPr>
              <w:pStyle w:val="ListBullet"/>
              <w:rPr>
                <w:lang w:val="en-NZ"/>
              </w:rPr>
            </w:pPr>
            <w:r w:rsidRPr="005F003B">
              <w:t>Third-party reports from experienced hairdressers.</w:t>
            </w:r>
          </w:p>
        </w:tc>
      </w:tr>
      <w:tr w:rsidTr="001E58AE">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5F003B">
            <w:pPr>
              <w:pStyle w:val="BodyText"/>
              <w:rPr>
                <w:lang w:val="en-NZ"/>
              </w:rPr>
            </w:pPr>
          </w:p>
        </w:tc>
      </w:tr>
      <w:tr w:rsidTr="001E58AE">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rPr>
                <w:rStyle w:val="SpecialBold"/>
              </w:rPr>
              <w:t>Evidence required for demonstration of consistent performance</w:t>
            </w:r>
          </w:p>
        </w:tc>
        <w:tc>
          <w:tcPr>
            <w:tcW w:w="5811" w:type="dxa"/>
            <w:tcBorders>
              <w:top w:val="nil"/>
              <w:left w:val="nil"/>
              <w:bottom w:val="nil"/>
              <w:right w:val="nil"/>
            </w:tcBorders>
            <w:tcMar>
              <w:top w:w="0" w:type="dxa"/>
              <w:left w:w="62" w:type="dxa"/>
              <w:bottom w:w="0" w:type="dxa"/>
              <w:right w:w="62" w:type="dxa"/>
            </w:tcMar>
          </w:tcPr>
          <w:p w:rsidR="00000000" w:rsidRPr="005F003B" w:rsidP="005F003B">
            <w:pPr>
              <w:pStyle w:val="BodyText"/>
            </w:pPr>
            <w:r w:rsidRPr="005F003B">
              <w:t>For valid and reliable assessment of this unit, evidence should be gathered through a range of methods to indicate consistent performance.</w:t>
            </w:r>
          </w:p>
          <w:p w:rsidR="00000000" w:rsidRPr="005F003B" w:rsidP="005F003B">
            <w:pPr>
              <w:pStyle w:val="BodyText"/>
            </w:pPr>
            <w:r w:rsidRPr="005F003B">
              <w:t>It can be gathered from assessment of the unit of competency alone, through an integrated assessment activity or through a combination of both.</w:t>
            </w:r>
          </w:p>
          <w:p w:rsidR="00000000" w:rsidP="005F003B">
            <w:pPr>
              <w:pStyle w:val="BodyText"/>
              <w:rPr>
                <w:lang w:val="en-NZ"/>
              </w:rPr>
            </w:pPr>
            <w:r w:rsidRPr="005F003B">
              <w:t>Evidence should be gathered as part of the learning process.</w:t>
            </w:r>
          </w:p>
        </w:tc>
      </w:tr>
      <w:tr w:rsidTr="001E58AE">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RPr="005F003B" w:rsidP="005F003B">
            <w:pPr>
              <w:pStyle w:val="BodyText"/>
            </w:pPr>
          </w:p>
        </w:tc>
      </w:tr>
    </w:tbl>
    <w:p w:rsidR="001E58AE" w:rsidP="005F003B">
      <w:pPr>
        <w:pStyle w:val="BodyText"/>
      </w:pPr>
    </w:p>
    <w:p w:rsidR="001E58AE" w:rsidP="005F003B">
      <w:pPr>
        <w:pStyle w:val="BodyText"/>
      </w:pPr>
    </w:p>
    <w:p w:rsidR="00000000" w:rsidRPr="005F003B" w:rsidP="005F003B">
      <w:pPr>
        <w:pStyle w:val="Heading1"/>
      </w:pPr>
      <w:bookmarkStart w:id="11" w:name="O_152437"/>
      <w:bookmarkEnd w:id="11"/>
      <w:r w:rsidRPr="005F003B">
        <w:t>Range Statement</w:t>
      </w:r>
    </w:p>
    <w:tbl>
      <w:tblPr>
        <w:tblW w:w="9214" w:type="dxa"/>
        <w:tblLayout w:type="fixed"/>
        <w:tblCellMar>
          <w:left w:w="62" w:type="dxa"/>
          <w:right w:w="62" w:type="dxa"/>
        </w:tblCellMar>
        <w:tblLook w:val="0000"/>
      </w:tblPr>
      <w:tblGrid>
        <w:gridCol w:w="3119"/>
        <w:gridCol w:w="6095"/>
      </w:tblGrid>
      <w:tr w:rsidTr="001E58AE">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rPr>
                <w:rStyle w:val="SpecialBold"/>
              </w:rPr>
              <w:t>RANGE STA</w:t>
            </w:r>
            <w:r w:rsidRPr="005F003B">
              <w:rPr>
                <w:rStyle w:val="SpecialBold"/>
              </w:rPr>
              <w:t>TEMENT</w:t>
            </w:r>
          </w:p>
        </w:tc>
      </w:tr>
      <w:tr w:rsidTr="001E58AE">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5F003B" w:rsidP="005F003B">
            <w:pPr>
              <w:pStyle w:val="BodyText"/>
            </w:pPr>
            <w:r w:rsidRPr="005F003B">
              <w:t>The range statement relates to the unit of competency as a whole. It allows for different work environments and situations that will affect performance.</w:t>
            </w:r>
          </w:p>
          <w:p w:rsidR="00000000" w:rsidP="005F003B">
            <w:pPr>
              <w:pStyle w:val="BodyText"/>
              <w:rPr>
                <w:lang w:val="en-NZ"/>
              </w:rPr>
            </w:pPr>
            <w:r w:rsidRPr="005F003B">
              <w:t xml:space="preserve">The following variables may be present with training and assessment depending on the work situation, needs of the candidate, accessibility of the item, and local industry and regional contexts. </w:t>
            </w:r>
            <w:r w:rsidRPr="005F003B">
              <w:rPr>
                <w:rStyle w:val="BoldandItalics"/>
              </w:rPr>
              <w:t>Bold italicised</w:t>
            </w:r>
            <w:r w:rsidRPr="005F003B">
              <w:t xml:space="preserve"> text from the performance criteria is detailed</w:t>
            </w:r>
            <w:r w:rsidRPr="005F003B">
              <w:t xml:space="preserve"> here.</w:t>
            </w:r>
          </w:p>
        </w:tc>
      </w:tr>
      <w:tr w:rsidTr="001E58AE">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5F003B">
            <w:pPr>
              <w:pStyle w:val="BodyText"/>
              <w:rPr>
                <w:lang w:val="en-NZ"/>
              </w:rPr>
            </w:pPr>
          </w:p>
        </w:tc>
      </w:tr>
      <w:tr w:rsidTr="001E58AE">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rPr>
                <w:rStyle w:val="BoldandItalics"/>
              </w:rPr>
              <w:t>Client characteristics</w:t>
            </w:r>
            <w:r w:rsidRPr="005F003B">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5F003B" w:rsidP="005F003B">
            <w:pPr>
              <w:pStyle w:val="ListBullet"/>
            </w:pPr>
            <w:r w:rsidRPr="005F003B">
              <w:t>natural hair type, texture, porosity, density and elasticity</w:t>
            </w:r>
          </w:p>
          <w:p w:rsidR="00000000" w:rsidRPr="005F003B" w:rsidP="005F003B">
            <w:pPr>
              <w:pStyle w:val="ListBullet"/>
            </w:pPr>
            <w:r w:rsidRPr="005F003B">
              <w:t>natural and/or artificial base colour</w:t>
            </w:r>
          </w:p>
          <w:p w:rsidR="00000000" w:rsidRPr="005F003B" w:rsidP="005F003B">
            <w:pPr>
              <w:pStyle w:val="ListBullet"/>
            </w:pPr>
            <w:r w:rsidRPr="005F003B">
              <w:t>hair colour tone</w:t>
            </w:r>
          </w:p>
          <w:p w:rsidR="00000000" w:rsidRPr="005F003B" w:rsidP="005F003B">
            <w:pPr>
              <w:pStyle w:val="ListBullet"/>
            </w:pPr>
            <w:r w:rsidRPr="005F003B">
              <w:t>percentage of white hair</w:t>
            </w:r>
          </w:p>
          <w:p w:rsidR="00000000" w:rsidRPr="005F003B" w:rsidP="005F003B">
            <w:pPr>
              <w:pStyle w:val="ListBullet"/>
            </w:pPr>
            <w:r w:rsidRPr="005F003B">
              <w:t>presence of lightening agents or artificial hair colour treatments on hair</w:t>
            </w:r>
          </w:p>
          <w:p w:rsidR="00000000" w:rsidRPr="005F003B" w:rsidP="005F003B">
            <w:pPr>
              <w:pStyle w:val="ListBullet"/>
            </w:pPr>
            <w:r w:rsidRPr="005F003B">
              <w:t>other existing chemical services, including metallic based products</w:t>
            </w:r>
          </w:p>
          <w:p w:rsidR="00000000" w:rsidP="005F003B">
            <w:pPr>
              <w:pStyle w:val="ListBullet"/>
              <w:rPr>
                <w:lang w:val="en-NZ"/>
              </w:rPr>
            </w:pPr>
            <w:r w:rsidRPr="005F003B">
              <w:t>skin tone.</w:t>
            </w:r>
          </w:p>
        </w:tc>
      </w:tr>
      <w:tr w:rsidTr="001E58AE">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5F003B">
            <w:pPr>
              <w:pStyle w:val="BodyText"/>
              <w:rPr>
                <w:lang w:val="en-NZ"/>
              </w:rPr>
            </w:pPr>
          </w:p>
        </w:tc>
      </w:tr>
      <w:tr w:rsidTr="001E58AE">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rPr>
                <w:rStyle w:val="BoldandItalics"/>
              </w:rPr>
              <w:t>Client history</w:t>
            </w:r>
            <w:r w:rsidRPr="005F003B">
              <w:t xml:space="preserve"> must include:</w:t>
            </w:r>
          </w:p>
        </w:tc>
        <w:tc>
          <w:tcPr>
            <w:tcW w:w="6095" w:type="dxa"/>
            <w:tcBorders>
              <w:top w:val="nil"/>
              <w:left w:val="nil"/>
              <w:bottom w:val="nil"/>
              <w:right w:val="nil"/>
            </w:tcBorders>
            <w:tcMar>
              <w:top w:w="0" w:type="dxa"/>
              <w:left w:w="62" w:type="dxa"/>
              <w:bottom w:w="0" w:type="dxa"/>
              <w:right w:w="62" w:type="dxa"/>
            </w:tcMar>
          </w:tcPr>
          <w:p w:rsidR="00000000" w:rsidRPr="005F003B" w:rsidP="005F003B">
            <w:pPr>
              <w:pStyle w:val="ListBullet"/>
            </w:pPr>
            <w:r w:rsidRPr="005F003B">
              <w:t>contraindications</w:t>
            </w:r>
          </w:p>
          <w:p w:rsidR="00000000" w:rsidRPr="005F003B" w:rsidP="005F003B">
            <w:pPr>
              <w:pStyle w:val="ListBullet"/>
            </w:pPr>
            <w:r w:rsidRPr="005F003B">
              <w:t>previous pre-service analysis</w:t>
            </w:r>
          </w:p>
          <w:p w:rsidR="00000000" w:rsidRPr="005F003B" w:rsidP="005F003B">
            <w:pPr>
              <w:pStyle w:val="ListBullet"/>
            </w:pPr>
            <w:r w:rsidRPr="005F003B">
              <w:t>previous services' b</w:t>
            </w:r>
            <w:r w:rsidRPr="005F003B">
              <w:t>rand and colour/s selection</w:t>
            </w:r>
          </w:p>
          <w:p w:rsidR="00000000" w:rsidRPr="005F003B" w:rsidP="005F003B">
            <w:pPr>
              <w:pStyle w:val="ListBullet"/>
            </w:pPr>
            <w:r w:rsidRPr="005F003B">
              <w:t>previous services' application techniques and processing times</w:t>
            </w:r>
          </w:p>
          <w:p w:rsidR="00000000" w:rsidP="005F003B">
            <w:pPr>
              <w:pStyle w:val="ListBullet"/>
              <w:rPr>
                <w:lang w:val="en-NZ"/>
              </w:rPr>
            </w:pPr>
            <w:r w:rsidRPr="005F003B">
              <w:t>recommended after care products.</w:t>
            </w:r>
          </w:p>
        </w:tc>
      </w:tr>
      <w:tr w:rsidTr="001E58AE">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5F003B">
            <w:pPr>
              <w:pStyle w:val="BodyText"/>
              <w:rPr>
                <w:lang w:val="en-NZ"/>
              </w:rPr>
            </w:pPr>
          </w:p>
        </w:tc>
      </w:tr>
      <w:tr w:rsidTr="001E58AE">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rPr>
                <w:rStyle w:val="BoldandItalics"/>
              </w:rPr>
              <w:t>Clients</w:t>
            </w:r>
            <w:r w:rsidRPr="005F003B">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5F003B" w:rsidP="005F003B">
            <w:pPr>
              <w:pStyle w:val="ListBullet"/>
            </w:pPr>
            <w:r w:rsidRPr="005F003B">
              <w:t>women</w:t>
            </w:r>
          </w:p>
          <w:p w:rsidR="00000000" w:rsidRPr="005F003B" w:rsidP="005F003B">
            <w:pPr>
              <w:pStyle w:val="ListBullet"/>
            </w:pPr>
            <w:r w:rsidRPr="005F003B">
              <w:t>men</w:t>
            </w:r>
          </w:p>
          <w:p w:rsidR="00000000" w:rsidRPr="005F003B" w:rsidP="005F003B">
            <w:pPr>
              <w:pStyle w:val="ListBullet"/>
            </w:pPr>
            <w:r w:rsidRPr="005F003B">
              <w:t>children</w:t>
            </w:r>
          </w:p>
          <w:p w:rsidR="00000000" w:rsidRPr="005F003B" w:rsidP="005F003B">
            <w:pPr>
              <w:pStyle w:val="ListBullet"/>
            </w:pPr>
            <w:r w:rsidRPr="005F003B">
              <w:t>people who present with virgin hair or a range of  pre-existing colour treatments on the hair</w:t>
            </w:r>
          </w:p>
          <w:p w:rsidR="00000000" w:rsidP="005F003B">
            <w:pPr>
              <w:pStyle w:val="ListBullet"/>
              <w:rPr>
                <w:lang w:val="en-NZ"/>
              </w:rPr>
            </w:pPr>
            <w:r w:rsidRPr="005F003B">
              <w:t>people from a range of social, cultural or ethnic backgrounds and with a range of physical and mental abilities.</w:t>
            </w:r>
          </w:p>
        </w:tc>
      </w:tr>
      <w:tr w:rsidTr="001E58AE">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5F003B">
            <w:pPr>
              <w:pStyle w:val="BodyText"/>
              <w:rPr>
                <w:lang w:val="en-NZ"/>
              </w:rPr>
            </w:pPr>
          </w:p>
        </w:tc>
      </w:tr>
      <w:tr w:rsidTr="001E58AE">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rPr>
                <w:rStyle w:val="BoldandItalics"/>
              </w:rPr>
              <w:t>Contraindications</w:t>
            </w:r>
            <w:r w:rsidRPr="005F003B">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5F003B" w:rsidP="005F003B">
            <w:pPr>
              <w:pStyle w:val="ListBullet"/>
            </w:pPr>
            <w:r w:rsidRPr="005F003B">
              <w:t>an allergic reaction to a skin test</w:t>
            </w:r>
          </w:p>
          <w:p w:rsidR="00000000" w:rsidRPr="005F003B" w:rsidP="005F003B">
            <w:pPr>
              <w:pStyle w:val="ListBullet"/>
            </w:pPr>
            <w:r w:rsidRPr="005F003B">
              <w:t>excessive hair damage</w:t>
            </w:r>
          </w:p>
          <w:p w:rsidR="00000000" w:rsidP="005F003B">
            <w:pPr>
              <w:pStyle w:val="ListBullet"/>
              <w:rPr>
                <w:lang w:val="en-NZ"/>
              </w:rPr>
            </w:pPr>
            <w:r w:rsidRPr="005F003B">
              <w:t>existing metallic-based colour on hair.</w:t>
            </w:r>
          </w:p>
        </w:tc>
      </w:tr>
      <w:tr w:rsidTr="001E58AE">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5F003B">
            <w:pPr>
              <w:pStyle w:val="BodyText"/>
              <w:rPr>
                <w:lang w:val="en-NZ"/>
              </w:rPr>
            </w:pPr>
          </w:p>
        </w:tc>
      </w:tr>
      <w:tr w:rsidTr="001E58AE">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rPr>
                <w:rStyle w:val="BoldandItalics"/>
              </w:rPr>
              <w:t>Unwanted colour and tones</w:t>
            </w:r>
            <w:r w:rsidRPr="005F003B">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5F003B" w:rsidP="005F003B">
            <w:pPr>
              <w:pStyle w:val="ListBullet"/>
            </w:pPr>
            <w:r w:rsidRPr="005F003B">
              <w:t>natural hair colour and tones</w:t>
            </w:r>
          </w:p>
          <w:p w:rsidR="00000000" w:rsidP="005F003B">
            <w:pPr>
              <w:pStyle w:val="ListBullet"/>
              <w:rPr>
                <w:lang w:val="en-NZ"/>
              </w:rPr>
            </w:pPr>
            <w:r w:rsidRPr="005F003B">
              <w:t>artificial hair colour and tones.</w:t>
            </w:r>
          </w:p>
        </w:tc>
      </w:tr>
      <w:tr w:rsidTr="001E58AE">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5F003B">
            <w:pPr>
              <w:pStyle w:val="BodyText"/>
              <w:rPr>
                <w:lang w:val="en-NZ"/>
              </w:rPr>
            </w:pPr>
          </w:p>
        </w:tc>
      </w:tr>
      <w:tr w:rsidTr="001E58AE">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rPr>
                <w:rStyle w:val="BoldandItalics"/>
              </w:rPr>
              <w:t>Colour correction products</w:t>
            </w:r>
            <w:r w:rsidRPr="005F003B">
              <w:t xml:space="preserve"> must include:</w:t>
            </w:r>
          </w:p>
        </w:tc>
        <w:tc>
          <w:tcPr>
            <w:tcW w:w="6095" w:type="dxa"/>
            <w:tcBorders>
              <w:top w:val="nil"/>
              <w:left w:val="nil"/>
              <w:bottom w:val="nil"/>
              <w:right w:val="nil"/>
            </w:tcBorders>
            <w:tcMar>
              <w:top w:w="0" w:type="dxa"/>
              <w:left w:w="62" w:type="dxa"/>
              <w:bottom w:w="0" w:type="dxa"/>
              <w:right w:w="62" w:type="dxa"/>
            </w:tcMar>
          </w:tcPr>
          <w:p w:rsidR="00000000" w:rsidRPr="005F003B" w:rsidP="005F003B">
            <w:pPr>
              <w:pStyle w:val="ListBullet"/>
            </w:pPr>
            <w:r w:rsidRPr="005F003B">
              <w:t>porosity equalisers</w:t>
            </w:r>
          </w:p>
          <w:p w:rsidR="00000000" w:rsidRPr="005F003B" w:rsidP="005F003B">
            <w:pPr>
              <w:pStyle w:val="ListBullet"/>
            </w:pPr>
            <w:r w:rsidRPr="005F003B">
              <w:t>temporary colour</w:t>
            </w:r>
          </w:p>
          <w:p w:rsidR="00000000" w:rsidRPr="005F003B" w:rsidP="005F003B">
            <w:pPr>
              <w:pStyle w:val="ListBullet"/>
            </w:pPr>
            <w:r w:rsidRPr="005F003B">
              <w:t>semi-permanent colour</w:t>
            </w:r>
          </w:p>
          <w:p w:rsidR="00000000" w:rsidRPr="005F003B" w:rsidP="005F003B">
            <w:pPr>
              <w:pStyle w:val="ListBullet"/>
            </w:pPr>
            <w:r w:rsidRPr="005F003B">
              <w:t>permanent colour</w:t>
            </w:r>
          </w:p>
          <w:p w:rsidR="00000000" w:rsidRPr="005F003B" w:rsidP="005F003B">
            <w:pPr>
              <w:pStyle w:val="ListBullet"/>
            </w:pPr>
            <w:r w:rsidRPr="005F003B">
              <w:t>colour fillers</w:t>
            </w:r>
          </w:p>
          <w:p w:rsidR="00000000" w:rsidP="005F003B">
            <w:pPr>
              <w:pStyle w:val="ListBullet"/>
              <w:rPr>
                <w:lang w:val="en-NZ"/>
              </w:rPr>
            </w:pPr>
            <w:r w:rsidRPr="005F003B">
              <w:t>a range of  manufacturers' products for the removal of artificial colour.</w:t>
            </w:r>
          </w:p>
        </w:tc>
      </w:tr>
      <w:tr w:rsidTr="001E58AE">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5F003B">
            <w:pPr>
              <w:pStyle w:val="BodyText"/>
              <w:rPr>
                <w:lang w:val="en-NZ"/>
              </w:rPr>
            </w:pPr>
          </w:p>
        </w:tc>
      </w:tr>
      <w:tr w:rsidTr="001E58AE">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rPr>
                <w:rStyle w:val="BoldandItalics"/>
              </w:rPr>
              <w:t>Client and operator comfort and safety</w:t>
            </w:r>
            <w:r w:rsidRPr="005F003B">
              <w:t xml:space="preserve"> must include:</w:t>
            </w:r>
          </w:p>
        </w:tc>
        <w:tc>
          <w:tcPr>
            <w:tcW w:w="6095" w:type="dxa"/>
            <w:tcBorders>
              <w:top w:val="nil"/>
              <w:left w:val="nil"/>
              <w:bottom w:val="nil"/>
              <w:right w:val="nil"/>
            </w:tcBorders>
            <w:tcMar>
              <w:top w:w="0" w:type="dxa"/>
              <w:left w:w="62" w:type="dxa"/>
              <w:bottom w:w="0" w:type="dxa"/>
              <w:right w:w="62" w:type="dxa"/>
            </w:tcMar>
          </w:tcPr>
          <w:p w:rsidR="00000000" w:rsidRPr="005F003B" w:rsidP="005F003B">
            <w:pPr>
              <w:pStyle w:val="ListBullet"/>
            </w:pPr>
            <w:r w:rsidRPr="005F003B">
              <w:t>application of gown and towels to</w:t>
            </w:r>
            <w:r w:rsidRPr="005F003B">
              <w:t xml:space="preserve"> protect client clothes</w:t>
            </w:r>
          </w:p>
          <w:p w:rsidR="00000000" w:rsidRPr="005F003B" w:rsidP="005F003B">
            <w:pPr>
              <w:pStyle w:val="ListBullet"/>
            </w:pPr>
            <w:r w:rsidRPr="005F003B">
              <w:t>application of barrier creams to face or neckline areas</w:t>
            </w:r>
          </w:p>
          <w:p w:rsidR="00000000" w:rsidRPr="005F003B" w:rsidP="005F003B">
            <w:pPr>
              <w:pStyle w:val="ListBullet"/>
            </w:pPr>
            <w:r w:rsidRPr="005F003B">
              <w:t>application of anti skin stain product</w:t>
            </w:r>
          </w:p>
          <w:p w:rsidR="00000000" w:rsidRPr="005F003B" w:rsidP="005F003B">
            <w:pPr>
              <w:pStyle w:val="ListBullet"/>
            </w:pPr>
            <w:r w:rsidRPr="005F003B">
              <w:t>application of colour stain removal product</w:t>
            </w:r>
          </w:p>
          <w:p w:rsidR="00000000" w:rsidRPr="005F003B" w:rsidP="005F003B">
            <w:pPr>
              <w:pStyle w:val="ListBullet"/>
            </w:pPr>
            <w:r w:rsidRPr="005F003B">
              <w:t>avoiding contact with client or operator's eyes</w:t>
            </w:r>
          </w:p>
          <w:p w:rsidR="00000000" w:rsidRPr="005F003B" w:rsidP="005F003B">
            <w:pPr>
              <w:pStyle w:val="ListBullet"/>
            </w:pPr>
            <w:r w:rsidRPr="005F003B">
              <w:t>avoiding inhalation of fumes whilst mixing product</w:t>
            </w:r>
          </w:p>
          <w:p w:rsidR="00000000" w:rsidP="005F003B">
            <w:pPr>
              <w:pStyle w:val="ListBullet"/>
              <w:rPr>
                <w:lang w:val="en-NZ"/>
              </w:rPr>
            </w:pPr>
            <w:r w:rsidRPr="005F003B">
              <w:t>wearing operator protective gloves during product application.</w:t>
            </w:r>
          </w:p>
        </w:tc>
      </w:tr>
      <w:tr w:rsidTr="001E58AE">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5F003B">
            <w:pPr>
              <w:pStyle w:val="BodyText"/>
              <w:rPr>
                <w:lang w:val="en-NZ"/>
              </w:rPr>
            </w:pPr>
          </w:p>
        </w:tc>
      </w:tr>
      <w:tr w:rsidTr="001E58AE">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rPr>
                <w:rStyle w:val="BoldandItalics"/>
              </w:rPr>
              <w:t>Relevant legislation</w:t>
            </w:r>
            <w:r w:rsidRPr="005F003B">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5F003B" w:rsidP="005F003B">
            <w:pPr>
              <w:pStyle w:val="ListBullet"/>
            </w:pPr>
            <w:r w:rsidRPr="005F003B">
              <w:t>federal, state and local health and hygiene legislation and regulations</w:t>
            </w:r>
          </w:p>
          <w:p w:rsidR="00000000" w:rsidP="005F003B">
            <w:pPr>
              <w:pStyle w:val="ListBullet"/>
              <w:rPr>
                <w:lang w:val="en-NZ"/>
              </w:rPr>
            </w:pPr>
            <w:r w:rsidRPr="005F003B">
              <w:t xml:space="preserve">occupational health and safety </w:t>
            </w:r>
            <w:r w:rsidRPr="005F003B">
              <w:t>legislation and regulations.</w:t>
            </w:r>
          </w:p>
        </w:tc>
      </w:tr>
      <w:tr w:rsidTr="001E58AE">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5F003B">
            <w:pPr>
              <w:pStyle w:val="BodyText"/>
              <w:rPr>
                <w:lang w:val="en-NZ"/>
              </w:rPr>
            </w:pPr>
          </w:p>
        </w:tc>
      </w:tr>
      <w:tr w:rsidTr="001E58AE">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rPr>
                <w:rStyle w:val="BoldandItalics"/>
              </w:rPr>
              <w:t>Workplace policies and procedures</w:t>
            </w:r>
            <w:r w:rsidRPr="005F003B">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5F003B" w:rsidP="005F003B">
            <w:pPr>
              <w:pStyle w:val="ListBullet"/>
            </w:pPr>
            <w:r w:rsidRPr="005F003B">
              <w:t>client comfort and safety</w:t>
            </w:r>
          </w:p>
          <w:p w:rsidR="00000000" w:rsidRPr="005F003B" w:rsidP="005F003B">
            <w:pPr>
              <w:pStyle w:val="ListBullet"/>
            </w:pPr>
            <w:r w:rsidRPr="005F003B">
              <w:t>operator safety</w:t>
            </w:r>
          </w:p>
          <w:p w:rsidR="00000000" w:rsidRPr="005F003B" w:rsidP="005F003B">
            <w:pPr>
              <w:pStyle w:val="ListBullet"/>
            </w:pPr>
            <w:r w:rsidRPr="005F003B">
              <w:t>health and hygiene.</w:t>
            </w:r>
          </w:p>
        </w:tc>
      </w:tr>
    </w:tbl>
    <w:p w:rsidR="001E58AE" w:rsidP="005F003B">
      <w:pPr>
        <w:pStyle w:val="BodyText"/>
      </w:pPr>
    </w:p>
    <w:p w:rsidR="001E58AE" w:rsidP="005F003B">
      <w:pPr>
        <w:pStyle w:val="BodyText"/>
      </w:pPr>
    </w:p>
    <w:p w:rsidR="00000000" w:rsidRPr="005F003B" w:rsidP="005F003B">
      <w:pPr>
        <w:pStyle w:val="Heading1"/>
      </w:pPr>
      <w:bookmarkStart w:id="12" w:name="O_152438"/>
      <w:bookmarkEnd w:id="12"/>
      <w:r w:rsidRPr="005F003B">
        <w:t>Unit Sector(s)</w:t>
      </w:r>
    </w:p>
    <w:p w:rsidR="00000000" w:rsidRPr="005F003B" w:rsidP="005F003B">
      <w:pPr>
        <w:pStyle w:val="BodyText"/>
      </w:pPr>
      <w:r w:rsidRPr="005F003B">
        <w:t>Not applicable.</w:t>
      </w:r>
    </w:p>
    <w:p w:rsidR="00000000" w:rsidRPr="005F003B" w:rsidP="005F003B">
      <w:pPr>
        <w:pStyle w:val="AllowPageBreak"/>
      </w:pPr>
    </w:p>
    <w:p w:rsidR="00000000" w:rsidRPr="005F003B" w:rsidP="005F003B">
      <w:pPr>
        <w:pStyle w:val="Heading1"/>
      </w:pPr>
      <w:bookmarkStart w:id="13" w:name="O_163967"/>
      <w:bookmarkEnd w:id="13"/>
      <w:r w:rsidRPr="005F003B">
        <w:t>Competency field</w:t>
      </w:r>
    </w:p>
    <w:tbl>
      <w:tblPr>
        <w:tblW w:w="9214" w:type="dxa"/>
        <w:tblLayout w:type="fixed"/>
        <w:tblCellMar>
          <w:left w:w="62" w:type="dxa"/>
          <w:right w:w="62" w:type="dxa"/>
        </w:tblCellMar>
        <w:tblLook w:val="0000"/>
      </w:tblPr>
      <w:tblGrid>
        <w:gridCol w:w="2552"/>
        <w:gridCol w:w="6662"/>
      </w:tblGrid>
      <w:tr w:rsidTr="001E58AE">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5F003B">
            <w:pPr>
              <w:pStyle w:val="BodyText"/>
              <w:rPr>
                <w:lang w:val="en-NZ"/>
              </w:rPr>
            </w:pPr>
            <w:r w:rsidRPr="005F003B">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5F003B" w:rsidP="005F003B">
            <w:pPr>
              <w:pStyle w:val="BodyText"/>
            </w:pPr>
            <w:r w:rsidRPr="005F003B">
              <w:t>Hairdressing</w:t>
            </w:r>
          </w:p>
        </w:tc>
      </w:tr>
    </w:tbl>
    <w:p w:rsidR="00000000" w:rsidRPr="005F003B" w:rsidP="005F003B">
      <w:pPr>
        <w:pStyle w:val="BodyText"/>
      </w:pPr>
    </w:p>
    <w:p w:rsidR="00000000" w:rsidRPr="005F003B" w:rsidP="005F003B"/>
    <w:sectPr w:rsidSect="005F00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0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58AE" w:rsidP="001E58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0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8AE" w:rsidP="005F00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E58AE" w:rsidP="005F00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E58AE" w:rsidP="005F00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0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58AE" w:rsidP="001E58A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0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8AE" w:rsidP="005F003B">
    <w:pPr>
      <w:pStyle w:val="Header"/>
      <w:framePr w:wrap="around"/>
    </w:pPr>
    <w:r>
      <w:fldChar w:fldCharType="begin"/>
    </w:r>
    <w:r>
      <w:instrText xml:space="preserve"> TITLE   \* MERGEFORMAT </w:instrText>
    </w:r>
    <w:r>
      <w:fldChar w:fldCharType="separate"/>
    </w:r>
    <w:r>
      <w:t>WRHCL304A Perform colour correction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E58AE" w:rsidP="005F00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7CC5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6471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DCB5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00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003B"/>
    <w:pPr>
      <w:spacing w:before="360" w:after="60"/>
      <w:outlineLvl w:val="0"/>
    </w:pPr>
    <w:rPr>
      <w:sz w:val="32"/>
    </w:rPr>
  </w:style>
  <w:style w:type="paragraph" w:styleId="Heading2">
    <w:name w:val="heading 2"/>
    <w:basedOn w:val="HeadingBase"/>
    <w:next w:val="BodyText"/>
    <w:link w:val="Heading2Char"/>
    <w:qFormat/>
    <w:rsid w:val="005F003B"/>
    <w:pPr>
      <w:keepLines/>
      <w:spacing w:before="240" w:after="120"/>
      <w:outlineLvl w:val="1"/>
    </w:pPr>
    <w:rPr>
      <w:sz w:val="28"/>
      <w:szCs w:val="40"/>
    </w:rPr>
  </w:style>
  <w:style w:type="paragraph" w:styleId="Heading3">
    <w:name w:val="heading 3"/>
    <w:basedOn w:val="HeadingBase"/>
    <w:next w:val="BodyText"/>
    <w:link w:val="Heading3Char"/>
    <w:qFormat/>
    <w:rsid w:val="005F003B"/>
    <w:pPr>
      <w:spacing w:before="180" w:after="120"/>
      <w:outlineLvl w:val="2"/>
    </w:pPr>
    <w:rPr>
      <w:spacing w:val="-10"/>
      <w:kern w:val="32"/>
    </w:rPr>
  </w:style>
  <w:style w:type="paragraph" w:styleId="Heading4">
    <w:name w:val="heading 4"/>
    <w:basedOn w:val="HeadingBase"/>
    <w:next w:val="BodyText"/>
    <w:link w:val="Heading4Char"/>
    <w:qFormat/>
    <w:rsid w:val="005F003B"/>
    <w:pPr>
      <w:spacing w:before="160" w:after="120"/>
      <w:outlineLvl w:val="3"/>
    </w:pPr>
    <w:rPr>
      <w:sz w:val="22"/>
    </w:rPr>
  </w:style>
  <w:style w:type="paragraph" w:styleId="Heading5">
    <w:name w:val="heading 5"/>
    <w:basedOn w:val="HeadingBase"/>
    <w:next w:val="Normal"/>
    <w:link w:val="Heading5Char"/>
    <w:qFormat/>
    <w:rsid w:val="005F003B"/>
    <w:pPr>
      <w:spacing w:before="80"/>
      <w:outlineLvl w:val="4"/>
    </w:pPr>
    <w:rPr>
      <w:color w:val="918585"/>
      <w:sz w:val="20"/>
    </w:rPr>
  </w:style>
  <w:style w:type="paragraph" w:styleId="Heading6">
    <w:name w:val="heading 6"/>
    <w:basedOn w:val="HeadingBase"/>
    <w:next w:val="Normal"/>
    <w:link w:val="Heading6Char"/>
    <w:qFormat/>
    <w:rsid w:val="005F003B"/>
    <w:pPr>
      <w:spacing w:before="60"/>
      <w:outlineLvl w:val="5"/>
    </w:pPr>
    <w:rPr>
      <w:color w:val="918585"/>
      <w:sz w:val="20"/>
    </w:rPr>
  </w:style>
  <w:style w:type="paragraph" w:styleId="Heading7">
    <w:name w:val="heading 7"/>
    <w:basedOn w:val="Normal"/>
    <w:next w:val="Normal"/>
    <w:link w:val="Heading7Char"/>
    <w:qFormat/>
    <w:rsid w:val="005F003B"/>
    <w:pPr>
      <w:ind w:left="720"/>
      <w:outlineLvl w:val="6"/>
    </w:pPr>
    <w:rPr>
      <w:i/>
    </w:rPr>
  </w:style>
  <w:style w:type="paragraph" w:styleId="Heading8">
    <w:name w:val="heading 8"/>
    <w:basedOn w:val="Normal"/>
    <w:next w:val="Normal"/>
    <w:link w:val="Heading8Char"/>
    <w:qFormat/>
    <w:rsid w:val="005F003B"/>
    <w:pPr>
      <w:ind w:left="720"/>
      <w:outlineLvl w:val="7"/>
    </w:pPr>
    <w:rPr>
      <w:i/>
    </w:rPr>
  </w:style>
  <w:style w:type="paragraph" w:styleId="Heading9">
    <w:name w:val="heading 9"/>
    <w:basedOn w:val="Normal"/>
    <w:next w:val="Normal"/>
    <w:link w:val="Heading9Char"/>
    <w:qFormat/>
    <w:rsid w:val="005F003B"/>
    <w:pPr>
      <w:ind w:left="720"/>
      <w:outlineLvl w:val="8"/>
    </w:pPr>
    <w:rPr>
      <w:i/>
    </w:rPr>
  </w:style>
  <w:style w:type="character" w:default="1" w:styleId="DefaultParagraphFont">
    <w:name w:val="Default Paragraph Font"/>
    <w:uiPriority w:val="1"/>
    <w:unhideWhenUsed/>
    <w:rsid w:val="005F00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003B"/>
  </w:style>
  <w:style w:type="character" w:customStyle="1" w:styleId="Heading1Char">
    <w:name w:val="Heading 1 Char"/>
    <w:basedOn w:val="DefaultParagraphFont"/>
    <w:link w:val="Heading1"/>
    <w:rsid w:val="005F003B"/>
    <w:rPr>
      <w:rFonts w:ascii="Times New Roman" w:eastAsia="Times New Roman" w:hAnsi="Times New Roman" w:cs="Times New Roman"/>
      <w:b/>
      <w:sz w:val="32"/>
      <w:szCs w:val="20"/>
      <w:lang w:eastAsia="en-US"/>
    </w:rPr>
  </w:style>
  <w:style w:type="paragraph" w:styleId="BodyText">
    <w:name w:val="Body Text"/>
    <w:basedOn w:val="Normal"/>
    <w:link w:val="BodyTextChar"/>
    <w:rsid w:val="005F00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003B"/>
    <w:rPr>
      <w:rFonts w:ascii="Times New Roman" w:eastAsia="Times New Roman" w:hAnsi="Times New Roman" w:cs="Times New Roman"/>
      <w:sz w:val="24"/>
      <w:lang w:val="en-US" w:eastAsia="en-US"/>
    </w:rPr>
  </w:style>
  <w:style w:type="paragraph" w:styleId="Footer">
    <w:name w:val="footer"/>
    <w:basedOn w:val="Normal"/>
    <w:link w:val="FooterChar"/>
    <w:rsid w:val="005F00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003B"/>
    <w:rPr>
      <w:rFonts w:ascii="Times New Roman" w:eastAsia="Times New Roman" w:hAnsi="Times New Roman" w:cs="Times New Roman"/>
      <w:sz w:val="16"/>
      <w:lang w:val="en-US" w:eastAsia="en-US"/>
    </w:rPr>
  </w:style>
  <w:style w:type="paragraph" w:styleId="ListBullet">
    <w:name w:val="List Bullet"/>
    <w:basedOn w:val="List"/>
    <w:rsid w:val="005F003B"/>
    <w:pPr>
      <w:numPr>
        <w:numId w:val="13"/>
      </w:numPr>
      <w:tabs>
        <w:tab w:val="clear" w:pos="340"/>
      </w:tabs>
      <w:spacing w:before="40" w:after="40"/>
    </w:pPr>
  </w:style>
  <w:style w:type="character" w:customStyle="1" w:styleId="SpecialBold">
    <w:name w:val="Special Bold"/>
    <w:basedOn w:val="DefaultParagraphFont"/>
    <w:rsid w:val="005F003B"/>
    <w:rPr>
      <w:b/>
      <w:spacing w:val="0"/>
    </w:rPr>
  </w:style>
  <w:style w:type="paragraph" w:styleId="ListBullet2">
    <w:name w:val="List Bullet 2"/>
    <w:basedOn w:val="List2"/>
    <w:rsid w:val="005F003B"/>
    <w:pPr>
      <w:numPr>
        <w:numId w:val="14"/>
      </w:numPr>
      <w:tabs>
        <w:tab w:val="clear" w:pos="680"/>
      </w:tabs>
    </w:pPr>
  </w:style>
  <w:style w:type="paragraph" w:styleId="Header">
    <w:name w:val="header"/>
    <w:basedOn w:val="Normal"/>
    <w:link w:val="HeaderChar"/>
    <w:rsid w:val="005F00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00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F003B"/>
    <w:pPr>
      <w:spacing w:before="240" w:after="120"/>
      <w:outlineLvl w:val="0"/>
    </w:pPr>
    <w:rPr>
      <w:rFonts w:ascii="Times New Roman" w:hAnsi="Times New Roman"/>
      <w:b/>
      <w:sz w:val="28"/>
    </w:rPr>
  </w:style>
  <w:style w:type="paragraph" w:customStyle="1" w:styleId="AllowPageBreak">
    <w:name w:val="AllowPageBreak"/>
    <w:rsid w:val="005F00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F003B"/>
    <w:rPr>
      <w:b/>
      <w:i/>
      <w:u w:val="none"/>
    </w:rPr>
  </w:style>
  <w:style w:type="character" w:customStyle="1" w:styleId="Heading2Char">
    <w:name w:val="Heading 2 Char"/>
    <w:basedOn w:val="DefaultParagraphFont"/>
    <w:link w:val="Heading2"/>
    <w:rsid w:val="005F00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00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00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00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00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00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00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003B"/>
    <w:rPr>
      <w:rFonts w:ascii="Courier New" w:eastAsia="Times New Roman" w:hAnsi="Courier New" w:cs="Times New Roman"/>
      <w:i/>
      <w:szCs w:val="20"/>
      <w:lang w:val="en-US" w:eastAsia="en-US"/>
    </w:rPr>
  </w:style>
  <w:style w:type="paragraph" w:customStyle="1" w:styleId="HeadingBase">
    <w:name w:val="Heading Base"/>
    <w:rsid w:val="005F00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003B"/>
    <w:pPr>
      <w:tabs>
        <w:tab w:val="right" w:leader="dot" w:pos="9072"/>
      </w:tabs>
      <w:ind w:left="567"/>
    </w:pPr>
    <w:rPr>
      <w:szCs w:val="22"/>
    </w:rPr>
  </w:style>
  <w:style w:type="paragraph" w:customStyle="1" w:styleId="TOCBase">
    <w:name w:val="TOC Base"/>
    <w:rsid w:val="005F00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003B"/>
    <w:pPr>
      <w:tabs>
        <w:tab w:val="right" w:leader="dot" w:pos="9072"/>
      </w:tabs>
      <w:spacing w:before="40" w:after="40"/>
      <w:ind w:left="284"/>
    </w:pPr>
    <w:rPr>
      <w:rFonts w:ascii="Times New Roman" w:hAnsi="Times New Roman"/>
    </w:rPr>
  </w:style>
  <w:style w:type="paragraph" w:styleId="TOC1">
    <w:name w:val="toc 1"/>
    <w:basedOn w:val="TOCBase"/>
    <w:next w:val="Normal"/>
    <w:rsid w:val="005F00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003B"/>
    <w:pPr>
      <w:spacing w:before="5040"/>
      <w:jc w:val="center"/>
    </w:pPr>
    <w:rPr>
      <w:sz w:val="48"/>
      <w:szCs w:val="72"/>
      <w:lang w:val="en-US"/>
    </w:rPr>
  </w:style>
  <w:style w:type="character" w:customStyle="1" w:styleId="TitleChar">
    <w:name w:val="Title Char"/>
    <w:basedOn w:val="DefaultParagraphFont"/>
    <w:link w:val="Title"/>
    <w:rsid w:val="005F00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003B"/>
    <w:pPr>
      <w:tabs>
        <w:tab w:val="left" w:pos="3600"/>
        <w:tab w:val="left" w:pos="3958"/>
      </w:tabs>
    </w:pPr>
  </w:style>
  <w:style w:type="paragraph" w:styleId="List">
    <w:name w:val="List"/>
    <w:basedOn w:val="BodyText"/>
    <w:next w:val="BodyText"/>
    <w:rsid w:val="005F003B"/>
    <w:pPr>
      <w:tabs>
        <w:tab w:val="left" w:pos="340"/>
      </w:tabs>
      <w:spacing w:before="60" w:after="60"/>
      <w:ind w:left="340" w:hanging="340"/>
    </w:pPr>
  </w:style>
  <w:style w:type="paragraph" w:customStyle="1" w:styleId="Note">
    <w:name w:val="Note"/>
    <w:basedOn w:val="BodyText"/>
    <w:rsid w:val="005F00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003B"/>
    <w:pPr>
      <w:framePr w:wrap="auto" w:hAnchor="text" w:y="6049"/>
    </w:pPr>
    <w:rPr>
      <w:color w:val="000000"/>
      <w:sz w:val="40"/>
    </w:rPr>
  </w:style>
  <w:style w:type="paragraph" w:customStyle="1" w:styleId="TOCTitle">
    <w:name w:val="TOCTitle"/>
    <w:basedOn w:val="Heading1"/>
    <w:rsid w:val="005F003B"/>
    <w:pPr>
      <w:spacing w:after="240"/>
      <w:jc w:val="center"/>
      <w:outlineLvl w:val="9"/>
    </w:pPr>
    <w:rPr>
      <w:caps/>
    </w:rPr>
  </w:style>
  <w:style w:type="paragraph" w:customStyle="1" w:styleId="Version">
    <w:name w:val="Version"/>
    <w:rsid w:val="005F00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003B"/>
    <w:pPr>
      <w:keepNext w:val="0"/>
      <w:tabs>
        <w:tab w:val="right" w:pos="4176"/>
      </w:tabs>
      <w:ind w:left="198" w:hanging="198"/>
    </w:pPr>
    <w:rPr>
      <w:rFonts w:ascii="Garamond" w:hAnsi="Garamond"/>
    </w:rPr>
  </w:style>
  <w:style w:type="paragraph" w:styleId="IndexHeading">
    <w:name w:val="index heading"/>
    <w:basedOn w:val="Normal"/>
    <w:next w:val="Index1"/>
    <w:semiHidden/>
    <w:rsid w:val="005F003B"/>
    <w:pPr>
      <w:spacing w:before="120" w:after="120"/>
    </w:pPr>
    <w:rPr>
      <w:rFonts w:ascii="Arial" w:hAnsi="Arial"/>
      <w:b/>
      <w:color w:val="918585"/>
      <w:sz w:val="24"/>
    </w:rPr>
  </w:style>
  <w:style w:type="paragraph" w:customStyle="1" w:styleId="Chapter">
    <w:name w:val="Chapter"/>
    <w:basedOn w:val="Normal"/>
    <w:rsid w:val="005F003B"/>
    <w:pPr>
      <w:spacing w:before="240"/>
    </w:pPr>
    <w:rPr>
      <w:rFonts w:ascii="Times New Roman" w:hAnsi="Times New Roman"/>
      <w:smallCaps/>
      <w:spacing w:val="80"/>
      <w:sz w:val="28"/>
    </w:rPr>
  </w:style>
  <w:style w:type="paragraph" w:customStyle="1" w:styleId="InChapter">
    <w:name w:val="InChapter"/>
    <w:basedOn w:val="Heading3"/>
    <w:rsid w:val="005F003B"/>
    <w:pPr>
      <w:spacing w:after="240"/>
      <w:outlineLvl w:val="9"/>
    </w:pPr>
    <w:rPr>
      <w:noProof/>
    </w:rPr>
  </w:style>
  <w:style w:type="paragraph" w:styleId="Index2">
    <w:name w:val="index 2"/>
    <w:basedOn w:val="Normal"/>
    <w:next w:val="Normal"/>
    <w:semiHidden/>
    <w:rsid w:val="005F003B"/>
    <w:pPr>
      <w:tabs>
        <w:tab w:val="right" w:pos="4176"/>
      </w:tabs>
      <w:ind w:left="568" w:hanging="284"/>
    </w:pPr>
    <w:rPr>
      <w:rFonts w:ascii="Garamond" w:hAnsi="Garamond"/>
    </w:rPr>
  </w:style>
  <w:style w:type="paragraph" w:customStyle="1" w:styleId="Byline">
    <w:name w:val="Byline"/>
    <w:rsid w:val="005F00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003B"/>
    <w:pPr>
      <w:tabs>
        <w:tab w:val="clear" w:pos="3600"/>
        <w:tab w:val="clear" w:pos="3958"/>
      </w:tabs>
      <w:jc w:val="right"/>
    </w:pPr>
  </w:style>
  <w:style w:type="character" w:styleId="Emphasis">
    <w:name w:val="Emphasis"/>
    <w:basedOn w:val="DefaultParagraphFont"/>
    <w:qFormat/>
    <w:rsid w:val="005F003B"/>
    <w:rPr>
      <w:i/>
    </w:rPr>
  </w:style>
  <w:style w:type="paragraph" w:styleId="Caption">
    <w:name w:val="caption"/>
    <w:basedOn w:val="BodyText"/>
    <w:next w:val="Normal"/>
    <w:qFormat/>
    <w:rsid w:val="005F003B"/>
    <w:pPr>
      <w:framePr w:w="2268" w:hSpace="181" w:vSpace="181" w:wrap="around" w:vAnchor="text" w:hAnchor="page" w:x="1135" w:y="285" w:anchorLock="1"/>
    </w:pPr>
    <w:rPr>
      <w:i/>
    </w:rPr>
  </w:style>
  <w:style w:type="paragraph" w:customStyle="1" w:styleId="MiniTOCTitle">
    <w:name w:val="MiniTOCTitle"/>
    <w:basedOn w:val="Heading4"/>
    <w:rsid w:val="005F003B"/>
    <w:pPr>
      <w:spacing w:before="240"/>
      <w:outlineLvl w:val="9"/>
    </w:pPr>
    <w:rPr>
      <w:noProof/>
      <w:sz w:val="24"/>
    </w:rPr>
  </w:style>
  <w:style w:type="paragraph" w:customStyle="1" w:styleId="MiniTOCItem">
    <w:name w:val="MiniTOCItem"/>
    <w:basedOn w:val="ListBullet"/>
    <w:rsid w:val="005F003B"/>
    <w:pPr>
      <w:numPr>
        <w:numId w:val="0"/>
      </w:numPr>
      <w:tabs>
        <w:tab w:val="right" w:leader="dot" w:pos="6521"/>
      </w:tabs>
      <w:spacing w:before="0" w:after="0"/>
    </w:pPr>
  </w:style>
  <w:style w:type="paragraph" w:customStyle="1" w:styleId="TOFTitle">
    <w:name w:val="TOFTitle"/>
    <w:basedOn w:val="TOCTitle"/>
    <w:rsid w:val="005F003B"/>
  </w:style>
  <w:style w:type="paragraph" w:styleId="TableofFigures">
    <w:name w:val="table of figures"/>
    <w:basedOn w:val="Normal"/>
    <w:next w:val="Normal"/>
    <w:semiHidden/>
    <w:rsid w:val="005F003B"/>
    <w:pPr>
      <w:tabs>
        <w:tab w:val="right" w:leader="dot" w:pos="9072"/>
      </w:tabs>
      <w:ind w:left="970" w:hanging="403"/>
    </w:pPr>
    <w:rPr>
      <w:rFonts w:ascii="Times New Roman" w:hAnsi="Times New Roman"/>
      <w:b/>
    </w:rPr>
  </w:style>
  <w:style w:type="paragraph" w:styleId="ListNumber">
    <w:name w:val="List Number"/>
    <w:basedOn w:val="List"/>
    <w:rsid w:val="005F003B"/>
    <w:pPr>
      <w:numPr>
        <w:numId w:val="11"/>
      </w:numPr>
    </w:pPr>
  </w:style>
  <w:style w:type="character" w:customStyle="1" w:styleId="WingdingSymbols">
    <w:name w:val="Wingding Symbols"/>
    <w:rsid w:val="005F003B"/>
    <w:rPr>
      <w:rFonts w:ascii="Wingdings" w:hAnsi="Wingdings"/>
    </w:rPr>
  </w:style>
  <w:style w:type="paragraph" w:customStyle="1" w:styleId="TableHeading">
    <w:name w:val="Table Heading"/>
    <w:basedOn w:val="HeadingBase"/>
    <w:rsid w:val="005F003B"/>
    <w:pPr>
      <w:keepLines/>
      <w:pBdr>
        <w:bottom w:val="single" w:sz="6" w:space="1" w:color="918585"/>
      </w:pBdr>
      <w:spacing w:before="240"/>
    </w:pPr>
  </w:style>
  <w:style w:type="character" w:customStyle="1" w:styleId="HotSpot">
    <w:name w:val="HotSpot"/>
    <w:rsid w:val="005F003B"/>
    <w:rPr>
      <w:color w:val="0033CC"/>
      <w:u w:val="none"/>
    </w:rPr>
  </w:style>
  <w:style w:type="paragraph" w:customStyle="1" w:styleId="BodyTextRight">
    <w:name w:val="Body Text Right"/>
    <w:basedOn w:val="BodyText"/>
    <w:rsid w:val="005F003B"/>
    <w:pPr>
      <w:spacing w:before="0" w:after="0"/>
      <w:jc w:val="right"/>
    </w:pPr>
  </w:style>
  <w:style w:type="paragraph" w:styleId="Index3">
    <w:name w:val="index 3"/>
    <w:basedOn w:val="ListNumber2"/>
    <w:next w:val="Normal"/>
    <w:semiHidden/>
    <w:rsid w:val="005F003B"/>
    <w:pPr>
      <w:numPr>
        <w:numId w:val="0"/>
      </w:numPr>
      <w:tabs>
        <w:tab w:val="right" w:leader="dot" w:pos="4176"/>
      </w:tabs>
    </w:pPr>
  </w:style>
  <w:style w:type="paragraph" w:styleId="ListNumber2">
    <w:name w:val="List Number 2"/>
    <w:basedOn w:val="List2"/>
    <w:rsid w:val="005F003B"/>
    <w:pPr>
      <w:numPr>
        <w:numId w:val="10"/>
      </w:numPr>
      <w:tabs>
        <w:tab w:val="clear" w:pos="1060"/>
      </w:tabs>
    </w:pPr>
  </w:style>
  <w:style w:type="paragraph" w:customStyle="1" w:styleId="MarginNote">
    <w:name w:val="Margin Note"/>
    <w:basedOn w:val="BodyText"/>
    <w:rsid w:val="005F00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00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00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003B"/>
    <w:rPr>
      <w:sz w:val="32"/>
    </w:rPr>
  </w:style>
  <w:style w:type="paragraph" w:customStyle="1" w:styleId="HeadingProcedure">
    <w:name w:val="Heading Procedure"/>
    <w:basedOn w:val="HeadingBase"/>
    <w:next w:val="Normal"/>
    <w:rsid w:val="005F003B"/>
    <w:pPr>
      <w:tabs>
        <w:tab w:val="left" w:pos="0"/>
      </w:tabs>
      <w:spacing w:before="120" w:after="60"/>
    </w:pPr>
    <w:rPr>
      <w:i/>
      <w:color w:val="918585"/>
      <w:sz w:val="22"/>
    </w:rPr>
  </w:style>
  <w:style w:type="paragraph" w:customStyle="1" w:styleId="TableBodyText">
    <w:name w:val="Table Body Text"/>
    <w:basedOn w:val="BodyText"/>
    <w:rsid w:val="005F003B"/>
    <w:pPr>
      <w:spacing w:before="60" w:after="60"/>
    </w:pPr>
  </w:style>
  <w:style w:type="paragraph" w:styleId="ListContinue">
    <w:name w:val="List Continue"/>
    <w:basedOn w:val="List"/>
    <w:rsid w:val="005F003B"/>
    <w:pPr>
      <w:ind w:firstLine="0"/>
    </w:pPr>
  </w:style>
  <w:style w:type="paragraph" w:customStyle="1" w:styleId="ListNote">
    <w:name w:val="List Note"/>
    <w:basedOn w:val="List"/>
    <w:rsid w:val="005F003B"/>
    <w:pPr>
      <w:pBdr>
        <w:top w:val="single" w:sz="6" w:space="2" w:color="918585"/>
        <w:bottom w:val="single" w:sz="6" w:space="2" w:color="918585"/>
      </w:pBdr>
      <w:tabs>
        <w:tab w:val="left" w:pos="1021"/>
      </w:tabs>
      <w:ind w:firstLine="0"/>
    </w:pPr>
  </w:style>
  <w:style w:type="paragraph" w:customStyle="1" w:styleId="Warning">
    <w:name w:val="Warning"/>
    <w:basedOn w:val="BodyText"/>
    <w:rsid w:val="005F003B"/>
    <w:pPr>
      <w:shd w:val="clear" w:color="auto" w:fill="D9D9D9"/>
      <w:tabs>
        <w:tab w:val="left" w:pos="992"/>
      </w:tabs>
      <w:ind w:left="119" w:right="119"/>
    </w:pPr>
    <w:rPr>
      <w:sz w:val="20"/>
    </w:rPr>
  </w:style>
  <w:style w:type="paragraph" w:customStyle="1" w:styleId="MarginIcons">
    <w:name w:val="Margin Icons"/>
    <w:basedOn w:val="BodyText"/>
    <w:rsid w:val="005F00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003B"/>
    <w:rPr>
      <w:rFonts w:ascii="Courier New" w:hAnsi="Courier New"/>
    </w:rPr>
  </w:style>
  <w:style w:type="paragraph" w:customStyle="1" w:styleId="NoteBullet">
    <w:name w:val="Note Bullet"/>
    <w:basedOn w:val="Note"/>
    <w:rsid w:val="005F003B"/>
    <w:pPr>
      <w:tabs>
        <w:tab w:val="clear" w:pos="680"/>
      </w:tabs>
      <w:spacing w:before="60" w:after="60"/>
    </w:pPr>
  </w:style>
  <w:style w:type="paragraph" w:customStyle="1" w:styleId="SubHeading2">
    <w:name w:val="SubHeading2"/>
    <w:basedOn w:val="HeadingBase"/>
    <w:rsid w:val="005F003B"/>
    <w:pPr>
      <w:spacing w:before="240" w:after="60"/>
    </w:pPr>
    <w:rPr>
      <w:sz w:val="20"/>
    </w:rPr>
  </w:style>
  <w:style w:type="paragraph" w:customStyle="1" w:styleId="SubHeading1">
    <w:name w:val="SubHeading1"/>
    <w:basedOn w:val="HeadingBase"/>
    <w:rsid w:val="005F003B"/>
    <w:pPr>
      <w:spacing w:before="240" w:after="60"/>
    </w:pPr>
    <w:rPr>
      <w:color w:val="918585"/>
      <w:sz w:val="22"/>
    </w:rPr>
  </w:style>
  <w:style w:type="paragraph" w:customStyle="1" w:styleId="SideHeading">
    <w:name w:val="Side Heading"/>
    <w:basedOn w:val="HeadingBase"/>
    <w:rsid w:val="005F00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003B"/>
    <w:pPr>
      <w:numPr>
        <w:numId w:val="12"/>
      </w:numPr>
    </w:pPr>
  </w:style>
  <w:style w:type="paragraph" w:styleId="PlainText">
    <w:name w:val="Plain Text"/>
    <w:basedOn w:val="Normal"/>
    <w:link w:val="PlainTextChar"/>
    <w:rsid w:val="005F003B"/>
    <w:rPr>
      <w:sz w:val="20"/>
    </w:rPr>
  </w:style>
  <w:style w:type="character" w:customStyle="1" w:styleId="PlainTextChar">
    <w:name w:val="Plain Text Char"/>
    <w:basedOn w:val="DefaultParagraphFont"/>
    <w:link w:val="PlainText"/>
    <w:rsid w:val="005F00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003B"/>
    <w:rPr>
      <w:b/>
      <w:smallCaps/>
    </w:rPr>
  </w:style>
  <w:style w:type="paragraph" w:customStyle="1" w:styleId="TableListNumber">
    <w:name w:val="Table List Number"/>
    <w:basedOn w:val="ListNumber"/>
    <w:rsid w:val="005F003B"/>
    <w:pPr>
      <w:numPr>
        <w:numId w:val="0"/>
      </w:numPr>
    </w:pPr>
  </w:style>
  <w:style w:type="paragraph" w:styleId="TOC4">
    <w:name w:val="toc 4"/>
    <w:basedOn w:val="TOCBase"/>
    <w:next w:val="Normal"/>
    <w:semiHidden/>
    <w:rsid w:val="005F003B"/>
    <w:pPr>
      <w:tabs>
        <w:tab w:val="right" w:leader="dot" w:pos="9071"/>
      </w:tabs>
      <w:ind w:left="1701"/>
    </w:pPr>
  </w:style>
  <w:style w:type="paragraph" w:customStyle="1" w:styleId="ListAlpha">
    <w:name w:val="List Alpha"/>
    <w:basedOn w:val="List"/>
    <w:rsid w:val="005F003B"/>
    <w:pPr>
      <w:numPr>
        <w:numId w:val="9"/>
      </w:numPr>
    </w:pPr>
  </w:style>
  <w:style w:type="paragraph" w:customStyle="1" w:styleId="ListAlpha2">
    <w:name w:val="List Alpha 2"/>
    <w:basedOn w:val="List2"/>
    <w:rsid w:val="005F003B"/>
    <w:pPr>
      <w:numPr>
        <w:numId w:val="8"/>
      </w:numPr>
    </w:pPr>
  </w:style>
  <w:style w:type="paragraph" w:styleId="List2">
    <w:name w:val="List 2"/>
    <w:basedOn w:val="BodyText"/>
    <w:rsid w:val="005F003B"/>
    <w:pPr>
      <w:tabs>
        <w:tab w:val="left" w:pos="680"/>
      </w:tabs>
      <w:spacing w:before="60" w:after="60"/>
      <w:ind w:left="680" w:hanging="340"/>
    </w:pPr>
  </w:style>
  <w:style w:type="paragraph" w:styleId="List3">
    <w:name w:val="List 3"/>
    <w:basedOn w:val="BodyText"/>
    <w:rsid w:val="005F003B"/>
    <w:pPr>
      <w:tabs>
        <w:tab w:val="left" w:pos="1021"/>
      </w:tabs>
      <w:spacing w:before="60" w:after="60"/>
      <w:ind w:left="1020" w:hanging="340"/>
    </w:pPr>
  </w:style>
  <w:style w:type="paragraph" w:styleId="List4">
    <w:name w:val="List 4"/>
    <w:basedOn w:val="BodyText"/>
    <w:rsid w:val="005F003B"/>
    <w:pPr>
      <w:tabs>
        <w:tab w:val="left" w:pos="1361"/>
      </w:tabs>
      <w:spacing w:before="60" w:after="60"/>
      <w:ind w:left="1361" w:hanging="340"/>
    </w:pPr>
  </w:style>
  <w:style w:type="paragraph" w:styleId="List5">
    <w:name w:val="List 5"/>
    <w:basedOn w:val="BodyText"/>
    <w:rsid w:val="005F003B"/>
    <w:pPr>
      <w:tabs>
        <w:tab w:val="left" w:pos="1701"/>
      </w:tabs>
      <w:spacing w:before="60" w:after="60"/>
      <w:ind w:left="1701" w:hanging="340"/>
    </w:pPr>
  </w:style>
  <w:style w:type="paragraph" w:styleId="ListBullet3">
    <w:name w:val="List Bullet 3"/>
    <w:basedOn w:val="List3"/>
    <w:rsid w:val="005F003B"/>
    <w:pPr>
      <w:numPr>
        <w:numId w:val="15"/>
      </w:numPr>
      <w:tabs>
        <w:tab w:val="clear" w:pos="1021"/>
      </w:tabs>
      <w:ind w:left="1037" w:hanging="357"/>
    </w:pPr>
  </w:style>
  <w:style w:type="paragraph" w:styleId="ListBullet4">
    <w:name w:val="List Bullet 4"/>
    <w:basedOn w:val="List4"/>
    <w:rsid w:val="005F003B"/>
    <w:pPr>
      <w:numPr>
        <w:numId w:val="3"/>
      </w:numPr>
    </w:pPr>
  </w:style>
  <w:style w:type="paragraph" w:styleId="ListBullet5">
    <w:name w:val="List Bullet 5"/>
    <w:basedOn w:val="List5"/>
    <w:rsid w:val="005F003B"/>
    <w:pPr>
      <w:numPr>
        <w:numId w:val="4"/>
      </w:numPr>
    </w:pPr>
  </w:style>
  <w:style w:type="paragraph" w:styleId="ListContinue2">
    <w:name w:val="List Continue 2"/>
    <w:basedOn w:val="List2"/>
    <w:rsid w:val="005F003B"/>
    <w:pPr>
      <w:ind w:firstLine="0"/>
    </w:pPr>
  </w:style>
  <w:style w:type="paragraph" w:styleId="ListContinue3">
    <w:name w:val="List Continue 3"/>
    <w:basedOn w:val="List3"/>
    <w:rsid w:val="005F003B"/>
    <w:pPr>
      <w:ind w:left="1021" w:firstLine="0"/>
    </w:pPr>
  </w:style>
  <w:style w:type="paragraph" w:styleId="ListContinue4">
    <w:name w:val="List Continue 4"/>
    <w:basedOn w:val="List4"/>
    <w:rsid w:val="005F003B"/>
    <w:pPr>
      <w:ind w:firstLine="0"/>
    </w:pPr>
  </w:style>
  <w:style w:type="paragraph" w:styleId="ListContinue5">
    <w:name w:val="List Continue 5"/>
    <w:basedOn w:val="List5"/>
    <w:rsid w:val="005F003B"/>
    <w:pPr>
      <w:ind w:firstLine="0"/>
    </w:pPr>
  </w:style>
  <w:style w:type="paragraph" w:styleId="ListNumber3">
    <w:name w:val="List Number 3"/>
    <w:basedOn w:val="List3"/>
    <w:rsid w:val="005F003B"/>
    <w:pPr>
      <w:numPr>
        <w:numId w:val="5"/>
      </w:numPr>
    </w:pPr>
  </w:style>
  <w:style w:type="paragraph" w:styleId="ListNumber4">
    <w:name w:val="List Number 4"/>
    <w:basedOn w:val="List4"/>
    <w:rsid w:val="005F003B"/>
    <w:pPr>
      <w:numPr>
        <w:numId w:val="6"/>
      </w:numPr>
    </w:pPr>
  </w:style>
  <w:style w:type="paragraph" w:styleId="ListNumber5">
    <w:name w:val="List Number 5"/>
    <w:basedOn w:val="List5"/>
    <w:rsid w:val="005F003B"/>
    <w:pPr>
      <w:numPr>
        <w:numId w:val="7"/>
      </w:numPr>
    </w:pPr>
  </w:style>
  <w:style w:type="paragraph" w:styleId="BlockText">
    <w:name w:val="Block Text"/>
    <w:basedOn w:val="Normal"/>
    <w:rsid w:val="005F003B"/>
    <w:pPr>
      <w:spacing w:after="120"/>
      <w:ind w:left="1440" w:right="1440"/>
    </w:pPr>
  </w:style>
  <w:style w:type="character" w:customStyle="1" w:styleId="Subscript">
    <w:name w:val="Subscript"/>
    <w:basedOn w:val="DefaultParagraphFont"/>
    <w:rsid w:val="005F003B"/>
    <w:rPr>
      <w:sz w:val="16"/>
      <w:vertAlign w:val="subscript"/>
    </w:rPr>
  </w:style>
  <w:style w:type="character" w:customStyle="1" w:styleId="Superscript">
    <w:name w:val="Superscript"/>
    <w:basedOn w:val="DefaultParagraphFont"/>
    <w:rsid w:val="005F003B"/>
    <w:rPr>
      <w:sz w:val="16"/>
      <w:vertAlign w:val="superscript"/>
    </w:rPr>
  </w:style>
  <w:style w:type="character" w:customStyle="1" w:styleId="Symbols">
    <w:name w:val="Symbols"/>
    <w:basedOn w:val="DefaultParagraphFont"/>
    <w:rsid w:val="005F003B"/>
    <w:rPr>
      <w:rFonts w:ascii="Symbol" w:hAnsi="Symbol"/>
    </w:rPr>
  </w:style>
  <w:style w:type="character" w:customStyle="1" w:styleId="MenuOptions">
    <w:name w:val="Menu Options"/>
    <w:basedOn w:val="DefaultParagraphFont"/>
    <w:rsid w:val="005F003B"/>
    <w:rPr>
      <w:rFonts w:ascii="Arial Narrow" w:hAnsi="Arial Narrow"/>
      <w:smallCaps/>
    </w:rPr>
  </w:style>
  <w:style w:type="character" w:customStyle="1" w:styleId="Buttons">
    <w:name w:val="Buttons"/>
    <w:basedOn w:val="DefaultParagraphFont"/>
    <w:rsid w:val="005F003B"/>
    <w:rPr>
      <w:b/>
    </w:rPr>
  </w:style>
  <w:style w:type="character" w:customStyle="1" w:styleId="Underlined">
    <w:name w:val="Underlined"/>
    <w:basedOn w:val="DefaultParagraphFont"/>
    <w:rsid w:val="005F003B"/>
    <w:rPr>
      <w:u w:val="single"/>
    </w:rPr>
  </w:style>
  <w:style w:type="paragraph" w:customStyle="1" w:styleId="TableBodyTextRight">
    <w:name w:val="Table Body Text Right"/>
    <w:basedOn w:val="TableBodyText"/>
    <w:rsid w:val="005F003B"/>
    <w:pPr>
      <w:widowControl w:val="0"/>
      <w:autoSpaceDE w:val="0"/>
      <w:autoSpaceDN w:val="0"/>
      <w:adjustRightInd w:val="0"/>
      <w:jc w:val="right"/>
    </w:pPr>
    <w:rPr>
      <w:rFonts w:cs="Arial"/>
      <w:szCs w:val="18"/>
    </w:rPr>
  </w:style>
  <w:style w:type="paragraph" w:customStyle="1" w:styleId="CopyrightText">
    <w:name w:val="Copyright Text"/>
    <w:basedOn w:val="BodyText"/>
    <w:rsid w:val="005F003B"/>
    <w:rPr>
      <w:sz w:val="18"/>
    </w:rPr>
  </w:style>
  <w:style w:type="paragraph" w:customStyle="1" w:styleId="BodySmallRight">
    <w:name w:val="Body Small Right"/>
    <w:basedOn w:val="BodyTextRight"/>
    <w:rsid w:val="005F003B"/>
    <w:rPr>
      <w:sz w:val="18"/>
      <w:szCs w:val="18"/>
    </w:rPr>
  </w:style>
  <w:style w:type="paragraph" w:customStyle="1" w:styleId="MarginEdition">
    <w:name w:val="Margin Edition"/>
    <w:basedOn w:val="MarginNote"/>
    <w:rsid w:val="005F003B"/>
    <w:pPr>
      <w:spacing w:before="0" w:after="0"/>
    </w:pPr>
    <w:rPr>
      <w:rFonts w:ascii="Times New Roman" w:hAnsi="Times New Roman"/>
      <w:color w:val="999999"/>
    </w:rPr>
  </w:style>
  <w:style w:type="paragraph" w:customStyle="1" w:styleId="Spacer">
    <w:name w:val="Spacer"/>
    <w:basedOn w:val="Normal"/>
    <w:rsid w:val="005F003B"/>
    <w:rPr>
      <w:sz w:val="2"/>
      <w:szCs w:val="2"/>
    </w:rPr>
  </w:style>
  <w:style w:type="character" w:customStyle="1" w:styleId="Small">
    <w:name w:val="Small"/>
    <w:basedOn w:val="DefaultParagraphFont"/>
    <w:rsid w:val="005F003B"/>
    <w:rPr>
      <w:sz w:val="16"/>
    </w:rPr>
  </w:style>
  <w:style w:type="paragraph" w:customStyle="1" w:styleId="WideTable">
    <w:name w:val="Wide Table"/>
    <w:basedOn w:val="Normal"/>
    <w:rsid w:val="005F003B"/>
    <w:pPr>
      <w:ind w:left="-1418"/>
    </w:pPr>
    <w:rPr>
      <w:sz w:val="2"/>
      <w:szCs w:val="2"/>
    </w:rPr>
  </w:style>
  <w:style w:type="character" w:styleId="PageNumber">
    <w:name w:val="page number"/>
    <w:basedOn w:val="DefaultParagraphFont"/>
    <w:rsid w:val="005F003B"/>
  </w:style>
  <w:style w:type="paragraph" w:styleId="Quote">
    <w:name w:val="Quote"/>
    <w:basedOn w:val="Heading1"/>
    <w:link w:val="QuoteChar"/>
    <w:qFormat/>
    <w:rsid w:val="005F003B"/>
    <w:rPr>
      <w:b w:val="0"/>
      <w:sz w:val="72"/>
      <w:szCs w:val="72"/>
      <w:lang w:val="en-NZ"/>
    </w:rPr>
  </w:style>
  <w:style w:type="character" w:customStyle="1" w:styleId="QuoteChar">
    <w:name w:val="Quote Char"/>
    <w:basedOn w:val="DefaultParagraphFont"/>
    <w:link w:val="Quote"/>
    <w:rsid w:val="005F00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003B"/>
    <w:pPr>
      <w:pageBreakBefore/>
    </w:pPr>
  </w:style>
  <w:style w:type="paragraph" w:customStyle="1" w:styleId="Border">
    <w:name w:val="Border"/>
    <w:basedOn w:val="Normal"/>
    <w:qFormat/>
    <w:rsid w:val="005F00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003B"/>
    <w:rPr>
      <w:b/>
      <w:bCs/>
      <w:i/>
      <w:iCs/>
      <w:color w:val="auto"/>
    </w:rPr>
  </w:style>
  <w:style w:type="paragraph" w:styleId="IntenseQuote">
    <w:name w:val="Intense Quote"/>
    <w:basedOn w:val="Normal"/>
    <w:next w:val="Normal"/>
    <w:link w:val="IntenseQuoteChar"/>
    <w:uiPriority w:val="30"/>
    <w:qFormat/>
    <w:rsid w:val="005F00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00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003B"/>
    <w:rPr>
      <w:smallCaps/>
      <w:color w:val="auto"/>
      <w:u w:val="single"/>
    </w:rPr>
  </w:style>
  <w:style w:type="character" w:styleId="IntenseReference">
    <w:name w:val="Intense Reference"/>
    <w:basedOn w:val="DefaultParagraphFont"/>
    <w:uiPriority w:val="32"/>
    <w:qFormat/>
    <w:rsid w:val="005F003B"/>
    <w:rPr>
      <w:b/>
      <w:bCs/>
      <w:smallCaps/>
      <w:color w:val="auto"/>
      <w:spacing w:val="5"/>
      <w:u w:val="single"/>
    </w:rPr>
  </w:style>
  <w:style w:type="paragraph" w:customStyle="1" w:styleId="2ColumnHeading">
    <w:name w:val="2Column Heading"/>
    <w:basedOn w:val="BodyText"/>
    <w:qFormat/>
    <w:rsid w:val="005F003B"/>
    <w:pPr>
      <w:spacing w:after="60"/>
      <w:ind w:left="-2268"/>
    </w:pPr>
    <w:rPr>
      <w:b/>
    </w:rPr>
  </w:style>
  <w:style w:type="paragraph" w:customStyle="1" w:styleId="Heading1TOC">
    <w:name w:val="Heading1 TOC"/>
    <w:basedOn w:val="Normal"/>
    <w:qFormat/>
    <w:rsid w:val="005F003B"/>
    <w:pPr>
      <w:spacing w:before="240" w:after="120"/>
    </w:pPr>
    <w:rPr>
      <w:rFonts w:ascii="Times New Roman" w:hAnsi="Times New Roman"/>
      <w:b/>
      <w:sz w:val="32"/>
    </w:rPr>
  </w:style>
  <w:style w:type="paragraph" w:customStyle="1" w:styleId="Heading2TOC">
    <w:name w:val="Heading2 TOC"/>
    <w:basedOn w:val="Normal"/>
    <w:qFormat/>
    <w:rsid w:val="005F003B"/>
    <w:pPr>
      <w:spacing w:before="240" w:after="60"/>
    </w:pPr>
    <w:rPr>
      <w:rFonts w:ascii="Times New Roman" w:hAnsi="Times New Roman"/>
      <w:b/>
      <w:sz w:val="28"/>
    </w:rPr>
  </w:style>
  <w:style w:type="character" w:customStyle="1" w:styleId="Underline">
    <w:name w:val="Underline"/>
    <w:basedOn w:val="DefaultParagraphFont"/>
    <w:qFormat/>
    <w:rsid w:val="005F003B"/>
    <w:rPr>
      <w:u w:val="single"/>
    </w:rPr>
  </w:style>
  <w:style w:type="paragraph" w:styleId="BalloonText">
    <w:name w:val="Balloon Text"/>
    <w:basedOn w:val="Normal"/>
    <w:link w:val="BalloonTextChar"/>
    <w:rsid w:val="005F003B"/>
    <w:rPr>
      <w:rFonts w:ascii="Tahoma" w:hAnsi="Tahoma" w:cs="Tahoma"/>
      <w:sz w:val="16"/>
      <w:szCs w:val="16"/>
    </w:rPr>
  </w:style>
  <w:style w:type="character" w:customStyle="1" w:styleId="BalloonTextChar">
    <w:name w:val="Balloon Text Char"/>
    <w:basedOn w:val="DefaultParagraphFont"/>
    <w:link w:val="BalloonText"/>
    <w:rsid w:val="005F00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00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00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1597</Words>
  <Characters>9875</Characters>
  <Application>Microsoft Office Word</Application>
  <DocSecurity>0</DocSecurity>
  <Lines>415</Lines>
  <Paragraphs>185</Paragraphs>
  <ScaleCrop>false</ScaleCrop>
  <Company>Author-it Software Corporation Ltd.</Company>
  <LinksUpToDate>false</LinksUpToDate>
  <CharactersWithSpaces>11371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WRHCL304A Perform colour correction</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2012-05-27T04:17:00Z</dcterms:created>
  <dcterms:modified xsi:type="dcterms:W3CDTF">2012-05-27T04:17:00Z</dcterms:modified>
</cp:coreProperties>
</file>