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539B" w:rsidP="0007539B">
      <w:pPr>
        <w:pStyle w:val="Title"/>
      </w:pPr>
      <w:r>
        <w:fldChar w:fldCharType="begin"/>
      </w:r>
      <w:r>
        <w:instrText xml:space="preserve"> TITLE   \* MERGEFORMAT </w:instrText>
      </w:r>
      <w:r>
        <w:fldChar w:fldCharType="separate"/>
      </w:r>
      <w:r>
        <w:t>WRBCS201B Conduct financial transactions</w:t>
      </w:r>
      <w:r>
        <w:fldChar w:fldCharType="end"/>
      </w:r>
    </w:p>
    <w:p w:rsidR="0007539B" w:rsidP="0007539B">
      <w:pPr>
        <w:pStyle w:val="Version"/>
        <w:sectPr w:rsidSect="00D260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60A6" w:rsidP="00D260A6">
      <w:pPr>
        <w:pStyle w:val="SuperHeading"/>
      </w:pPr>
      <w:r w:rsidRPr="00D260A6">
        <w:t>WRBCS201B Conduct financial transactions</w:t>
      </w:r>
    </w:p>
    <w:p w:rsidR="00000000" w:rsidRPr="00D260A6" w:rsidP="00D260A6">
      <w:pPr>
        <w:pStyle w:val="Heading1"/>
      </w:pPr>
      <w:bookmarkStart w:id="1" w:name="O_317381"/>
      <w:bookmarkEnd w:id="1"/>
      <w:r w:rsidRPr="00D260A6">
        <w:t>Modification History</w:t>
      </w:r>
    </w:p>
    <w:p w:rsidR="00000000" w:rsidRPr="00D260A6" w:rsidP="00D260A6">
      <w:pPr>
        <w:pStyle w:val="BodyText"/>
      </w:pPr>
      <w:r w:rsidRPr="00D260A6">
        <w:t>Not applicable.</w:t>
      </w:r>
    </w:p>
    <w:p w:rsidR="00000000" w:rsidRPr="00D260A6" w:rsidP="00D260A6">
      <w:pPr>
        <w:pStyle w:val="AllowPageBreak"/>
      </w:pPr>
    </w:p>
    <w:p w:rsidR="00000000" w:rsidRPr="00D260A6" w:rsidP="00D260A6">
      <w:pPr>
        <w:pStyle w:val="Heading1"/>
      </w:pPr>
      <w:bookmarkStart w:id="2" w:name="O_317382"/>
      <w:bookmarkEnd w:id="2"/>
      <w:r w:rsidRPr="00D260A6">
        <w:t>Unit Descriptor</w:t>
      </w:r>
    </w:p>
    <w:p w:rsidR="00000000" w:rsidRPr="00D260A6" w:rsidP="00D260A6">
      <w:pPr>
        <w:pStyle w:val="BodyText"/>
      </w:pPr>
      <w:r w:rsidRPr="00D260A6">
        <w:t>This unit describes the skills and knowledge required to conduct operations at the point of sale area. This compe</w:t>
      </w:r>
      <w:r w:rsidRPr="00D260A6">
        <w:t>tency may apply to a range of roles in the workplace.</w:t>
      </w:r>
    </w:p>
    <w:p w:rsidR="00000000" w:rsidRPr="00D260A6" w:rsidP="00D260A6">
      <w:pPr>
        <w:pStyle w:val="BodyText"/>
      </w:pPr>
      <w:r w:rsidRPr="00D260A6">
        <w:t>This unit is equivalent to and replaces WRB07A Conduct Financial Transactions, as packaged in WRB99.</w:t>
      </w:r>
    </w:p>
    <w:p w:rsidR="00000000" w:rsidRPr="00D260A6" w:rsidP="00D260A6">
      <w:pPr>
        <w:pStyle w:val="AllowPageBreak"/>
      </w:pPr>
    </w:p>
    <w:p w:rsidR="00000000" w:rsidRPr="00D260A6" w:rsidP="00D260A6">
      <w:pPr>
        <w:pStyle w:val="Heading1"/>
      </w:pPr>
      <w:bookmarkStart w:id="3" w:name="O_317380"/>
      <w:bookmarkEnd w:id="3"/>
      <w:r w:rsidRPr="00D260A6">
        <w:t>Application of the Unit</w:t>
      </w:r>
    </w:p>
    <w:p w:rsidR="00000000" w:rsidRPr="00D260A6" w:rsidP="00D260A6">
      <w:pPr>
        <w:pStyle w:val="BodyText"/>
      </w:pPr>
      <w:r w:rsidRPr="00D260A6">
        <w:t xml:space="preserve">This unit requires the operator to communicate with clients </w:t>
      </w:r>
      <w:r w:rsidRPr="00D260A6">
        <w:t xml:space="preserve">and operate a range of point of sale equipment to perform sales transactions and reconcile takings. </w:t>
      </w:r>
    </w:p>
    <w:p w:rsidR="00000000" w:rsidRPr="00D260A6" w:rsidP="00D260A6">
      <w:pPr>
        <w:pStyle w:val="BodyText"/>
      </w:pPr>
      <w:r w:rsidRPr="00D260A6">
        <w:t>In the context of an assessment-only and/or a training delivery and assessment pathway, units of competency which relate to this unit are identified in the</w:t>
      </w:r>
      <w:r w:rsidRPr="00D260A6">
        <w:t xml:space="preserve"> Evidence Guide of this unit.</w:t>
      </w:r>
    </w:p>
    <w:p w:rsidR="00000000" w:rsidRPr="00D260A6" w:rsidP="00D260A6">
      <w:pPr>
        <w:pStyle w:val="AllowPageBreak"/>
      </w:pPr>
    </w:p>
    <w:p w:rsidR="00000000" w:rsidRPr="00D260A6" w:rsidP="00D260A6">
      <w:pPr>
        <w:pStyle w:val="Heading1"/>
      </w:pPr>
      <w:bookmarkStart w:id="4" w:name="O_317379"/>
      <w:bookmarkEnd w:id="4"/>
      <w:r w:rsidRPr="00D260A6">
        <w:t>Licensing/Regulatory Information</w:t>
      </w:r>
    </w:p>
    <w:p w:rsidR="00000000" w:rsidRPr="00D260A6" w:rsidP="00D260A6">
      <w:pPr>
        <w:pStyle w:val="BodyText"/>
      </w:pPr>
      <w:r w:rsidRPr="00D260A6">
        <w:t>Not applicable.</w:t>
      </w:r>
    </w:p>
    <w:p w:rsidR="00000000" w:rsidRPr="00D260A6" w:rsidP="00D260A6">
      <w:pPr>
        <w:pStyle w:val="AllowPageBreak"/>
      </w:pPr>
    </w:p>
    <w:p w:rsidR="00000000" w:rsidRPr="00D260A6" w:rsidP="00D260A6">
      <w:pPr>
        <w:pStyle w:val="Heading1"/>
      </w:pPr>
      <w:bookmarkStart w:id="5" w:name="O_317378"/>
      <w:bookmarkEnd w:id="5"/>
      <w:r w:rsidRPr="00D260A6">
        <w:t>Pre-Requisites</w:t>
      </w:r>
    </w:p>
    <w:p w:rsidR="00000000" w:rsidRPr="00D260A6" w:rsidP="00D260A6">
      <w:pPr>
        <w:pStyle w:val="BodyText"/>
      </w:pPr>
      <w:r w:rsidRPr="00D260A6">
        <w:t>Not applicable.</w:t>
      </w:r>
    </w:p>
    <w:p w:rsidR="00000000" w:rsidRPr="00D260A6" w:rsidP="00D260A6">
      <w:pPr>
        <w:pStyle w:val="AllowPageBreak"/>
      </w:pPr>
    </w:p>
    <w:p w:rsidR="00000000" w:rsidRPr="00D260A6" w:rsidP="00D260A6">
      <w:pPr>
        <w:pStyle w:val="Heading1"/>
      </w:pPr>
      <w:bookmarkStart w:id="6" w:name="O_317384"/>
      <w:bookmarkEnd w:id="6"/>
      <w:r w:rsidRPr="00D260A6">
        <w:t>Employability Skills Information</w:t>
      </w:r>
    </w:p>
    <w:p w:rsidR="00000000" w:rsidRPr="00D260A6" w:rsidP="00D260A6">
      <w:pPr>
        <w:pStyle w:val="BodyText"/>
      </w:pPr>
      <w:r w:rsidRPr="00D260A6">
        <w:t>Not applicable.</w:t>
      </w:r>
    </w:p>
    <w:p w:rsidR="00000000" w:rsidRPr="00D260A6" w:rsidP="00D260A6">
      <w:pPr>
        <w:pStyle w:val="AllowPageBreak"/>
      </w:pPr>
    </w:p>
    <w:p w:rsidR="00000000" w:rsidRPr="00D260A6" w:rsidP="00D260A6">
      <w:pPr>
        <w:pStyle w:val="Heading1"/>
      </w:pPr>
      <w:bookmarkStart w:id="7" w:name="O_317372"/>
      <w:bookmarkEnd w:id="7"/>
      <w:r w:rsidRPr="00D260A6">
        <w:t>Elements and Performance Criteria Pre-Content</w:t>
      </w:r>
    </w:p>
    <w:p w:rsidR="00000000" w:rsidRPr="00D260A6" w:rsidP="00D260A6">
      <w:pPr>
        <w:pStyle w:val="BodyText"/>
      </w:pPr>
      <w:r w:rsidRPr="00D260A6">
        <w:t>Elements describe the essential outcomes of a unit of competency.</w:t>
      </w:r>
    </w:p>
    <w:p w:rsidR="00000000" w:rsidRPr="00D260A6" w:rsidP="00D260A6">
      <w:pPr>
        <w:pStyle w:val="BodyText"/>
      </w:pPr>
      <w:r w:rsidRPr="00D260A6">
        <w:t xml:space="preserve">Performance criteria describe the level of performance required to demonstrate achievement of the element.  The variables for the </w:t>
      </w:r>
      <w:r w:rsidRPr="00D260A6">
        <w:rPr>
          <w:rStyle w:val="SpecialBold"/>
        </w:rPr>
        <w:t>bold italicise</w:t>
      </w:r>
      <w:r w:rsidRPr="00D260A6">
        <w:rPr>
          <w:rStyle w:val="SpecialBold"/>
        </w:rPr>
        <w:t xml:space="preserve">d </w:t>
      </w:r>
      <w:r w:rsidRPr="00D260A6">
        <w:t>text are outlined in the range statement. Assessment of performance is to be consistent with the evidence guide.</w:t>
      </w:r>
    </w:p>
    <w:p w:rsidR="00000000" w:rsidRPr="00D260A6" w:rsidP="00D260A6">
      <w:pPr>
        <w:pStyle w:val="AllowPageBreak"/>
      </w:pPr>
    </w:p>
    <w:p w:rsidR="00000000" w:rsidRPr="00D260A6" w:rsidP="00D260A6">
      <w:pPr>
        <w:pStyle w:val="Heading1"/>
      </w:pPr>
      <w:bookmarkStart w:id="8" w:name="O_317377"/>
      <w:bookmarkEnd w:id="8"/>
      <w:r w:rsidRPr="00D260A6">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7539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rPr>
                <w:rStyle w:val="SpecialBold"/>
              </w:rPr>
              <w:t>Elements and Performance Criteria</w:t>
            </w:r>
          </w:p>
        </w:tc>
      </w:tr>
      <w:tr w:rsidTr="0007539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260A6" w:rsidP="00D260A6">
            <w:pPr>
              <w:pStyle w:val="BodyText"/>
            </w:pPr>
            <w:r w:rsidRPr="00D260A6">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rPr>
                <w:rStyle w:val="SpecialBold"/>
              </w:rPr>
              <w:t>Performance Criteria</w:t>
            </w:r>
          </w:p>
        </w:tc>
      </w:tr>
      <w:tr w:rsidTr="0007539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1</w:t>
            </w:r>
          </w:p>
        </w:tc>
        <w:tc>
          <w:tcPr>
            <w:tcW w:w="3000" w:type="dxa"/>
            <w:vMerge w:val="restart"/>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Operate point of sale equipment</w:t>
            </w:r>
          </w:p>
        </w:tc>
        <w:tc>
          <w:tcPr>
            <w:tcW w:w="500" w:type="dxa"/>
            <w:tcBorders>
              <w:top w:val="nil"/>
              <w:left w:val="nil"/>
              <w:bottom w:val="nil"/>
              <w:right w:val="nil"/>
            </w:tcBorders>
            <w:tcMar>
              <w:top w:w="0" w:type="dxa"/>
              <w:left w:w="62" w:type="dxa"/>
              <w:bottom w:w="0" w:type="dxa"/>
              <w:right w:w="62" w:type="dxa"/>
            </w:tcMar>
          </w:tcPr>
          <w:p w:rsidR="00000000" w:rsidRPr="00D260A6" w:rsidP="00D260A6">
            <w:pPr>
              <w:pStyle w:val="BodyText"/>
            </w:pPr>
            <w:r w:rsidRPr="00D260A6">
              <w:t>1.1</w:t>
            </w:r>
          </w:p>
        </w:tc>
        <w:tc>
          <w:tcPr>
            <w:tcW w:w="51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rPr>
                <w:rStyle w:val="SpecialBold"/>
              </w:rPr>
              <w:t xml:space="preserve">Point of sale equipment </w:t>
            </w:r>
            <w:r w:rsidRPr="00D260A6">
              <w:t>is operated according to design specifications.</w:t>
            </w:r>
          </w:p>
        </w:tc>
      </w:tr>
      <w:tr w:rsidTr="0007539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1.2</w:t>
            </w:r>
          </w:p>
        </w:tc>
        <w:tc>
          <w:tcPr>
            <w:tcW w:w="51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 xml:space="preserve">Point of sale terminal is opened and closed according to </w:t>
            </w:r>
            <w:r w:rsidRPr="00D260A6">
              <w:rPr>
                <w:rStyle w:val="SpecialBold"/>
              </w:rPr>
              <w:t>workplace policies and procedures</w:t>
            </w:r>
            <w:r w:rsidRPr="00D260A6">
              <w:t>.</w:t>
            </w:r>
          </w:p>
        </w:tc>
      </w:tr>
      <w:tr w:rsidTr="0007539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1.3</w:t>
            </w:r>
          </w:p>
        </w:tc>
        <w:tc>
          <w:tcPr>
            <w:tcW w:w="51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Point of sale terminal is cleared and tender transferred according to workplace policies and procedures.</w:t>
            </w:r>
          </w:p>
        </w:tc>
      </w:tr>
      <w:tr w:rsidTr="0007539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260A6" w:rsidP="00D260A6">
            <w:pPr>
              <w:pStyle w:val="BodyText"/>
            </w:pPr>
            <w:r w:rsidRPr="00D260A6">
              <w:t>1.4</w:t>
            </w:r>
          </w:p>
        </w:tc>
        <w:tc>
          <w:tcPr>
            <w:tcW w:w="51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rPr>
                <w:rStyle w:val="SpecialBold"/>
              </w:rPr>
              <w:t xml:space="preserve">Cash handling </w:t>
            </w:r>
            <w:r w:rsidRPr="00D260A6">
              <w:t>is conducted according to workplace security procedures.</w:t>
            </w:r>
          </w:p>
        </w:tc>
      </w:tr>
      <w:tr w:rsidTr="0007539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1.5</w:t>
            </w:r>
          </w:p>
        </w:tc>
        <w:tc>
          <w:tcPr>
            <w:tcW w:w="51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Supplies of change/cash float in point of sale terminal are mainta</w:t>
            </w:r>
            <w:r w:rsidRPr="00D260A6">
              <w:t>ined according to workplace policies and procedures.</w:t>
            </w:r>
          </w:p>
        </w:tc>
      </w:tr>
      <w:tr w:rsidTr="0007539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1.6</w:t>
            </w:r>
          </w:p>
        </w:tc>
        <w:tc>
          <w:tcPr>
            <w:tcW w:w="51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Active point of sale terminals are attended according to workplace policies and procedures.</w:t>
            </w:r>
          </w:p>
        </w:tc>
      </w:tr>
      <w:tr w:rsidTr="0007539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1.7</w:t>
            </w:r>
          </w:p>
        </w:tc>
        <w:tc>
          <w:tcPr>
            <w:tcW w:w="51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Records of transaction errors are completed according to workplace policies and procedures.</w:t>
            </w:r>
          </w:p>
        </w:tc>
      </w:tr>
      <w:tr w:rsidTr="0007539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1.8</w:t>
            </w:r>
          </w:p>
        </w:tc>
        <w:tc>
          <w:tcPr>
            <w:tcW w:w="51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Adequate supplies of dockets, vouchers and point of sale documents are maintained.</w:t>
            </w:r>
          </w:p>
        </w:tc>
      </w:tr>
      <w:tr w:rsidTr="0007539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2</w:t>
            </w:r>
          </w:p>
        </w:tc>
        <w:tc>
          <w:tcPr>
            <w:tcW w:w="3000" w:type="dxa"/>
            <w:vMerge w:val="restart"/>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Perform point of sale transactions</w:t>
            </w:r>
          </w:p>
        </w:tc>
        <w:tc>
          <w:tcPr>
            <w:tcW w:w="500" w:type="dxa"/>
            <w:tcBorders>
              <w:top w:val="nil"/>
              <w:left w:val="nil"/>
              <w:bottom w:val="nil"/>
              <w:right w:val="nil"/>
            </w:tcBorders>
            <w:tcMar>
              <w:top w:w="0" w:type="dxa"/>
              <w:left w:w="62" w:type="dxa"/>
              <w:bottom w:w="0" w:type="dxa"/>
              <w:right w:w="62" w:type="dxa"/>
            </w:tcMar>
          </w:tcPr>
          <w:p w:rsidR="00000000" w:rsidRPr="00D260A6" w:rsidP="00D260A6">
            <w:pPr>
              <w:pStyle w:val="BodyText"/>
            </w:pPr>
            <w:r w:rsidRPr="00D260A6">
              <w:t>2.1</w:t>
            </w:r>
          </w:p>
        </w:tc>
        <w:tc>
          <w:tcPr>
            <w:tcW w:w="51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rPr>
                <w:rStyle w:val="SpecialBold"/>
              </w:rPr>
              <w:t xml:space="preserve">Point of sale transactions </w:t>
            </w:r>
            <w:r w:rsidRPr="00D260A6">
              <w:t xml:space="preserve">are completed according to workplace policies and procedures and </w:t>
            </w:r>
            <w:r w:rsidRPr="00D260A6">
              <w:rPr>
                <w:rStyle w:val="SpecialBold"/>
              </w:rPr>
              <w:t>relevant legislation</w:t>
            </w:r>
            <w:r w:rsidRPr="00D260A6">
              <w:t>.</w:t>
            </w:r>
          </w:p>
        </w:tc>
      </w:tr>
      <w:tr w:rsidTr="0007539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2.2</w:t>
            </w:r>
          </w:p>
        </w:tc>
        <w:tc>
          <w:tcPr>
            <w:tcW w:w="51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Workplace procedures are identified and applied in respect to cash and non-cash transactions.</w:t>
            </w:r>
          </w:p>
        </w:tc>
      </w:tr>
      <w:tr w:rsidTr="0007539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2.3</w:t>
            </w:r>
          </w:p>
        </w:tc>
        <w:tc>
          <w:tcPr>
            <w:tcW w:w="51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Workplace policies and procedures are identified and applied in regard to exchanges and returns.</w:t>
            </w:r>
          </w:p>
        </w:tc>
      </w:tr>
      <w:tr w:rsidTr="0007539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2.4</w:t>
            </w:r>
          </w:p>
        </w:tc>
        <w:tc>
          <w:tcPr>
            <w:tcW w:w="51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Information is entered into point of sale equipment</w:t>
            </w:r>
            <w:r w:rsidRPr="00D260A6">
              <w:t>.</w:t>
            </w:r>
          </w:p>
        </w:tc>
      </w:tr>
      <w:tr w:rsidTr="0007539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2.5</w:t>
            </w:r>
          </w:p>
        </w:tc>
        <w:tc>
          <w:tcPr>
            <w:tcW w:w="51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 xml:space="preserve">Price/total/amount of cash received is stated verbally to </w:t>
            </w:r>
            <w:r w:rsidRPr="00D260A6">
              <w:rPr>
                <w:rStyle w:val="SpecialBold"/>
              </w:rPr>
              <w:t>client</w:t>
            </w:r>
            <w:r w:rsidRPr="00D260A6">
              <w:t>.</w:t>
            </w:r>
          </w:p>
        </w:tc>
      </w:tr>
      <w:tr w:rsidTr="0007539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2.6</w:t>
            </w:r>
          </w:p>
        </w:tc>
        <w:tc>
          <w:tcPr>
            <w:tcW w:w="51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Correct change is tendered.</w:t>
            </w:r>
          </w:p>
        </w:tc>
      </w:tr>
      <w:tr w:rsidTr="0007539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3</w:t>
            </w:r>
          </w:p>
        </w:tc>
        <w:tc>
          <w:tcPr>
            <w:tcW w:w="3000" w:type="dxa"/>
            <w:vMerge w:val="restart"/>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 xml:space="preserve">Complete sales </w:t>
            </w:r>
          </w:p>
        </w:tc>
        <w:tc>
          <w:tcPr>
            <w:tcW w:w="500" w:type="dxa"/>
            <w:tcBorders>
              <w:top w:val="nil"/>
              <w:left w:val="nil"/>
              <w:bottom w:val="nil"/>
              <w:right w:val="nil"/>
            </w:tcBorders>
            <w:tcMar>
              <w:top w:w="0" w:type="dxa"/>
              <w:left w:w="62" w:type="dxa"/>
              <w:bottom w:w="0" w:type="dxa"/>
              <w:right w:w="62" w:type="dxa"/>
            </w:tcMar>
          </w:tcPr>
          <w:p w:rsidR="00000000" w:rsidRPr="00D260A6" w:rsidP="00D260A6">
            <w:pPr>
              <w:pStyle w:val="BodyText"/>
            </w:pPr>
            <w:r w:rsidRPr="00D260A6">
              <w:t>3.1</w:t>
            </w:r>
          </w:p>
        </w:tc>
        <w:tc>
          <w:tcPr>
            <w:tcW w:w="51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rPr>
                <w:rStyle w:val="SpecialBold"/>
              </w:rPr>
              <w:t xml:space="preserve">Client documentation </w:t>
            </w:r>
            <w:r w:rsidRPr="00D260A6">
              <w:t>is completed.</w:t>
            </w:r>
          </w:p>
        </w:tc>
      </w:tr>
      <w:tr w:rsidTr="0007539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3.2</w:t>
            </w:r>
          </w:p>
        </w:tc>
        <w:tc>
          <w:tcPr>
            <w:tcW w:w="51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Sales transactions are processed without undue delay or clients are directed to point of sale terminals according to workplace policies and procedures.</w:t>
            </w:r>
          </w:p>
        </w:tc>
      </w:tr>
      <w:tr w:rsidTr="0007539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4</w:t>
            </w:r>
          </w:p>
        </w:tc>
        <w:tc>
          <w:tcPr>
            <w:tcW w:w="3000" w:type="dxa"/>
            <w:vMerge w:val="restart"/>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Remove takings from register/terminal</w:t>
            </w:r>
          </w:p>
        </w:tc>
        <w:tc>
          <w:tcPr>
            <w:tcW w:w="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4.1</w:t>
            </w:r>
          </w:p>
        </w:tc>
        <w:tc>
          <w:tcPr>
            <w:tcW w:w="51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 xml:space="preserve">Register/terminal balance is performed at designated times </w:t>
            </w:r>
            <w:r w:rsidRPr="00D260A6">
              <w:t>according to workplace policies and procedures.</w:t>
            </w:r>
          </w:p>
        </w:tc>
      </w:tr>
      <w:tr w:rsidTr="0007539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4.2</w:t>
            </w:r>
          </w:p>
        </w:tc>
        <w:tc>
          <w:tcPr>
            <w:tcW w:w="51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Cash float is separated from takings prior to balancing procedure and secured according to workplace policies and procedures.</w:t>
            </w:r>
          </w:p>
        </w:tc>
      </w:tr>
      <w:tr w:rsidTr="0007539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4.3</w:t>
            </w:r>
          </w:p>
        </w:tc>
        <w:tc>
          <w:tcPr>
            <w:tcW w:w="51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Change is supplied to register/terminal according to workplace policy.</w:t>
            </w:r>
          </w:p>
        </w:tc>
      </w:tr>
      <w:tr w:rsidTr="0007539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4.4</w:t>
            </w:r>
          </w:p>
        </w:tc>
        <w:tc>
          <w:tcPr>
            <w:tcW w:w="51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Register/terminal reading or print out is determined.</w:t>
            </w:r>
          </w:p>
        </w:tc>
      </w:tr>
      <w:tr w:rsidTr="0007539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4.5</w:t>
            </w:r>
          </w:p>
        </w:tc>
        <w:tc>
          <w:tcPr>
            <w:tcW w:w="51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Cash and non-cash documents are removed and transported according to store security policies and procedures.</w:t>
            </w:r>
          </w:p>
        </w:tc>
      </w:tr>
      <w:tr w:rsidTr="0007539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5</w:t>
            </w:r>
          </w:p>
        </w:tc>
        <w:tc>
          <w:tcPr>
            <w:tcW w:w="3000" w:type="dxa"/>
            <w:vMerge w:val="restart"/>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Recon</w:t>
            </w:r>
            <w:r w:rsidRPr="00D260A6">
              <w:t>cile takings</w:t>
            </w:r>
          </w:p>
        </w:tc>
        <w:tc>
          <w:tcPr>
            <w:tcW w:w="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5.1</w:t>
            </w:r>
          </w:p>
        </w:tc>
        <w:tc>
          <w:tcPr>
            <w:tcW w:w="51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Cash is counted.</w:t>
            </w:r>
          </w:p>
        </w:tc>
      </w:tr>
      <w:tr w:rsidTr="0007539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5.2</w:t>
            </w:r>
          </w:p>
        </w:tc>
        <w:tc>
          <w:tcPr>
            <w:tcW w:w="51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Non-cash documents are calculated.</w:t>
            </w:r>
          </w:p>
        </w:tc>
      </w:tr>
      <w:tr w:rsidTr="0007539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5.3</w:t>
            </w:r>
          </w:p>
        </w:tc>
        <w:tc>
          <w:tcPr>
            <w:tcW w:w="51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Balance between register/terminal reading and sum of cash and non-cash transactions is determined.</w:t>
            </w:r>
          </w:p>
        </w:tc>
      </w:tr>
      <w:tr w:rsidTr="0007539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5.4</w:t>
            </w:r>
          </w:p>
        </w:tc>
        <w:tc>
          <w:tcPr>
            <w:tcW w:w="5100" w:type="dxa"/>
            <w:tcBorders>
              <w:top w:val="nil"/>
              <w:left w:val="nil"/>
              <w:bottom w:val="nil"/>
              <w:right w:val="nil"/>
            </w:tcBorders>
            <w:tcMar>
              <w:top w:w="0" w:type="dxa"/>
              <w:left w:w="62" w:type="dxa"/>
              <w:bottom w:w="0" w:type="dxa"/>
              <w:right w:w="62" w:type="dxa"/>
            </w:tcMar>
          </w:tcPr>
          <w:p w:rsidR="00000000" w:rsidRPr="00D260A6" w:rsidP="00D260A6">
            <w:pPr>
              <w:pStyle w:val="BodyText"/>
            </w:pPr>
            <w:r w:rsidRPr="00D260A6">
              <w:t>Takings are recorded.</w:t>
            </w:r>
          </w:p>
        </w:tc>
      </w:tr>
    </w:tbl>
    <w:p w:rsidR="00000000" w:rsidRPr="00D260A6" w:rsidP="00D260A6">
      <w:pPr>
        <w:pStyle w:val="BodyText"/>
      </w:pPr>
    </w:p>
    <w:p w:rsidR="00000000" w:rsidRPr="00D260A6" w:rsidP="00D260A6">
      <w:pPr>
        <w:pStyle w:val="AllowPageBreak"/>
      </w:pPr>
    </w:p>
    <w:p w:rsidR="00000000" w:rsidRPr="00D260A6" w:rsidP="00D260A6">
      <w:pPr>
        <w:pStyle w:val="Heading1"/>
      </w:pPr>
      <w:bookmarkStart w:id="9" w:name="O_317376"/>
      <w:bookmarkEnd w:id="9"/>
      <w:r w:rsidRPr="00D260A6">
        <w:t>Required Skills and Knowledge</w:t>
      </w:r>
    </w:p>
    <w:p w:rsidR="00000000" w:rsidRPr="00D260A6" w:rsidP="00D260A6">
      <w:pPr>
        <w:pStyle w:val="BodyText"/>
      </w:pPr>
      <w:r w:rsidRPr="00D260A6">
        <w:t>Not applicable.</w:t>
      </w:r>
    </w:p>
    <w:p w:rsidR="00000000" w:rsidRPr="00D260A6" w:rsidP="00D260A6">
      <w:pPr>
        <w:pStyle w:val="AllowPageBreak"/>
      </w:pPr>
    </w:p>
    <w:p w:rsidR="00000000" w:rsidRPr="00D260A6" w:rsidP="00D260A6">
      <w:pPr>
        <w:pStyle w:val="Heading1"/>
      </w:pPr>
      <w:bookmarkStart w:id="10" w:name="O_317375"/>
      <w:bookmarkEnd w:id="10"/>
      <w:r w:rsidRPr="00D260A6">
        <w:t>Evidence Guide</w:t>
      </w:r>
    </w:p>
    <w:tbl>
      <w:tblPr>
        <w:tblW w:w="0" w:type="auto"/>
        <w:tblLayout w:type="fixed"/>
        <w:tblCellMar>
          <w:left w:w="62" w:type="dxa"/>
          <w:right w:w="62" w:type="dxa"/>
        </w:tblCellMar>
        <w:tblLook w:val="0000"/>
      </w:tblPr>
      <w:tblGrid>
        <w:gridCol w:w="4500"/>
        <w:gridCol w:w="4500"/>
      </w:tblGrid>
      <w:tr w:rsidTr="0007539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260A6">
            <w:pPr>
              <w:pStyle w:val="BodyText"/>
              <w:rPr>
                <w:lang w:val="en-NZ"/>
              </w:rPr>
            </w:pPr>
          </w:p>
        </w:tc>
      </w:tr>
      <w:tr w:rsidTr="0007539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The evidence guide describes the underpinning knowledge and skills that must be demonstrated to prove competence. It is essential for assessment and must be read in conjunctio</w:t>
            </w:r>
            <w:r w:rsidRPr="00D260A6">
              <w:t xml:space="preserve">n with the performance criteria, the range statement and the assessment guidelines of the relevant Training Package. </w:t>
            </w:r>
          </w:p>
        </w:tc>
      </w:tr>
      <w:tr w:rsidTr="0007539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260A6" w:rsidP="00D260A6">
            <w:pPr>
              <w:pStyle w:val="BodyText"/>
            </w:pPr>
            <w:r w:rsidRPr="00D260A6">
              <w:rPr>
                <w:rStyle w:val="SpecialBold"/>
              </w:rPr>
              <w:t>Overview of assessment requirements</w:t>
            </w:r>
          </w:p>
          <w:p w:rsidR="00000000" w:rsidP="00D260A6">
            <w:pPr>
              <w:pStyle w:val="BodyText"/>
              <w:rPr>
                <w:lang w:val="en-NZ"/>
              </w:rPr>
            </w:pPr>
            <w:r w:rsidRPr="00D260A6">
              <w:t>A person who demonstrates competency in this standard must be able to communicate effectively with clients and operate a range of point of sale equipment to perform sales and reconcile takings. The evidence provided must also demonstrate knowledge and skil</w:t>
            </w:r>
            <w:r w:rsidRPr="00D260A6">
              <w:t xml:space="preserve">ls in applying workplace policies and procedures, relevant legislation and manufacturer instructions. </w:t>
            </w:r>
          </w:p>
        </w:tc>
      </w:tr>
      <w:tr w:rsidTr="0007539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260A6">
            <w:pPr>
              <w:pStyle w:val="BodyText"/>
              <w:rPr>
                <w:lang w:val="en-NZ"/>
              </w:rPr>
            </w:pPr>
          </w:p>
        </w:tc>
      </w:tr>
      <w:tr w:rsidTr="0007539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rPr>
                <w:rStyle w:val="SpecialBold"/>
              </w:rPr>
              <w:t>Specific evidence requirements</w:t>
            </w:r>
          </w:p>
        </w:tc>
      </w:tr>
      <w:tr w:rsidTr="000753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rPr>
                <w:rStyle w:val="SpecialBold"/>
              </w:rPr>
              <w:t>Critical aspects of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Knowledge and consistent application o</w:t>
            </w:r>
            <w:r w:rsidRPr="00D260A6">
              <w:t xml:space="preserve">f workplace policies and procedures and safe work practices in regard to conducting financial transactions. </w:t>
            </w:r>
          </w:p>
        </w:tc>
      </w:tr>
      <w:tr w:rsidTr="000753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 xml:space="preserve">Knowledge and consistent application of relevant legislation, including consumer law. </w:t>
            </w:r>
          </w:p>
        </w:tc>
      </w:tr>
      <w:tr w:rsidTr="000753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Reading, accurately interpreting and consistently applyi</w:t>
            </w:r>
            <w:r w:rsidRPr="00D260A6">
              <w:t xml:space="preserve">ng manufacturer instructions in regard to point of sale techniques/procedures. </w:t>
            </w:r>
          </w:p>
        </w:tc>
      </w:tr>
      <w:tr w:rsidTr="000753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 xml:space="preserve">Consistently operating point of sale equipment according to design specifications. </w:t>
            </w:r>
          </w:p>
        </w:tc>
      </w:tr>
      <w:tr w:rsidTr="000753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 xml:space="preserve">Knowledge and consistent application of workplace policies/procedures in regard to cash handling and point of sale transactions. </w:t>
            </w:r>
          </w:p>
        </w:tc>
      </w:tr>
      <w:tr w:rsidTr="000753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 xml:space="preserve">Reconciling takings according to workplace policies and procedures. </w:t>
            </w:r>
          </w:p>
        </w:tc>
      </w:tr>
      <w:tr w:rsidTr="000753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Processing documentation/records according to workpla</w:t>
            </w:r>
            <w:r w:rsidRPr="00D260A6">
              <w:t xml:space="preserve">ce policies and procedures. </w:t>
            </w:r>
          </w:p>
        </w:tc>
      </w:tr>
      <w:tr w:rsidTr="000753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 xml:space="preserve">Consistently using time effectively. </w:t>
            </w:r>
          </w:p>
        </w:tc>
      </w:tr>
      <w:tr w:rsidTr="000753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p>
        </w:tc>
      </w:tr>
      <w:tr w:rsidTr="000753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rPr>
                <w:rStyle w:val="SpecialBold"/>
              </w:rPr>
              <w:t>Context of assessment</w:t>
            </w:r>
          </w:p>
        </w:tc>
        <w:tc>
          <w:tcPr>
            <w:tcW w:w="4500" w:type="dxa"/>
            <w:tcBorders>
              <w:top w:val="nil"/>
              <w:left w:val="nil"/>
              <w:bottom w:val="nil"/>
              <w:right w:val="nil"/>
            </w:tcBorders>
            <w:tcMar>
              <w:top w:w="0" w:type="dxa"/>
              <w:left w:w="62" w:type="dxa"/>
              <w:bottom w:w="0" w:type="dxa"/>
              <w:right w:w="62" w:type="dxa"/>
            </w:tcMar>
          </w:tcPr>
          <w:p w:rsidR="00000000" w:rsidRPr="00D260A6" w:rsidP="00D260A6">
            <w:pPr>
              <w:pStyle w:val="BodyText"/>
            </w:pPr>
            <w:r w:rsidRPr="00D260A6">
              <w:t>For valid and reliable assessment of this unit, competency should be consistently demonstrated over a period of time and observed by the assessor and/or the tech</w:t>
            </w:r>
            <w:r w:rsidRPr="00D260A6">
              <w:t>nical expert working in partnership with the assessor. The technical expert may include the beauty therapist and/or an experienced person at the workplace.</w:t>
            </w:r>
          </w:p>
          <w:p w:rsidR="00000000" w:rsidP="00D260A6">
            <w:pPr>
              <w:pStyle w:val="BodyText"/>
              <w:rPr>
                <w:lang w:val="en-NZ"/>
              </w:rPr>
            </w:pPr>
            <w:r w:rsidRPr="00D260A6">
              <w:t>Competency should be demonstrated in the workplace or a simulated workplace environment in a range o</w:t>
            </w:r>
            <w:r w:rsidRPr="00D260A6">
              <w:t>f situations which may include client interruptions and involvement in other related activities normally expected in the workplace.  For further guidance on the use of an appropriate simulated environment, refer to page 32 of the Assessment Guidelines in t</w:t>
            </w:r>
            <w:r w:rsidRPr="00D260A6">
              <w:t xml:space="preserve">his Training Package. </w:t>
            </w:r>
          </w:p>
        </w:tc>
      </w:tr>
      <w:tr w:rsidTr="000753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p>
        </w:tc>
      </w:tr>
      <w:tr w:rsidTr="000753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rPr>
                <w:rStyle w:val="SpecialBold"/>
              </w:rPr>
              <w:t>Relationship to other units</w:t>
            </w:r>
          </w:p>
        </w:tc>
        <w:tc>
          <w:tcPr>
            <w:tcW w:w="4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 xml:space="preserve">In the context of an assessment-only and/or a training delivery and assessment pathway, all units which relate to a job function can be integrated for assessment purposes. </w:t>
            </w:r>
          </w:p>
        </w:tc>
      </w:tr>
      <w:tr w:rsidTr="000753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p>
        </w:tc>
      </w:tr>
      <w:tr w:rsidTr="000753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D260A6" w:rsidP="00D260A6">
            <w:pPr>
              <w:pStyle w:val="BodyText"/>
            </w:pPr>
            <w:r w:rsidRPr="00D260A6">
              <w:t xml:space="preserve">The following assessment methods are suggested:    </w:t>
            </w:r>
          </w:p>
          <w:p w:rsidR="00000000" w:rsidRPr="00D260A6" w:rsidP="00D260A6">
            <w:pPr>
              <w:pStyle w:val="BodyText"/>
            </w:pPr>
            <w:r w:rsidRPr="00D260A6">
              <w:t xml:space="preserve">observation of the learner performing a range of tasks in an actual or simulated work environment, over sufficient time to demonstrate his/her handling of a range of contingencies. Tasks may include:   </w:t>
            </w:r>
          </w:p>
          <w:p w:rsidR="00000000" w:rsidRPr="00D260A6" w:rsidP="00D260A6">
            <w:pPr>
              <w:pStyle w:val="BodyText"/>
            </w:pPr>
            <w:r w:rsidRPr="00D260A6">
              <w:t>h</w:t>
            </w:r>
            <w:r w:rsidRPr="00D260A6">
              <w:t>andling cash transactions according to workplace security procedures</w:t>
            </w:r>
          </w:p>
          <w:p w:rsidR="00000000" w:rsidRPr="00D260A6" w:rsidP="00D260A6">
            <w:pPr>
              <w:pStyle w:val="BodyText"/>
            </w:pPr>
            <w:r w:rsidRPr="00D260A6">
              <w:t>recording transaction errors according to policies and procedures</w:t>
            </w:r>
          </w:p>
          <w:p w:rsidR="00000000" w:rsidRPr="00D260A6" w:rsidP="00D260A6">
            <w:pPr>
              <w:pStyle w:val="BodyText"/>
            </w:pPr>
            <w:r w:rsidRPr="00D260A6">
              <w:t>balancing register/terminal at designated times</w:t>
            </w:r>
          </w:p>
          <w:p w:rsidR="00000000" w:rsidRPr="00D260A6" w:rsidP="00D260A6">
            <w:pPr>
              <w:pStyle w:val="BodyText"/>
            </w:pPr>
            <w:r w:rsidRPr="00D260A6">
              <w:t>counting cash</w:t>
            </w:r>
          </w:p>
          <w:p w:rsidR="00000000" w:rsidRPr="00D260A6" w:rsidP="00D260A6">
            <w:pPr>
              <w:pStyle w:val="BodyText"/>
            </w:pPr>
            <w:r w:rsidRPr="00D260A6">
              <w:t>recording takings.</w:t>
            </w:r>
          </w:p>
          <w:p w:rsidR="00000000" w:rsidRPr="00D260A6" w:rsidP="00D260A6">
            <w:pPr>
              <w:pStyle w:val="BodyText"/>
            </w:pPr>
          </w:p>
          <w:p w:rsidR="00000000" w:rsidRPr="00D260A6" w:rsidP="00D260A6">
            <w:pPr>
              <w:pStyle w:val="BodyText"/>
            </w:pPr>
            <w:r w:rsidRPr="00D260A6">
              <w:t>written and/or oral questioning to asse</w:t>
            </w:r>
            <w:r w:rsidRPr="00D260A6">
              <w:t xml:space="preserve">ss knowledge and understanding of financial transactions, including a range of point of sale equipment. Questions will be asked in a manner appropriate to the language and literacy level of the learner.  </w:t>
            </w:r>
          </w:p>
          <w:p w:rsidR="00000000" w:rsidRPr="00D260A6" w:rsidP="00D260A6">
            <w:pPr>
              <w:pStyle w:val="BodyText"/>
            </w:pPr>
            <w:r w:rsidRPr="00D260A6">
              <w:t>completing workplace documentation relevant to cond</w:t>
            </w:r>
            <w:r w:rsidRPr="00D260A6">
              <w:t>ucting financial transactions.</w:t>
            </w:r>
          </w:p>
          <w:p w:rsidR="00000000" w:rsidRPr="00D260A6" w:rsidP="00D260A6">
            <w:pPr>
              <w:pStyle w:val="BodyText"/>
            </w:pPr>
            <w:r w:rsidRPr="00D260A6">
              <w:t>third party reports from experienced beauty professionals in the workplace.</w:t>
            </w:r>
          </w:p>
          <w:p w:rsidR="00000000" w:rsidP="00D260A6">
            <w:pPr>
              <w:pStyle w:val="BodyText"/>
              <w:rPr>
                <w:lang w:val="en-NZ"/>
              </w:rPr>
            </w:pPr>
            <w:r w:rsidRPr="00D260A6">
              <w:t xml:space="preserve">completion of self-paced learning materials, including personal reflection and feedback from trainer/coach/supervisor. </w:t>
            </w:r>
          </w:p>
        </w:tc>
      </w:tr>
      <w:tr w:rsidTr="000753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rPr>
                <w:rStyle w:val="SpecialBold"/>
              </w:rPr>
              <w:t>Evidence required for demonstration of consistent performance</w:t>
            </w:r>
          </w:p>
        </w:tc>
        <w:tc>
          <w:tcPr>
            <w:tcW w:w="4500" w:type="dxa"/>
            <w:tcBorders>
              <w:top w:val="nil"/>
              <w:left w:val="nil"/>
              <w:bottom w:val="nil"/>
              <w:right w:val="nil"/>
            </w:tcBorders>
            <w:tcMar>
              <w:top w:w="0" w:type="dxa"/>
              <w:left w:w="62" w:type="dxa"/>
              <w:bottom w:w="0" w:type="dxa"/>
              <w:right w:w="62" w:type="dxa"/>
            </w:tcMar>
          </w:tcPr>
          <w:p w:rsidR="00000000" w:rsidRPr="00D260A6" w:rsidP="00D260A6">
            <w:pPr>
              <w:pStyle w:val="BodyText"/>
            </w:pPr>
            <w:r w:rsidRPr="00D260A6">
              <w:t>For valid and reliable assessment of this unit, evidence should be gathered through a range of methods to indicate consistent performance.</w:t>
            </w:r>
          </w:p>
          <w:p w:rsidR="00000000" w:rsidRPr="00D260A6" w:rsidP="00D260A6">
            <w:pPr>
              <w:pStyle w:val="BodyText"/>
            </w:pPr>
            <w:r w:rsidRPr="00D260A6">
              <w:t>It can be gathered from assessment of the unit of compe</w:t>
            </w:r>
            <w:r w:rsidRPr="00D260A6">
              <w:t>tency alone, through an integrated assessment activity or through a combination of both.</w:t>
            </w:r>
          </w:p>
          <w:p w:rsidR="00000000" w:rsidP="00D260A6">
            <w:pPr>
              <w:pStyle w:val="BodyText"/>
              <w:rPr>
                <w:lang w:val="en-NZ"/>
              </w:rPr>
            </w:pPr>
            <w:r w:rsidRPr="00D260A6">
              <w:t xml:space="preserve">Evidence should be gathered as part of the learning process. </w:t>
            </w:r>
          </w:p>
        </w:tc>
      </w:tr>
      <w:tr w:rsidTr="000753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p>
        </w:tc>
      </w:tr>
      <w:tr w:rsidTr="000753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rPr>
                <w:rStyle w:val="SpecialBold"/>
              </w:rPr>
              <w:t>Required skills and knowledge to achieve the performance criteria</w:t>
            </w:r>
          </w:p>
        </w:tc>
        <w:tc>
          <w:tcPr>
            <w:tcW w:w="4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p>
        </w:tc>
      </w:tr>
      <w:tr w:rsidTr="000753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rPr>
                <w:rStyle w:val="SpecialBold"/>
              </w:rPr>
              <w:t>Skills</w:t>
            </w:r>
          </w:p>
        </w:tc>
        <w:tc>
          <w:tcPr>
            <w:tcW w:w="4500" w:type="dxa"/>
            <w:tcBorders>
              <w:top w:val="nil"/>
              <w:left w:val="nil"/>
              <w:bottom w:val="nil"/>
              <w:right w:val="nil"/>
            </w:tcBorders>
            <w:tcMar>
              <w:top w:w="0" w:type="dxa"/>
              <w:left w:w="62" w:type="dxa"/>
              <w:bottom w:w="0" w:type="dxa"/>
              <w:right w:w="62" w:type="dxa"/>
            </w:tcMar>
          </w:tcPr>
          <w:p w:rsidR="00000000" w:rsidRPr="00D260A6" w:rsidP="00D260A6">
            <w:pPr>
              <w:pStyle w:val="BodyText"/>
            </w:pPr>
            <w:r w:rsidRPr="00D260A6">
              <w:t xml:space="preserve">Communication, including: </w:t>
            </w:r>
            <w:r w:rsidRPr="00D260A6">
              <w:t xml:space="preserve">  </w:t>
            </w:r>
          </w:p>
          <w:p w:rsidR="00000000" w:rsidRPr="00D260A6" w:rsidP="00D260A6">
            <w:pPr>
              <w:pStyle w:val="BodyText"/>
            </w:pPr>
            <w:r w:rsidRPr="00D260A6">
              <w:t>listening and questioning techniques</w:t>
            </w:r>
          </w:p>
          <w:p w:rsidR="00000000" w:rsidP="00D260A6">
            <w:pPr>
              <w:pStyle w:val="BodyText"/>
              <w:rPr>
                <w:lang w:val="en-NZ"/>
              </w:rPr>
            </w:pPr>
            <w:r w:rsidRPr="00D260A6">
              <w:t xml:space="preserve">verbal and non-verbal communication skills. </w:t>
            </w:r>
          </w:p>
        </w:tc>
      </w:tr>
      <w:tr w:rsidTr="000753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D260A6" w:rsidP="00D260A6">
            <w:pPr>
              <w:pStyle w:val="BodyText"/>
            </w:pPr>
            <w:r w:rsidRPr="00D260A6">
              <w:t xml:space="preserve">Cash handling procedures, including:   </w:t>
            </w:r>
          </w:p>
          <w:p w:rsidR="00000000" w:rsidRPr="00D260A6" w:rsidP="00D260A6">
            <w:pPr>
              <w:pStyle w:val="BodyText"/>
            </w:pPr>
            <w:r w:rsidRPr="00D260A6">
              <w:t>opening and closing point of sale terminal</w:t>
            </w:r>
          </w:p>
          <w:p w:rsidR="00000000" w:rsidRPr="00D260A6" w:rsidP="00D260A6">
            <w:pPr>
              <w:pStyle w:val="BodyText"/>
            </w:pPr>
            <w:r w:rsidRPr="00D260A6">
              <w:t>clearing terminal and transfering tender</w:t>
            </w:r>
          </w:p>
          <w:p w:rsidR="00000000" w:rsidRPr="00D260A6" w:rsidP="00D260A6">
            <w:pPr>
              <w:pStyle w:val="BodyText"/>
            </w:pPr>
            <w:r w:rsidRPr="00D260A6">
              <w:t>maintaining cash float</w:t>
            </w:r>
          </w:p>
          <w:p w:rsidR="00000000" w:rsidRPr="00D260A6" w:rsidP="00D260A6">
            <w:pPr>
              <w:pStyle w:val="BodyText"/>
            </w:pPr>
            <w:r w:rsidRPr="00D260A6">
              <w:t>accurately tendering c</w:t>
            </w:r>
            <w:r w:rsidRPr="00D260A6">
              <w:t>hange</w:t>
            </w:r>
          </w:p>
          <w:p w:rsidR="00000000" w:rsidRPr="00D260A6" w:rsidP="00D260A6">
            <w:pPr>
              <w:pStyle w:val="BodyText"/>
            </w:pPr>
            <w:r w:rsidRPr="00D260A6">
              <w:t>accurately counting cash</w:t>
            </w:r>
          </w:p>
          <w:p w:rsidR="00000000" w:rsidRPr="00D260A6" w:rsidP="00D260A6">
            <w:pPr>
              <w:pStyle w:val="BodyText"/>
            </w:pPr>
            <w:r w:rsidRPr="00D260A6">
              <w:t>calculating non-cash documents</w:t>
            </w:r>
          </w:p>
          <w:p w:rsidR="00000000" w:rsidRPr="00D260A6" w:rsidP="00D260A6">
            <w:pPr>
              <w:pStyle w:val="BodyText"/>
            </w:pPr>
            <w:r w:rsidRPr="00D260A6">
              <w:t>balancing point of sale terminal</w:t>
            </w:r>
          </w:p>
          <w:p w:rsidR="00000000" w:rsidRPr="00D260A6" w:rsidP="00D260A6">
            <w:pPr>
              <w:pStyle w:val="BodyText"/>
            </w:pPr>
            <w:r w:rsidRPr="00D260A6">
              <w:t>recording takings</w:t>
            </w:r>
          </w:p>
          <w:p w:rsidR="00000000" w:rsidRPr="00D260A6" w:rsidP="00D260A6">
            <w:pPr>
              <w:pStyle w:val="BodyText"/>
            </w:pPr>
            <w:r w:rsidRPr="00D260A6">
              <w:t>securing cash and non-cash transactions</w:t>
            </w:r>
          </w:p>
          <w:p w:rsidR="00000000" w:rsidP="00D260A6">
            <w:pPr>
              <w:pStyle w:val="BodyText"/>
              <w:rPr>
                <w:lang w:val="en-NZ"/>
              </w:rPr>
            </w:pPr>
            <w:r w:rsidRPr="00D260A6">
              <w:t xml:space="preserve">change required and denominations of change. </w:t>
            </w:r>
          </w:p>
        </w:tc>
      </w:tr>
      <w:tr w:rsidTr="000753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D260A6" w:rsidP="00D260A6">
            <w:pPr>
              <w:pStyle w:val="BodyText"/>
            </w:pPr>
            <w:r w:rsidRPr="00D260A6">
              <w:t xml:space="preserve">Using point of sale equipment and applying procedures, including the following:   </w:t>
            </w:r>
          </w:p>
          <w:p w:rsidR="00000000" w:rsidRPr="00D260A6" w:rsidP="00D260A6">
            <w:pPr>
              <w:pStyle w:val="BodyText"/>
            </w:pPr>
            <w:r w:rsidRPr="00D260A6">
              <w:t>registers</w:t>
            </w:r>
          </w:p>
          <w:p w:rsidR="00000000" w:rsidRPr="00D260A6" w:rsidP="00D260A6">
            <w:pPr>
              <w:pStyle w:val="BodyText"/>
            </w:pPr>
            <w:r w:rsidRPr="00D260A6">
              <w:t>calculators</w:t>
            </w:r>
          </w:p>
          <w:p w:rsidR="00000000" w:rsidRPr="00D260A6" w:rsidP="00D260A6">
            <w:pPr>
              <w:pStyle w:val="BodyText"/>
            </w:pPr>
            <w:r w:rsidRPr="00D260A6">
              <w:t>EFTPOS</w:t>
            </w:r>
          </w:p>
          <w:p w:rsidR="00000000" w:rsidRPr="00D260A6" w:rsidP="00D260A6">
            <w:pPr>
              <w:pStyle w:val="BodyText"/>
            </w:pPr>
            <w:r w:rsidRPr="00D260A6">
              <w:t>credit cards</w:t>
            </w:r>
          </w:p>
          <w:p w:rsidR="00000000" w:rsidRPr="00D260A6" w:rsidP="00D260A6">
            <w:pPr>
              <w:pStyle w:val="BodyText"/>
            </w:pPr>
            <w:r w:rsidRPr="00D260A6">
              <w:t>electronic scanners</w:t>
            </w:r>
          </w:p>
          <w:p w:rsidR="00000000" w:rsidRPr="00D260A6" w:rsidP="00D260A6">
            <w:pPr>
              <w:pStyle w:val="BodyText"/>
            </w:pPr>
            <w:r w:rsidRPr="00D260A6">
              <w:t>lay-by</w:t>
            </w:r>
          </w:p>
          <w:p w:rsidR="00000000" w:rsidRPr="00D260A6" w:rsidP="00D260A6">
            <w:pPr>
              <w:pStyle w:val="BodyText"/>
            </w:pPr>
            <w:r w:rsidRPr="00D260A6">
              <w:t>credits and returns</w:t>
            </w:r>
          </w:p>
          <w:p w:rsidR="00000000" w:rsidRPr="00D260A6" w:rsidP="00D260A6">
            <w:pPr>
              <w:pStyle w:val="BodyText"/>
            </w:pPr>
            <w:r w:rsidRPr="00D260A6">
              <w:t>customer refunds</w:t>
            </w:r>
          </w:p>
          <w:p w:rsidR="00000000" w:rsidP="00D260A6">
            <w:pPr>
              <w:pStyle w:val="BodyText"/>
              <w:rPr>
                <w:lang w:val="en-NZ"/>
              </w:rPr>
            </w:pPr>
            <w:r w:rsidRPr="00D260A6">
              <w:t xml:space="preserve">customer credit ratings. </w:t>
            </w:r>
          </w:p>
        </w:tc>
      </w:tr>
      <w:tr w:rsidTr="000753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 xml:space="preserve">Completing tasks in a set time frame. </w:t>
            </w:r>
          </w:p>
        </w:tc>
      </w:tr>
      <w:tr w:rsidTr="000753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 xml:space="preserve">Language, literacy and numeracy skills relevant to the role and workplace requirements. </w:t>
            </w:r>
          </w:p>
        </w:tc>
      </w:tr>
      <w:tr w:rsidTr="000753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p>
        </w:tc>
      </w:tr>
      <w:tr w:rsidTr="000753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rPr>
                <w:rStyle w:val="SpecialBold"/>
              </w:rPr>
              <w:t>Knowledge</w:t>
            </w:r>
          </w:p>
        </w:tc>
        <w:tc>
          <w:tcPr>
            <w:tcW w:w="4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 xml:space="preserve">The provisions of relevant health and hygiene regulations/requirements and legislative requirements including consumer law. </w:t>
            </w:r>
          </w:p>
        </w:tc>
      </w:tr>
      <w:tr w:rsidTr="000753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 xml:space="preserve">The provisions of relevant Occupational Health and Safety regulations/requirements. </w:t>
            </w:r>
          </w:p>
        </w:tc>
      </w:tr>
      <w:tr w:rsidTr="000753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 xml:space="preserve">Workplace policies and procedures in regard to client service and point of sale techniques. </w:t>
            </w:r>
          </w:p>
        </w:tc>
      </w:tr>
      <w:tr w:rsidTr="000753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p>
        </w:tc>
      </w:tr>
      <w:tr w:rsidTr="000753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rPr>
                <w:rStyle w:val="SpecialBold"/>
              </w:rPr>
              <w:t>Specific resources required for assessment</w:t>
            </w:r>
          </w:p>
        </w:tc>
        <w:tc>
          <w:tcPr>
            <w:tcW w:w="4500" w:type="dxa"/>
            <w:tcBorders>
              <w:top w:val="nil"/>
              <w:left w:val="nil"/>
              <w:bottom w:val="nil"/>
              <w:right w:val="nil"/>
            </w:tcBorders>
            <w:tcMar>
              <w:top w:w="0" w:type="dxa"/>
              <w:left w:w="62" w:type="dxa"/>
              <w:bottom w:w="0" w:type="dxa"/>
              <w:right w:w="62" w:type="dxa"/>
            </w:tcMar>
          </w:tcPr>
          <w:p w:rsidR="00000000" w:rsidRPr="00D260A6" w:rsidP="00D260A6">
            <w:pPr>
              <w:pStyle w:val="BodyText"/>
            </w:pPr>
            <w:r w:rsidRPr="00D260A6">
              <w:t xml:space="preserve">Relevant documentation, such </w:t>
            </w:r>
            <w:r w:rsidRPr="00D260A6">
              <w:t xml:space="preserve">as:   </w:t>
            </w:r>
          </w:p>
          <w:p w:rsidR="00000000" w:rsidRPr="00D260A6" w:rsidP="00D260A6">
            <w:pPr>
              <w:pStyle w:val="BodyText"/>
            </w:pPr>
            <w:r w:rsidRPr="00D260A6">
              <w:t>workplace policy and procedures manuals in regard to conducting financial transactions</w:t>
            </w:r>
          </w:p>
          <w:p w:rsidR="00000000" w:rsidRPr="00D260A6" w:rsidP="00D260A6">
            <w:pPr>
              <w:pStyle w:val="BodyText"/>
            </w:pPr>
            <w:r w:rsidRPr="00D260A6">
              <w:t>financial transactions dockets/slips</w:t>
            </w:r>
          </w:p>
          <w:p w:rsidR="00000000" w:rsidRPr="00D260A6" w:rsidP="00D260A6">
            <w:pPr>
              <w:pStyle w:val="BodyText"/>
            </w:pPr>
            <w:r w:rsidRPr="00D260A6">
              <w:t>sample debit, credit card vouchers</w:t>
            </w:r>
          </w:p>
          <w:p w:rsidR="00000000" w:rsidRPr="00D260A6" w:rsidP="00D260A6">
            <w:pPr>
              <w:pStyle w:val="BodyText"/>
            </w:pPr>
            <w:r w:rsidRPr="00D260A6">
              <w:t>recording/tally sheets.</w:t>
            </w:r>
          </w:p>
          <w:p w:rsidR="00000000" w:rsidRPr="00D260A6" w:rsidP="00D260A6">
            <w:pPr>
              <w:pStyle w:val="BodyText"/>
            </w:pPr>
          </w:p>
          <w:p w:rsidR="00000000" w:rsidRPr="00D260A6" w:rsidP="00D260A6">
            <w:pPr>
              <w:pStyle w:val="BodyText"/>
            </w:pPr>
            <w:r w:rsidRPr="00D260A6">
              <w:t xml:space="preserve">Register/terminal and related equipment.  </w:t>
            </w:r>
          </w:p>
          <w:p w:rsidR="00000000" w:rsidRPr="00D260A6" w:rsidP="00D260A6">
            <w:pPr>
              <w:pStyle w:val="BodyText"/>
            </w:pPr>
            <w:r w:rsidRPr="00D260A6">
              <w:t>Access to a range of clients with different requirements.</w:t>
            </w:r>
          </w:p>
          <w:p w:rsidR="00000000" w:rsidRPr="00D260A6" w:rsidP="00D260A6">
            <w:pPr>
              <w:pStyle w:val="BodyText"/>
            </w:pPr>
            <w:r w:rsidRPr="00D260A6">
              <w:t>A range of merchandise and products appropriate to the beauty workplace.</w:t>
            </w:r>
          </w:p>
          <w:p w:rsidR="00000000" w:rsidP="00D260A6">
            <w:pPr>
              <w:pStyle w:val="BodyText"/>
              <w:rPr>
                <w:lang w:val="en-NZ"/>
              </w:rPr>
            </w:pPr>
            <w:r w:rsidRPr="00D260A6">
              <w:t xml:space="preserve">A qualified workplace assessor or assessment team. </w:t>
            </w:r>
          </w:p>
        </w:tc>
      </w:tr>
      <w:tr w:rsidTr="000753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p>
        </w:tc>
      </w:tr>
      <w:tr w:rsidTr="000753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rPr>
                <w:rStyle w:val="SpecialBold"/>
              </w:rPr>
              <w:t>Key competencies</w:t>
            </w:r>
          </w:p>
        </w:tc>
        <w:tc>
          <w:tcPr>
            <w:tcW w:w="4500" w:type="dxa"/>
            <w:tcBorders>
              <w:top w:val="nil"/>
              <w:left w:val="nil"/>
              <w:bottom w:val="nil"/>
              <w:right w:val="nil"/>
            </w:tcBorders>
            <w:tcMar>
              <w:top w:w="0" w:type="dxa"/>
              <w:left w:w="62" w:type="dxa"/>
              <w:bottom w:w="0" w:type="dxa"/>
              <w:right w:w="62" w:type="dxa"/>
            </w:tcMar>
          </w:tcPr>
          <w:p w:rsidR="00000000" w:rsidRPr="00D260A6" w:rsidP="00D260A6">
            <w:pPr>
              <w:pStyle w:val="BodyText"/>
            </w:pPr>
            <w:r w:rsidRPr="00D260A6">
              <w:t xml:space="preserve">The seven key competencies represent generic skills </w:t>
            </w:r>
            <w:r w:rsidRPr="00D260A6">
              <w:t>considered for effective work participation. The  numbering against each of the key competencies indicates the performance level required in this unit.</w:t>
            </w:r>
          </w:p>
          <w:p w:rsidR="00000000" w:rsidRPr="00D260A6" w:rsidP="00D260A6">
            <w:pPr>
              <w:pStyle w:val="BodyText"/>
            </w:pPr>
            <w:r w:rsidRPr="00D260A6">
              <w:t>Level 1 represents the competence to undertake tasks effectively.</w:t>
            </w:r>
          </w:p>
          <w:p w:rsidR="00000000" w:rsidRPr="00D260A6" w:rsidP="00D260A6">
            <w:pPr>
              <w:pStyle w:val="BodyText"/>
            </w:pPr>
            <w:r w:rsidRPr="00D260A6">
              <w:t>Level 2 represents the competence to m</w:t>
            </w:r>
            <w:r w:rsidRPr="00D260A6">
              <w:t>anage tasks.</w:t>
            </w:r>
          </w:p>
          <w:p w:rsidR="00000000" w:rsidP="00D260A6">
            <w:pPr>
              <w:pStyle w:val="BodyText"/>
              <w:rPr>
                <w:lang w:val="en-NZ"/>
              </w:rPr>
            </w:pPr>
            <w:r w:rsidRPr="00D260A6">
              <w:t xml:space="preserve">Level 3 represents the competence to use concepts for evaluating and reshaping tasks. </w:t>
            </w:r>
          </w:p>
        </w:tc>
      </w:tr>
      <w:tr w:rsidTr="000753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p>
        </w:tc>
      </w:tr>
      <w:tr w:rsidTr="000753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p>
        </w:tc>
      </w:tr>
      <w:tr w:rsidTr="000753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D260A6" w:rsidP="00D260A6">
            <w:pPr>
              <w:pStyle w:val="BodyText"/>
            </w:pPr>
          </w:p>
        </w:tc>
      </w:tr>
    </w:tbl>
    <w:p w:rsidR="00000000" w:rsidRPr="00D260A6" w:rsidP="00D260A6">
      <w:pPr>
        <w:pStyle w:val="BodyText"/>
      </w:pPr>
    </w:p>
    <w:tbl>
      <w:tblPr>
        <w:tblW w:w="0" w:type="auto"/>
        <w:tblLayout w:type="fixed"/>
        <w:tblCellMar>
          <w:left w:w="62" w:type="dxa"/>
          <w:right w:w="62" w:type="dxa"/>
        </w:tblCellMar>
        <w:tblLook w:val="0000"/>
      </w:tblPr>
      <w:tblGrid>
        <w:gridCol w:w="3000"/>
        <w:gridCol w:w="3000"/>
        <w:gridCol w:w="3000"/>
      </w:tblGrid>
      <w:tr w:rsidTr="0007539B">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RPr="00D260A6" w:rsidP="00D260A6">
            <w:pPr>
              <w:pStyle w:val="BodyText"/>
            </w:pPr>
            <w:r w:rsidRPr="00D260A6">
              <w:rPr>
                <w:rStyle w:val="SpecialBold"/>
              </w:rPr>
              <w:t>Key Competency</w:t>
            </w:r>
          </w:p>
        </w:tc>
        <w:tc>
          <w:tcPr>
            <w:tcW w:w="3000" w:type="dxa"/>
            <w:tcBorders>
              <w:top w:val="nil"/>
              <w:left w:val="nil"/>
              <w:bottom w:val="nil"/>
              <w:right w:val="nil"/>
            </w:tcBorders>
            <w:tcMar>
              <w:top w:w="0" w:type="dxa"/>
              <w:left w:w="62" w:type="dxa"/>
              <w:bottom w:w="0" w:type="dxa"/>
              <w:right w:w="62" w:type="dxa"/>
            </w:tcMar>
          </w:tcPr>
          <w:p w:rsidR="00000000" w:rsidRPr="00D260A6" w:rsidP="00D260A6">
            <w:pPr>
              <w:pStyle w:val="BodyText"/>
            </w:pPr>
            <w:r w:rsidRPr="00D260A6">
              <w:rPr>
                <w:rStyle w:val="SpecialBold"/>
              </w:rPr>
              <w:t>Example of Application</w:t>
            </w:r>
          </w:p>
        </w:tc>
        <w:tc>
          <w:tcPr>
            <w:tcW w:w="30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rPr>
                <w:rStyle w:val="SpecialBold"/>
              </w:rPr>
              <w:t>Performance Level</w:t>
            </w:r>
          </w:p>
        </w:tc>
      </w:tr>
      <w:tr w:rsidTr="0007539B">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 xml:space="preserve">How can </w:t>
            </w:r>
            <w:r w:rsidRPr="00D260A6">
              <w:rPr>
                <w:rStyle w:val="SpecialBold"/>
              </w:rPr>
              <w:t>communication of ideas and information</w:t>
            </w:r>
            <w:r w:rsidRPr="00D260A6">
              <w:t xml:space="preserve"> be applied? </w:t>
            </w:r>
          </w:p>
        </w:tc>
        <w:tc>
          <w:tcPr>
            <w:tcW w:w="30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 xml:space="preserve">Advising the client of the sales total will require the communication of ideas and information. </w:t>
            </w:r>
          </w:p>
        </w:tc>
        <w:tc>
          <w:tcPr>
            <w:tcW w:w="30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 xml:space="preserve">1 </w:t>
            </w:r>
          </w:p>
        </w:tc>
      </w:tr>
      <w:tr w:rsidTr="0007539B">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 xml:space="preserve">How can </w:t>
            </w:r>
            <w:r w:rsidRPr="00D260A6">
              <w:rPr>
                <w:rStyle w:val="SpecialBold"/>
              </w:rPr>
              <w:t>information be collected</w:t>
            </w:r>
            <w:r w:rsidRPr="00D260A6">
              <w:t xml:space="preserve">, </w:t>
            </w:r>
            <w:r w:rsidRPr="00D260A6">
              <w:rPr>
                <w:rStyle w:val="SpecialBold"/>
              </w:rPr>
              <w:t>analysed and organised</w:t>
            </w:r>
            <w:r w:rsidRPr="00D260A6">
              <w:t xml:space="preserve">? </w:t>
            </w:r>
          </w:p>
        </w:tc>
        <w:tc>
          <w:tcPr>
            <w:tcW w:w="30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 xml:space="preserve">Reconciling takings will require information to be collected, analysed and organised. </w:t>
            </w:r>
          </w:p>
        </w:tc>
        <w:tc>
          <w:tcPr>
            <w:tcW w:w="30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 xml:space="preserve">1 </w:t>
            </w:r>
          </w:p>
        </w:tc>
      </w:tr>
      <w:tr w:rsidTr="0007539B">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 xml:space="preserve">How are </w:t>
            </w:r>
            <w:r w:rsidRPr="00D260A6">
              <w:rPr>
                <w:rStyle w:val="SpecialBold"/>
              </w:rPr>
              <w:t>activities planned and organised</w:t>
            </w:r>
            <w:r w:rsidRPr="00D260A6">
              <w:t xml:space="preserve">? </w:t>
            </w:r>
          </w:p>
        </w:tc>
        <w:tc>
          <w:tcPr>
            <w:tcW w:w="30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 xml:space="preserve">Attending active point of sale terminals will require activities to be planned and organised. </w:t>
            </w:r>
          </w:p>
        </w:tc>
        <w:tc>
          <w:tcPr>
            <w:tcW w:w="30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 xml:space="preserve">1 </w:t>
            </w:r>
          </w:p>
        </w:tc>
      </w:tr>
      <w:tr w:rsidTr="0007539B">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 xml:space="preserve">How can </w:t>
            </w:r>
            <w:r w:rsidRPr="00D260A6">
              <w:rPr>
                <w:rStyle w:val="SpecialBold"/>
              </w:rPr>
              <w:t>team work</w:t>
            </w:r>
            <w:r w:rsidRPr="00D260A6">
              <w:t xml:space="preserve"> be applied? </w:t>
            </w:r>
          </w:p>
        </w:tc>
        <w:tc>
          <w:tcPr>
            <w:tcW w:w="30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 xml:space="preserve">Maintaining point of sales supplies will require team work. </w:t>
            </w:r>
          </w:p>
        </w:tc>
        <w:tc>
          <w:tcPr>
            <w:tcW w:w="30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 xml:space="preserve">1 </w:t>
            </w:r>
          </w:p>
        </w:tc>
      </w:tr>
      <w:tr w:rsidTr="0007539B">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 xml:space="preserve">How can the use of </w:t>
            </w:r>
            <w:r w:rsidRPr="00D260A6">
              <w:rPr>
                <w:rStyle w:val="SpecialBold"/>
              </w:rPr>
              <w:t>mathematical ideas and techniques</w:t>
            </w:r>
            <w:r w:rsidRPr="00D260A6">
              <w:t xml:space="preserve"> be applied? </w:t>
            </w:r>
          </w:p>
        </w:tc>
        <w:tc>
          <w:tcPr>
            <w:tcW w:w="30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 xml:space="preserve">Receiving money from clients and tendering correct change will require the use of mathematical ideas and techniques.  </w:t>
            </w:r>
          </w:p>
        </w:tc>
        <w:tc>
          <w:tcPr>
            <w:tcW w:w="30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 xml:space="preserve">1 </w:t>
            </w:r>
          </w:p>
        </w:tc>
      </w:tr>
      <w:tr w:rsidTr="0007539B">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 xml:space="preserve">How can </w:t>
            </w:r>
            <w:r w:rsidRPr="00D260A6">
              <w:rPr>
                <w:rStyle w:val="SpecialBold"/>
              </w:rPr>
              <w:t>problem solving skills</w:t>
            </w:r>
            <w:r w:rsidRPr="00D260A6">
              <w:t xml:space="preserve"> be applied? </w:t>
            </w:r>
          </w:p>
        </w:tc>
        <w:tc>
          <w:tcPr>
            <w:tcW w:w="30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Applying workplace poli</w:t>
            </w:r>
            <w:r w:rsidRPr="00D260A6">
              <w:t xml:space="preserve">cies in relation to exchanges and returns will require problem solving skills. </w:t>
            </w:r>
          </w:p>
        </w:tc>
        <w:tc>
          <w:tcPr>
            <w:tcW w:w="30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 xml:space="preserve">1 </w:t>
            </w:r>
          </w:p>
        </w:tc>
      </w:tr>
      <w:tr w:rsidTr="0007539B">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 xml:space="preserve">How can the </w:t>
            </w:r>
            <w:r w:rsidRPr="00D260A6">
              <w:rPr>
                <w:rStyle w:val="SpecialBold"/>
              </w:rPr>
              <w:t>use of technology</w:t>
            </w:r>
            <w:r w:rsidRPr="00D260A6">
              <w:t xml:space="preserve"> be applied? </w:t>
            </w:r>
          </w:p>
        </w:tc>
        <w:tc>
          <w:tcPr>
            <w:tcW w:w="30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 xml:space="preserve">Operating point of sale equipment will require the use of technology. </w:t>
            </w:r>
          </w:p>
        </w:tc>
        <w:tc>
          <w:tcPr>
            <w:tcW w:w="3000" w:type="dxa"/>
            <w:tcBorders>
              <w:top w:val="nil"/>
              <w:left w:val="nil"/>
              <w:bottom w:val="nil"/>
              <w:right w:val="nil"/>
            </w:tcBorders>
            <w:tcMar>
              <w:top w:w="0" w:type="dxa"/>
              <w:left w:w="62" w:type="dxa"/>
              <w:bottom w:w="0" w:type="dxa"/>
              <w:right w:w="62" w:type="dxa"/>
            </w:tcMar>
          </w:tcPr>
          <w:p w:rsidR="00000000" w:rsidRPr="00D260A6" w:rsidP="00D260A6">
            <w:pPr>
              <w:pStyle w:val="BodyText"/>
            </w:pPr>
            <w:r w:rsidRPr="00D260A6">
              <w:t xml:space="preserve">1 </w:t>
            </w:r>
          </w:p>
        </w:tc>
      </w:tr>
    </w:tbl>
    <w:p w:rsidR="00000000" w:rsidRPr="00D260A6" w:rsidP="00D260A6">
      <w:pPr>
        <w:pStyle w:val="BodyText"/>
      </w:pPr>
    </w:p>
    <w:p w:rsidR="00000000" w:rsidRPr="00D260A6" w:rsidP="00D260A6">
      <w:pPr>
        <w:pStyle w:val="AllowPageBreak"/>
      </w:pPr>
    </w:p>
    <w:p w:rsidR="00000000" w:rsidRPr="00D260A6" w:rsidP="00D260A6">
      <w:pPr>
        <w:pStyle w:val="Heading1"/>
      </w:pPr>
      <w:bookmarkStart w:id="11" w:name="O_317373"/>
      <w:bookmarkEnd w:id="11"/>
      <w:r w:rsidRPr="00D260A6">
        <w:t>Range Statement</w:t>
      </w:r>
    </w:p>
    <w:tbl>
      <w:tblPr>
        <w:tblW w:w="0" w:type="auto"/>
        <w:tblLayout w:type="fixed"/>
        <w:tblCellMar>
          <w:left w:w="62" w:type="dxa"/>
          <w:right w:w="62" w:type="dxa"/>
        </w:tblCellMar>
        <w:tblLook w:val="0000"/>
      </w:tblPr>
      <w:tblGrid>
        <w:gridCol w:w="4500"/>
        <w:gridCol w:w="4500"/>
      </w:tblGrid>
      <w:tr w:rsidTr="0007539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rPr>
                <w:rStyle w:val="SpecialBold"/>
              </w:rPr>
              <w:t>RANGE STATEMENT</w:t>
            </w:r>
          </w:p>
        </w:tc>
      </w:tr>
      <w:tr w:rsidTr="0007539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260A6" w:rsidP="00D260A6">
            <w:pPr>
              <w:pStyle w:val="BodyText"/>
            </w:pPr>
            <w:r w:rsidRPr="00D260A6">
              <w:t>The range statement relates to the unit of competency as a whole. It allows for different work environments and situations that will affect performance.</w:t>
            </w:r>
          </w:p>
          <w:p w:rsidR="00000000" w:rsidP="00D260A6">
            <w:pPr>
              <w:pStyle w:val="BodyText"/>
              <w:rPr>
                <w:lang w:val="en-NZ"/>
              </w:rPr>
            </w:pPr>
            <w:r w:rsidRPr="00D260A6">
              <w:t>The following variables may be present with training and assessment depending on the work situation, ne</w:t>
            </w:r>
            <w:r w:rsidRPr="00D260A6">
              <w:t xml:space="preserve">eds of the trainee, accessibility of the item, and local industry and regional contexts. </w:t>
            </w:r>
            <w:r w:rsidRPr="00D260A6">
              <w:rPr>
                <w:rStyle w:val="SpecialBold"/>
              </w:rPr>
              <w:t>Bold italicised</w:t>
            </w:r>
            <w:r w:rsidRPr="00D260A6">
              <w:t xml:space="preserve"> text from the performance criteria is detailed here. </w:t>
            </w:r>
          </w:p>
        </w:tc>
      </w:tr>
      <w:tr w:rsidTr="000753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p>
        </w:tc>
      </w:tr>
      <w:tr w:rsidTr="000753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rPr>
                <w:rStyle w:val="SpecialBold"/>
              </w:rPr>
              <w:t>Point of sale equipment</w:t>
            </w:r>
            <w:r w:rsidRPr="00D260A6">
              <w:t xml:space="preserve"> may include but is not limited to: </w:t>
            </w:r>
          </w:p>
        </w:tc>
        <w:tc>
          <w:tcPr>
            <w:tcW w:w="4500" w:type="dxa"/>
            <w:tcBorders>
              <w:top w:val="nil"/>
              <w:left w:val="nil"/>
              <w:bottom w:val="nil"/>
              <w:right w:val="nil"/>
            </w:tcBorders>
            <w:tcMar>
              <w:top w:w="0" w:type="dxa"/>
              <w:left w:w="62" w:type="dxa"/>
              <w:bottom w:w="0" w:type="dxa"/>
              <w:right w:w="62" w:type="dxa"/>
            </w:tcMar>
          </w:tcPr>
          <w:p w:rsidR="00000000" w:rsidRPr="00D260A6" w:rsidP="00D260A6">
            <w:pPr>
              <w:pStyle w:val="BodyText"/>
            </w:pPr>
            <w:r w:rsidRPr="00D260A6">
              <w:t xml:space="preserve">manual:   </w:t>
            </w:r>
          </w:p>
          <w:p w:rsidR="00000000" w:rsidRPr="00D260A6" w:rsidP="00D260A6">
            <w:pPr>
              <w:pStyle w:val="BodyText"/>
            </w:pPr>
            <w:r w:rsidRPr="00D260A6">
              <w:t>cash register</w:t>
            </w:r>
          </w:p>
          <w:p w:rsidR="00000000" w:rsidRPr="00D260A6" w:rsidP="00D260A6">
            <w:pPr>
              <w:pStyle w:val="BodyText"/>
            </w:pPr>
            <w:r w:rsidRPr="00D260A6">
              <w:t xml:space="preserve">credit </w:t>
            </w:r>
            <w:r w:rsidRPr="00D260A6">
              <w:t>card equipment</w:t>
            </w:r>
          </w:p>
          <w:p w:rsidR="00000000" w:rsidRPr="00D260A6" w:rsidP="00D260A6">
            <w:pPr>
              <w:pStyle w:val="BodyText"/>
            </w:pPr>
          </w:p>
          <w:p w:rsidR="00000000" w:rsidRPr="00D260A6" w:rsidP="00D260A6">
            <w:pPr>
              <w:pStyle w:val="BodyText"/>
            </w:pPr>
            <w:r w:rsidRPr="00D260A6">
              <w:t xml:space="preserve">electronic:     </w:t>
            </w:r>
          </w:p>
          <w:p w:rsidR="00000000" w:rsidRPr="00D260A6" w:rsidP="00D260A6">
            <w:pPr>
              <w:pStyle w:val="BodyText"/>
            </w:pPr>
            <w:r w:rsidRPr="00D260A6">
              <w:t>cash register</w:t>
            </w:r>
          </w:p>
          <w:p w:rsidR="00000000" w:rsidRPr="00D260A6" w:rsidP="00D260A6">
            <w:pPr>
              <w:pStyle w:val="BodyText"/>
            </w:pPr>
            <w:r w:rsidRPr="00D260A6">
              <w:t>bar code scanner</w:t>
            </w:r>
          </w:p>
          <w:p w:rsidR="00000000" w:rsidP="00D260A6">
            <w:pPr>
              <w:pStyle w:val="BodyText"/>
              <w:rPr>
                <w:lang w:val="en-NZ"/>
              </w:rPr>
            </w:pPr>
            <w:r w:rsidRPr="00D260A6">
              <w:t xml:space="preserve">EFTPOS equipment. </w:t>
            </w:r>
          </w:p>
        </w:tc>
      </w:tr>
      <w:tr w:rsidTr="000753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p>
        </w:tc>
      </w:tr>
      <w:tr w:rsidTr="000753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rPr>
                <w:rStyle w:val="SpecialBold"/>
              </w:rPr>
              <w:t>Workplace policies and procedures</w:t>
            </w:r>
            <w:r w:rsidRPr="00D260A6">
              <w:t xml:space="preserve"> may include but are not limited to: </w:t>
            </w:r>
          </w:p>
        </w:tc>
        <w:tc>
          <w:tcPr>
            <w:tcW w:w="4500" w:type="dxa"/>
            <w:tcBorders>
              <w:top w:val="nil"/>
              <w:left w:val="nil"/>
              <w:bottom w:val="nil"/>
              <w:right w:val="nil"/>
            </w:tcBorders>
            <w:tcMar>
              <w:top w:w="0" w:type="dxa"/>
              <w:left w:w="62" w:type="dxa"/>
              <w:bottom w:w="0" w:type="dxa"/>
              <w:right w:w="62" w:type="dxa"/>
            </w:tcMar>
          </w:tcPr>
          <w:p w:rsidR="00000000" w:rsidRPr="00D260A6" w:rsidP="00D260A6">
            <w:pPr>
              <w:pStyle w:val="BodyText"/>
            </w:pPr>
            <w:r w:rsidRPr="00D260A6">
              <w:t>operation of point of sale equipment</w:t>
            </w:r>
          </w:p>
          <w:p w:rsidR="00000000" w:rsidRPr="00D260A6" w:rsidP="00D260A6">
            <w:pPr>
              <w:pStyle w:val="BodyText"/>
            </w:pPr>
            <w:r w:rsidRPr="00D260A6">
              <w:t xml:space="preserve">cash handling security </w:t>
            </w:r>
          </w:p>
          <w:p w:rsidR="00000000" w:rsidRPr="00D260A6" w:rsidP="00D260A6">
            <w:pPr>
              <w:pStyle w:val="BodyText"/>
            </w:pPr>
            <w:r w:rsidRPr="00D260A6">
              <w:t>sales transactions</w:t>
            </w:r>
          </w:p>
          <w:p w:rsidR="00000000" w:rsidRPr="00D260A6" w:rsidP="00D260A6">
            <w:pPr>
              <w:pStyle w:val="BodyText"/>
            </w:pPr>
            <w:r w:rsidRPr="00D260A6">
              <w:t>staffing</w:t>
            </w:r>
          </w:p>
          <w:p w:rsidR="00000000" w:rsidP="00D260A6">
            <w:pPr>
              <w:pStyle w:val="BodyText"/>
              <w:rPr>
                <w:lang w:val="en-NZ"/>
              </w:rPr>
            </w:pPr>
            <w:r w:rsidRPr="00D260A6">
              <w:t xml:space="preserve">health and hygiene requirements. </w:t>
            </w:r>
          </w:p>
        </w:tc>
      </w:tr>
      <w:tr w:rsidTr="000753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p>
        </w:tc>
      </w:tr>
      <w:tr w:rsidTr="000753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rPr>
                <w:rStyle w:val="SpecialBold"/>
              </w:rPr>
              <w:t>Cash handling</w:t>
            </w:r>
            <w:r w:rsidRPr="00D260A6">
              <w:t xml:space="preserve"> may include but is not limited to: </w:t>
            </w:r>
          </w:p>
        </w:tc>
        <w:tc>
          <w:tcPr>
            <w:tcW w:w="4500" w:type="dxa"/>
            <w:tcBorders>
              <w:top w:val="nil"/>
              <w:left w:val="nil"/>
              <w:bottom w:val="nil"/>
              <w:right w:val="nil"/>
            </w:tcBorders>
            <w:tcMar>
              <w:top w:w="0" w:type="dxa"/>
              <w:left w:w="62" w:type="dxa"/>
              <w:bottom w:w="0" w:type="dxa"/>
              <w:right w:w="62" w:type="dxa"/>
            </w:tcMar>
          </w:tcPr>
          <w:p w:rsidR="00000000" w:rsidRPr="00D260A6" w:rsidP="00D260A6">
            <w:pPr>
              <w:pStyle w:val="BodyText"/>
            </w:pPr>
            <w:r w:rsidRPr="00D260A6">
              <w:t>opening and closing point of sale terminal</w:t>
            </w:r>
          </w:p>
          <w:p w:rsidR="00000000" w:rsidRPr="00D260A6" w:rsidP="00D260A6">
            <w:pPr>
              <w:pStyle w:val="BodyText"/>
            </w:pPr>
            <w:r w:rsidRPr="00D260A6">
              <w:t>clearance of terminal and transference of tender</w:t>
            </w:r>
          </w:p>
          <w:p w:rsidR="00000000" w:rsidRPr="00D260A6" w:rsidP="00D260A6">
            <w:pPr>
              <w:pStyle w:val="BodyText"/>
            </w:pPr>
            <w:r w:rsidRPr="00D260A6">
              <w:t>maintenance of cash float</w:t>
            </w:r>
          </w:p>
          <w:p w:rsidR="00000000" w:rsidRPr="00D260A6" w:rsidP="00D260A6">
            <w:pPr>
              <w:pStyle w:val="BodyText"/>
            </w:pPr>
            <w:r w:rsidRPr="00D260A6">
              <w:t>tendering of change</w:t>
            </w:r>
          </w:p>
          <w:p w:rsidR="00000000" w:rsidRPr="00D260A6" w:rsidP="00D260A6">
            <w:pPr>
              <w:pStyle w:val="BodyText"/>
            </w:pPr>
            <w:r w:rsidRPr="00D260A6">
              <w:t>counting cash</w:t>
            </w:r>
          </w:p>
          <w:p w:rsidR="00000000" w:rsidRPr="00D260A6" w:rsidP="00D260A6">
            <w:pPr>
              <w:pStyle w:val="BodyText"/>
            </w:pPr>
            <w:r w:rsidRPr="00D260A6">
              <w:t>calculating non-</w:t>
            </w:r>
            <w:r w:rsidRPr="00D260A6">
              <w:t>cash documents</w:t>
            </w:r>
          </w:p>
          <w:p w:rsidR="00000000" w:rsidRPr="00D260A6" w:rsidP="00D260A6">
            <w:pPr>
              <w:pStyle w:val="BodyText"/>
            </w:pPr>
            <w:r w:rsidRPr="00D260A6">
              <w:t>balancing point of sale terminal</w:t>
            </w:r>
          </w:p>
          <w:p w:rsidR="00000000" w:rsidRPr="00D260A6" w:rsidP="00D260A6">
            <w:pPr>
              <w:pStyle w:val="BodyText"/>
            </w:pPr>
            <w:r w:rsidRPr="00D260A6">
              <w:t>security of cash and non-cash transactions</w:t>
            </w:r>
          </w:p>
          <w:p w:rsidR="00000000" w:rsidP="00D260A6">
            <w:pPr>
              <w:pStyle w:val="BodyText"/>
              <w:rPr>
                <w:lang w:val="en-NZ"/>
              </w:rPr>
            </w:pPr>
            <w:r w:rsidRPr="00D260A6">
              <w:t xml:space="preserve">recording takings. </w:t>
            </w:r>
          </w:p>
        </w:tc>
      </w:tr>
      <w:tr w:rsidTr="000753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p>
        </w:tc>
      </w:tr>
      <w:tr w:rsidTr="000753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p>
        </w:tc>
      </w:tr>
      <w:tr w:rsidTr="000753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rPr>
                <w:rStyle w:val="SpecialBold"/>
              </w:rPr>
              <w:t>Point of sale transactions</w:t>
            </w:r>
            <w:r w:rsidRPr="00D260A6">
              <w:t xml:space="preserve"> may include but are not limited to: </w:t>
            </w:r>
          </w:p>
        </w:tc>
        <w:tc>
          <w:tcPr>
            <w:tcW w:w="4500" w:type="dxa"/>
            <w:tcBorders>
              <w:top w:val="nil"/>
              <w:left w:val="nil"/>
              <w:bottom w:val="nil"/>
              <w:right w:val="nil"/>
            </w:tcBorders>
            <w:tcMar>
              <w:top w:w="0" w:type="dxa"/>
              <w:left w:w="62" w:type="dxa"/>
              <w:bottom w:w="0" w:type="dxa"/>
              <w:right w:w="62" w:type="dxa"/>
            </w:tcMar>
          </w:tcPr>
          <w:p w:rsidR="00000000" w:rsidRPr="00D260A6" w:rsidP="00D260A6">
            <w:pPr>
              <w:pStyle w:val="BodyText"/>
            </w:pPr>
            <w:r w:rsidRPr="00D260A6">
              <w:t>EFTPOS</w:t>
            </w:r>
          </w:p>
          <w:p w:rsidR="00000000" w:rsidRPr="00D260A6" w:rsidP="00D260A6">
            <w:pPr>
              <w:pStyle w:val="BodyText"/>
            </w:pPr>
            <w:r w:rsidRPr="00D260A6">
              <w:t>cheques</w:t>
            </w:r>
          </w:p>
          <w:p w:rsidR="00000000" w:rsidRPr="00D260A6" w:rsidP="00D260A6">
            <w:pPr>
              <w:pStyle w:val="BodyText"/>
            </w:pPr>
            <w:r w:rsidRPr="00D260A6">
              <w:t>credit cards</w:t>
            </w:r>
          </w:p>
          <w:p w:rsidR="00000000" w:rsidRPr="00D260A6" w:rsidP="00D260A6">
            <w:pPr>
              <w:pStyle w:val="BodyText"/>
            </w:pPr>
            <w:r w:rsidRPr="00D260A6">
              <w:t>smart cards</w:t>
            </w:r>
          </w:p>
          <w:p w:rsidR="00000000" w:rsidRPr="00D260A6" w:rsidP="00D260A6">
            <w:pPr>
              <w:pStyle w:val="BodyText"/>
            </w:pPr>
            <w:r w:rsidRPr="00D260A6">
              <w:t>lay-by</w:t>
            </w:r>
          </w:p>
          <w:p w:rsidR="00000000" w:rsidRPr="00D260A6" w:rsidP="00D260A6">
            <w:pPr>
              <w:pStyle w:val="BodyText"/>
            </w:pPr>
            <w:r w:rsidRPr="00D260A6">
              <w:t>credits and returns</w:t>
            </w:r>
          </w:p>
          <w:p w:rsidR="00000000" w:rsidRPr="00D260A6" w:rsidP="00D260A6">
            <w:pPr>
              <w:pStyle w:val="BodyText"/>
            </w:pPr>
            <w:r w:rsidRPr="00D260A6">
              <w:t>customer refunds</w:t>
            </w:r>
          </w:p>
          <w:p w:rsidR="00000000" w:rsidRPr="00D260A6" w:rsidP="00D260A6">
            <w:pPr>
              <w:pStyle w:val="BodyText"/>
            </w:pPr>
            <w:r w:rsidRPr="00D260A6">
              <w:t>gift vouchers</w:t>
            </w:r>
          </w:p>
          <w:p w:rsidR="00000000" w:rsidP="00D260A6">
            <w:pPr>
              <w:pStyle w:val="BodyText"/>
              <w:rPr>
                <w:lang w:val="en-NZ"/>
              </w:rPr>
            </w:pPr>
            <w:r w:rsidRPr="00D260A6">
              <w:t xml:space="preserve">client credit ratings. </w:t>
            </w:r>
          </w:p>
        </w:tc>
      </w:tr>
      <w:tr w:rsidTr="000753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p>
        </w:tc>
      </w:tr>
      <w:tr w:rsidTr="000753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rPr>
                <w:rStyle w:val="SpecialBold"/>
              </w:rPr>
              <w:t>Relevant legislation</w:t>
            </w:r>
            <w:r w:rsidRPr="00D260A6">
              <w:t xml:space="preserve"> may include but is not limited to: </w:t>
            </w:r>
          </w:p>
        </w:tc>
        <w:tc>
          <w:tcPr>
            <w:tcW w:w="4500" w:type="dxa"/>
            <w:tcBorders>
              <w:top w:val="nil"/>
              <w:left w:val="nil"/>
              <w:bottom w:val="nil"/>
              <w:right w:val="nil"/>
            </w:tcBorders>
            <w:tcMar>
              <w:top w:w="0" w:type="dxa"/>
              <w:left w:w="62" w:type="dxa"/>
              <w:bottom w:w="0" w:type="dxa"/>
              <w:right w:w="62" w:type="dxa"/>
            </w:tcMar>
          </w:tcPr>
          <w:p w:rsidR="00000000" w:rsidRPr="00D260A6" w:rsidP="00D260A6">
            <w:pPr>
              <w:pStyle w:val="BodyText"/>
            </w:pPr>
            <w:r w:rsidRPr="00D260A6">
              <w:t>consumer legislation</w:t>
            </w:r>
          </w:p>
          <w:p w:rsidR="00000000" w:rsidRPr="00D260A6" w:rsidP="00D260A6">
            <w:pPr>
              <w:pStyle w:val="BodyText"/>
            </w:pPr>
            <w:r w:rsidRPr="00D260A6">
              <w:t>privacy legislation</w:t>
            </w:r>
          </w:p>
          <w:p w:rsidR="00000000" w:rsidRPr="00D260A6" w:rsidP="00D260A6">
            <w:pPr>
              <w:pStyle w:val="BodyText"/>
            </w:pPr>
            <w:r w:rsidRPr="00D260A6">
              <w:t>GST regulations</w:t>
            </w:r>
          </w:p>
          <w:p w:rsidR="00000000" w:rsidP="00D260A6">
            <w:pPr>
              <w:pStyle w:val="BodyText"/>
              <w:rPr>
                <w:lang w:val="en-NZ"/>
              </w:rPr>
            </w:pPr>
            <w:r w:rsidRPr="00D260A6">
              <w:t xml:space="preserve">Occupational Health and Safety legislation. </w:t>
            </w:r>
          </w:p>
        </w:tc>
      </w:tr>
      <w:tr w:rsidTr="000753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p>
        </w:tc>
      </w:tr>
      <w:tr w:rsidTr="000753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rPr>
                <w:rStyle w:val="SpecialBold"/>
              </w:rPr>
              <w:t>Clients</w:t>
            </w:r>
            <w:r w:rsidRPr="00D260A6">
              <w:t xml:space="preserve"> may include but are not limited to: </w:t>
            </w:r>
          </w:p>
        </w:tc>
        <w:tc>
          <w:tcPr>
            <w:tcW w:w="4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t xml:space="preserve">new or regular clients with routine or special needs. </w:t>
            </w:r>
          </w:p>
        </w:tc>
      </w:tr>
      <w:tr w:rsidTr="000753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p>
        </w:tc>
      </w:tr>
      <w:tr w:rsidTr="000753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60A6">
            <w:pPr>
              <w:pStyle w:val="BodyText"/>
              <w:rPr>
                <w:lang w:val="en-NZ"/>
              </w:rPr>
            </w:pPr>
            <w:r w:rsidRPr="00D260A6">
              <w:rPr>
                <w:rStyle w:val="SpecialBold"/>
              </w:rPr>
              <w:t>Client documentation</w:t>
            </w:r>
            <w:r w:rsidRPr="00D260A6">
              <w:t xml:space="preserve"> may include but is not limited to: </w:t>
            </w:r>
          </w:p>
        </w:tc>
        <w:tc>
          <w:tcPr>
            <w:tcW w:w="4500" w:type="dxa"/>
            <w:tcBorders>
              <w:top w:val="nil"/>
              <w:left w:val="nil"/>
              <w:bottom w:val="nil"/>
              <w:right w:val="nil"/>
            </w:tcBorders>
            <w:tcMar>
              <w:top w:w="0" w:type="dxa"/>
              <w:left w:w="62" w:type="dxa"/>
              <w:bottom w:w="0" w:type="dxa"/>
              <w:right w:w="62" w:type="dxa"/>
            </w:tcMar>
          </w:tcPr>
          <w:p w:rsidR="00000000" w:rsidRPr="00D260A6" w:rsidP="00D260A6">
            <w:pPr>
              <w:pStyle w:val="BodyText"/>
            </w:pPr>
            <w:r w:rsidRPr="00D260A6">
              <w:t>order forms</w:t>
            </w:r>
          </w:p>
          <w:p w:rsidR="00000000" w:rsidRPr="00D260A6" w:rsidP="00D260A6">
            <w:pPr>
              <w:pStyle w:val="BodyText"/>
            </w:pPr>
            <w:r w:rsidRPr="00D260A6">
              <w:t>invoices</w:t>
            </w:r>
          </w:p>
          <w:p w:rsidR="00000000" w:rsidRPr="00D260A6" w:rsidP="00D260A6">
            <w:pPr>
              <w:pStyle w:val="BodyText"/>
            </w:pPr>
            <w:r w:rsidRPr="00D260A6">
              <w:t xml:space="preserve">receipts. </w:t>
            </w:r>
          </w:p>
        </w:tc>
      </w:tr>
    </w:tbl>
    <w:p w:rsidR="00000000" w:rsidRPr="00D260A6" w:rsidP="00D260A6">
      <w:pPr>
        <w:pStyle w:val="BodyText"/>
      </w:pPr>
    </w:p>
    <w:p w:rsidR="00000000" w:rsidRPr="00D260A6" w:rsidP="00D260A6">
      <w:pPr>
        <w:pStyle w:val="AllowPageBreak"/>
      </w:pPr>
    </w:p>
    <w:p w:rsidR="00000000" w:rsidRPr="00D260A6" w:rsidP="00D260A6">
      <w:pPr>
        <w:pStyle w:val="Heading1"/>
      </w:pPr>
      <w:bookmarkStart w:id="12" w:name="O_317374"/>
      <w:bookmarkEnd w:id="12"/>
      <w:r w:rsidRPr="00D260A6">
        <w:t>Unit Sector(s)</w:t>
      </w:r>
    </w:p>
    <w:p w:rsidR="00000000" w:rsidRPr="00D260A6" w:rsidP="00D260A6">
      <w:pPr>
        <w:pStyle w:val="BodyText"/>
      </w:pPr>
      <w:r w:rsidRPr="00D260A6">
        <w:t>Not applicable.</w:t>
      </w:r>
    </w:p>
    <w:p w:rsidR="00000000" w:rsidRPr="00D260A6" w:rsidP="00D260A6">
      <w:pPr>
        <w:pStyle w:val="AllowPageBreak"/>
      </w:pPr>
    </w:p>
    <w:p w:rsidR="00000000" w:rsidRPr="00D260A6" w:rsidP="00D260A6">
      <w:pPr>
        <w:pStyle w:val="Heading1"/>
      </w:pPr>
      <w:bookmarkStart w:id="13" w:name="O_317383"/>
      <w:bookmarkEnd w:id="13"/>
      <w:r w:rsidRPr="00D260A6">
        <w:t>Competency Field</w:t>
      </w:r>
    </w:p>
    <w:p w:rsidR="00000000" w:rsidRPr="00D260A6" w:rsidP="00D260A6">
      <w:pPr>
        <w:pStyle w:val="BodyText"/>
      </w:pPr>
      <w:r w:rsidRPr="00D260A6">
        <w:t xml:space="preserve">    Beauty </w:t>
      </w:r>
    </w:p>
    <w:p w:rsidR="00000000" w:rsidRPr="00D260A6" w:rsidP="00D260A6"/>
    <w:sectPr w:rsidSect="00D260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0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539B" w:rsidP="000753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0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39B" w:rsidP="00D260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7539B" w:rsidP="00D260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7539B" w:rsidP="00D260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0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539B" w:rsidP="0007539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0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39B" w:rsidP="00D260A6">
    <w:pPr>
      <w:pStyle w:val="Header"/>
      <w:framePr w:wrap="around"/>
    </w:pPr>
    <w:r>
      <w:fldChar w:fldCharType="begin"/>
    </w:r>
    <w:r>
      <w:instrText xml:space="preserve"> TITLE   \* MERGEFORMAT </w:instrText>
    </w:r>
    <w:r>
      <w:fldChar w:fldCharType="separate"/>
    </w:r>
    <w:r>
      <w:t>WRBCS201B Conduct financial transactions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7539B" w:rsidP="00D260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0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260A6"/>
    <w:pPr>
      <w:spacing w:before="360" w:after="60"/>
      <w:outlineLvl w:val="0"/>
    </w:pPr>
    <w:rPr>
      <w:sz w:val="32"/>
    </w:rPr>
  </w:style>
  <w:style w:type="paragraph" w:styleId="Heading2">
    <w:name w:val="heading 2"/>
    <w:basedOn w:val="HeadingBase"/>
    <w:next w:val="BodyText"/>
    <w:link w:val="Heading2Char"/>
    <w:qFormat/>
    <w:rsid w:val="00D260A6"/>
    <w:pPr>
      <w:keepLines/>
      <w:spacing w:before="240" w:after="120"/>
      <w:outlineLvl w:val="1"/>
    </w:pPr>
    <w:rPr>
      <w:sz w:val="28"/>
      <w:szCs w:val="40"/>
    </w:rPr>
  </w:style>
  <w:style w:type="paragraph" w:styleId="Heading3">
    <w:name w:val="heading 3"/>
    <w:basedOn w:val="HeadingBase"/>
    <w:next w:val="BodyText"/>
    <w:link w:val="Heading3Char"/>
    <w:qFormat/>
    <w:rsid w:val="00D260A6"/>
    <w:pPr>
      <w:spacing w:before="180" w:after="120"/>
      <w:outlineLvl w:val="2"/>
    </w:pPr>
    <w:rPr>
      <w:spacing w:val="-10"/>
      <w:kern w:val="32"/>
    </w:rPr>
  </w:style>
  <w:style w:type="paragraph" w:styleId="Heading4">
    <w:name w:val="heading 4"/>
    <w:basedOn w:val="HeadingBase"/>
    <w:next w:val="BodyText"/>
    <w:link w:val="Heading4Char"/>
    <w:qFormat/>
    <w:rsid w:val="00D260A6"/>
    <w:pPr>
      <w:spacing w:before="160" w:after="120"/>
      <w:outlineLvl w:val="3"/>
    </w:pPr>
    <w:rPr>
      <w:sz w:val="22"/>
    </w:rPr>
  </w:style>
  <w:style w:type="paragraph" w:styleId="Heading5">
    <w:name w:val="heading 5"/>
    <w:basedOn w:val="HeadingBase"/>
    <w:next w:val="Normal"/>
    <w:link w:val="Heading5Char"/>
    <w:qFormat/>
    <w:rsid w:val="00D260A6"/>
    <w:pPr>
      <w:spacing w:before="80"/>
      <w:outlineLvl w:val="4"/>
    </w:pPr>
    <w:rPr>
      <w:color w:val="918585"/>
      <w:sz w:val="20"/>
    </w:rPr>
  </w:style>
  <w:style w:type="paragraph" w:styleId="Heading6">
    <w:name w:val="heading 6"/>
    <w:basedOn w:val="HeadingBase"/>
    <w:next w:val="Normal"/>
    <w:link w:val="Heading6Char"/>
    <w:qFormat/>
    <w:rsid w:val="00D260A6"/>
    <w:pPr>
      <w:spacing w:before="60"/>
      <w:outlineLvl w:val="5"/>
    </w:pPr>
    <w:rPr>
      <w:color w:val="918585"/>
      <w:sz w:val="20"/>
    </w:rPr>
  </w:style>
  <w:style w:type="paragraph" w:styleId="Heading7">
    <w:name w:val="heading 7"/>
    <w:basedOn w:val="Normal"/>
    <w:next w:val="Normal"/>
    <w:link w:val="Heading7Char"/>
    <w:qFormat/>
    <w:rsid w:val="00D260A6"/>
    <w:pPr>
      <w:ind w:left="720"/>
      <w:outlineLvl w:val="6"/>
    </w:pPr>
    <w:rPr>
      <w:i/>
    </w:rPr>
  </w:style>
  <w:style w:type="paragraph" w:styleId="Heading8">
    <w:name w:val="heading 8"/>
    <w:basedOn w:val="Normal"/>
    <w:next w:val="Normal"/>
    <w:link w:val="Heading8Char"/>
    <w:qFormat/>
    <w:rsid w:val="00D260A6"/>
    <w:pPr>
      <w:ind w:left="720"/>
      <w:outlineLvl w:val="7"/>
    </w:pPr>
    <w:rPr>
      <w:i/>
    </w:rPr>
  </w:style>
  <w:style w:type="paragraph" w:styleId="Heading9">
    <w:name w:val="heading 9"/>
    <w:basedOn w:val="Normal"/>
    <w:next w:val="Normal"/>
    <w:link w:val="Heading9Char"/>
    <w:qFormat/>
    <w:rsid w:val="00D260A6"/>
    <w:pPr>
      <w:ind w:left="720"/>
      <w:outlineLvl w:val="8"/>
    </w:pPr>
    <w:rPr>
      <w:i/>
    </w:rPr>
  </w:style>
  <w:style w:type="character" w:default="1" w:styleId="DefaultParagraphFont">
    <w:name w:val="Default Paragraph Font"/>
    <w:uiPriority w:val="1"/>
    <w:unhideWhenUsed/>
    <w:rsid w:val="00D260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60A6"/>
  </w:style>
  <w:style w:type="character" w:customStyle="1" w:styleId="Heading1Char">
    <w:name w:val="Heading 1 Char"/>
    <w:link w:val="Heading1"/>
    <w:rsid w:val="00D260A6"/>
    <w:rPr>
      <w:rFonts w:ascii="Times New Roman" w:eastAsia="Times New Roman" w:hAnsi="Times New Roman" w:cs="Times New Roman"/>
      <w:b/>
      <w:sz w:val="32"/>
      <w:szCs w:val="20"/>
      <w:lang w:eastAsia="en-US"/>
    </w:rPr>
  </w:style>
  <w:style w:type="paragraph" w:styleId="BodyText">
    <w:name w:val="Body Text"/>
    <w:basedOn w:val="Normal"/>
    <w:link w:val="BodyTextChar"/>
    <w:rsid w:val="00D260A6"/>
    <w:pPr>
      <w:spacing w:before="120" w:after="120"/>
      <w:contextualSpacing/>
    </w:pPr>
    <w:rPr>
      <w:rFonts w:ascii="Times New Roman" w:hAnsi="Times New Roman"/>
      <w:sz w:val="24"/>
      <w:szCs w:val="22"/>
    </w:rPr>
  </w:style>
  <w:style w:type="character" w:customStyle="1" w:styleId="BodyTextChar">
    <w:name w:val="Body Text Char"/>
    <w:link w:val="BodyText"/>
    <w:rsid w:val="00D260A6"/>
    <w:rPr>
      <w:rFonts w:ascii="Times New Roman" w:eastAsia="Times New Roman" w:hAnsi="Times New Roman" w:cs="Times New Roman"/>
      <w:sz w:val="24"/>
      <w:lang w:val="en-US" w:eastAsia="en-US"/>
    </w:rPr>
  </w:style>
  <w:style w:type="paragraph" w:styleId="Footer">
    <w:name w:val="footer"/>
    <w:basedOn w:val="Normal"/>
    <w:link w:val="FooterChar"/>
    <w:rsid w:val="00D260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260A6"/>
    <w:rPr>
      <w:rFonts w:ascii="Times New Roman" w:eastAsia="Times New Roman" w:hAnsi="Times New Roman" w:cs="Times New Roman"/>
      <w:sz w:val="16"/>
      <w:lang w:val="en-US" w:eastAsia="en-US"/>
    </w:rPr>
  </w:style>
  <w:style w:type="character" w:customStyle="1" w:styleId="SpecialBold">
    <w:name w:val="Special Bold"/>
    <w:rsid w:val="00D260A6"/>
    <w:rPr>
      <w:b/>
      <w:spacing w:val="0"/>
    </w:rPr>
  </w:style>
  <w:style w:type="paragraph" w:styleId="Header">
    <w:name w:val="header"/>
    <w:basedOn w:val="Normal"/>
    <w:link w:val="HeaderChar"/>
    <w:rsid w:val="00D260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260A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260A6"/>
    <w:pPr>
      <w:spacing w:before="240" w:after="120"/>
      <w:outlineLvl w:val="0"/>
    </w:pPr>
    <w:rPr>
      <w:rFonts w:ascii="Times New Roman" w:hAnsi="Times New Roman"/>
      <w:b/>
      <w:sz w:val="28"/>
    </w:rPr>
  </w:style>
  <w:style w:type="paragraph" w:customStyle="1" w:styleId="AllowPageBreak">
    <w:name w:val="AllowPageBreak"/>
    <w:rsid w:val="00D260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260A6"/>
    <w:rPr>
      <w:rFonts w:ascii="Times New Roman" w:eastAsia="Times New Roman" w:hAnsi="Times New Roman" w:cs="Times New Roman"/>
      <w:b/>
      <w:sz w:val="28"/>
      <w:szCs w:val="40"/>
      <w:lang w:eastAsia="en-US"/>
    </w:rPr>
  </w:style>
  <w:style w:type="character" w:customStyle="1" w:styleId="Heading3Char">
    <w:name w:val="Heading 3 Char"/>
    <w:link w:val="Heading3"/>
    <w:rsid w:val="00D260A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260A6"/>
    <w:rPr>
      <w:rFonts w:ascii="Times New Roman" w:eastAsia="Times New Roman" w:hAnsi="Times New Roman" w:cs="Times New Roman"/>
      <w:b/>
      <w:szCs w:val="20"/>
      <w:lang w:eastAsia="en-US"/>
    </w:rPr>
  </w:style>
  <w:style w:type="character" w:customStyle="1" w:styleId="Heading5Char">
    <w:name w:val="Heading 5 Char"/>
    <w:link w:val="Heading5"/>
    <w:rsid w:val="00D260A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260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60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260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260A6"/>
    <w:rPr>
      <w:rFonts w:ascii="Courier New" w:eastAsia="Times New Roman" w:hAnsi="Courier New" w:cs="Times New Roman"/>
      <w:i/>
      <w:szCs w:val="20"/>
      <w:lang w:val="en-US" w:eastAsia="en-US"/>
    </w:rPr>
  </w:style>
  <w:style w:type="paragraph" w:customStyle="1" w:styleId="HeadingBase">
    <w:name w:val="Heading Base"/>
    <w:rsid w:val="00D260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60A6"/>
    <w:pPr>
      <w:tabs>
        <w:tab w:val="right" w:leader="dot" w:pos="9072"/>
      </w:tabs>
      <w:ind w:left="567"/>
    </w:pPr>
    <w:rPr>
      <w:szCs w:val="22"/>
    </w:rPr>
  </w:style>
  <w:style w:type="paragraph" w:customStyle="1" w:styleId="TOCBase">
    <w:name w:val="TOC Base"/>
    <w:rsid w:val="00D260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60A6"/>
    <w:pPr>
      <w:tabs>
        <w:tab w:val="right" w:leader="dot" w:pos="9072"/>
      </w:tabs>
      <w:spacing w:before="40" w:after="40"/>
      <w:ind w:left="284"/>
    </w:pPr>
    <w:rPr>
      <w:rFonts w:ascii="Times New Roman" w:hAnsi="Times New Roman"/>
    </w:rPr>
  </w:style>
  <w:style w:type="paragraph" w:styleId="TOC1">
    <w:name w:val="toc 1"/>
    <w:basedOn w:val="TOCBase"/>
    <w:next w:val="Normal"/>
    <w:rsid w:val="00D260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60A6"/>
    <w:pPr>
      <w:spacing w:before="5040"/>
      <w:jc w:val="center"/>
    </w:pPr>
    <w:rPr>
      <w:sz w:val="48"/>
      <w:szCs w:val="72"/>
      <w:lang w:val="en-US"/>
    </w:rPr>
  </w:style>
  <w:style w:type="character" w:customStyle="1" w:styleId="TitleChar">
    <w:name w:val="Title Char"/>
    <w:link w:val="Title"/>
    <w:rsid w:val="00D260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60A6"/>
    <w:pPr>
      <w:tabs>
        <w:tab w:val="left" w:pos="3600"/>
        <w:tab w:val="left" w:pos="3958"/>
      </w:tabs>
    </w:pPr>
  </w:style>
  <w:style w:type="paragraph" w:styleId="List">
    <w:name w:val="List"/>
    <w:basedOn w:val="BodyText"/>
    <w:next w:val="BodyText"/>
    <w:rsid w:val="00D260A6"/>
    <w:pPr>
      <w:tabs>
        <w:tab w:val="left" w:pos="340"/>
      </w:tabs>
      <w:spacing w:before="60" w:after="60"/>
      <w:ind w:left="340" w:hanging="340"/>
    </w:pPr>
  </w:style>
  <w:style w:type="paragraph" w:styleId="ListBullet">
    <w:name w:val="List Bullet"/>
    <w:basedOn w:val="List"/>
    <w:rsid w:val="00D260A6"/>
    <w:pPr>
      <w:numPr>
        <w:numId w:val="11"/>
      </w:numPr>
      <w:tabs>
        <w:tab w:val="clear" w:pos="340"/>
      </w:tabs>
      <w:spacing w:before="40" w:after="40"/>
    </w:pPr>
  </w:style>
  <w:style w:type="paragraph" w:customStyle="1" w:styleId="Note">
    <w:name w:val="Note"/>
    <w:basedOn w:val="BodyText"/>
    <w:rsid w:val="00D260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60A6"/>
    <w:pPr>
      <w:framePr w:wrap="auto" w:hAnchor="text" w:y="6049"/>
    </w:pPr>
    <w:rPr>
      <w:color w:val="000000"/>
      <w:sz w:val="40"/>
    </w:rPr>
  </w:style>
  <w:style w:type="paragraph" w:customStyle="1" w:styleId="TOCTitle">
    <w:name w:val="TOCTitle"/>
    <w:basedOn w:val="Heading1"/>
    <w:rsid w:val="00D260A6"/>
    <w:pPr>
      <w:spacing w:after="240"/>
      <w:jc w:val="center"/>
      <w:outlineLvl w:val="9"/>
    </w:pPr>
    <w:rPr>
      <w:caps/>
    </w:rPr>
  </w:style>
  <w:style w:type="paragraph" w:customStyle="1" w:styleId="Version">
    <w:name w:val="Version"/>
    <w:rsid w:val="00D260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60A6"/>
    <w:pPr>
      <w:numPr>
        <w:numId w:val="12"/>
      </w:numPr>
      <w:tabs>
        <w:tab w:val="clear" w:pos="680"/>
      </w:tabs>
    </w:pPr>
  </w:style>
  <w:style w:type="paragraph" w:styleId="Index1">
    <w:name w:val="index 1"/>
    <w:basedOn w:val="Normal"/>
    <w:next w:val="Normal"/>
    <w:semiHidden/>
    <w:rsid w:val="00D260A6"/>
    <w:pPr>
      <w:keepNext w:val="0"/>
      <w:tabs>
        <w:tab w:val="right" w:pos="4176"/>
      </w:tabs>
      <w:ind w:left="198" w:hanging="198"/>
    </w:pPr>
    <w:rPr>
      <w:rFonts w:ascii="Garamond" w:hAnsi="Garamond"/>
    </w:rPr>
  </w:style>
  <w:style w:type="paragraph" w:styleId="IndexHeading">
    <w:name w:val="index heading"/>
    <w:basedOn w:val="Normal"/>
    <w:next w:val="Index1"/>
    <w:semiHidden/>
    <w:rsid w:val="00D260A6"/>
    <w:pPr>
      <w:spacing w:before="120" w:after="120"/>
    </w:pPr>
    <w:rPr>
      <w:rFonts w:ascii="Arial" w:hAnsi="Arial"/>
      <w:b/>
      <w:color w:val="918585"/>
      <w:sz w:val="24"/>
    </w:rPr>
  </w:style>
  <w:style w:type="paragraph" w:customStyle="1" w:styleId="Chapter">
    <w:name w:val="Chapter"/>
    <w:basedOn w:val="Normal"/>
    <w:rsid w:val="00D260A6"/>
    <w:pPr>
      <w:spacing w:before="240"/>
    </w:pPr>
    <w:rPr>
      <w:rFonts w:ascii="Times New Roman" w:hAnsi="Times New Roman"/>
      <w:smallCaps/>
      <w:spacing w:val="80"/>
      <w:sz w:val="28"/>
    </w:rPr>
  </w:style>
  <w:style w:type="paragraph" w:customStyle="1" w:styleId="InChapter">
    <w:name w:val="InChapter"/>
    <w:basedOn w:val="Heading3"/>
    <w:rsid w:val="00D260A6"/>
    <w:pPr>
      <w:spacing w:after="240"/>
      <w:outlineLvl w:val="9"/>
    </w:pPr>
    <w:rPr>
      <w:noProof/>
    </w:rPr>
  </w:style>
  <w:style w:type="paragraph" w:styleId="Index2">
    <w:name w:val="index 2"/>
    <w:basedOn w:val="Normal"/>
    <w:next w:val="Normal"/>
    <w:semiHidden/>
    <w:rsid w:val="00D260A6"/>
    <w:pPr>
      <w:tabs>
        <w:tab w:val="right" w:pos="4176"/>
      </w:tabs>
      <w:ind w:left="568" w:hanging="284"/>
    </w:pPr>
    <w:rPr>
      <w:rFonts w:ascii="Garamond" w:hAnsi="Garamond"/>
    </w:rPr>
  </w:style>
  <w:style w:type="paragraph" w:customStyle="1" w:styleId="Byline">
    <w:name w:val="Byline"/>
    <w:rsid w:val="00D260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60A6"/>
    <w:pPr>
      <w:tabs>
        <w:tab w:val="clear" w:pos="3600"/>
        <w:tab w:val="clear" w:pos="3958"/>
      </w:tabs>
      <w:jc w:val="right"/>
    </w:pPr>
  </w:style>
  <w:style w:type="character" w:styleId="Emphasis">
    <w:name w:val="Emphasis"/>
    <w:qFormat/>
    <w:rsid w:val="00D260A6"/>
    <w:rPr>
      <w:i/>
    </w:rPr>
  </w:style>
  <w:style w:type="paragraph" w:styleId="Caption">
    <w:name w:val="caption"/>
    <w:basedOn w:val="BodyText"/>
    <w:next w:val="Normal"/>
    <w:qFormat/>
    <w:rsid w:val="00D260A6"/>
    <w:pPr>
      <w:framePr w:w="2268" w:hSpace="181" w:vSpace="181" w:wrap="around" w:vAnchor="text" w:hAnchor="page" w:x="1135" w:y="285" w:anchorLock="1"/>
    </w:pPr>
    <w:rPr>
      <w:i/>
    </w:rPr>
  </w:style>
  <w:style w:type="paragraph" w:customStyle="1" w:styleId="MiniTOCTitle">
    <w:name w:val="MiniTOCTitle"/>
    <w:basedOn w:val="Heading4"/>
    <w:rsid w:val="00D260A6"/>
    <w:pPr>
      <w:spacing w:before="240"/>
      <w:outlineLvl w:val="9"/>
    </w:pPr>
    <w:rPr>
      <w:noProof/>
      <w:sz w:val="24"/>
    </w:rPr>
  </w:style>
  <w:style w:type="paragraph" w:customStyle="1" w:styleId="MiniTOCItem">
    <w:name w:val="MiniTOCItem"/>
    <w:basedOn w:val="ListBullet"/>
    <w:rsid w:val="00D260A6"/>
    <w:pPr>
      <w:numPr>
        <w:numId w:val="0"/>
      </w:numPr>
      <w:tabs>
        <w:tab w:val="right" w:leader="dot" w:pos="6521"/>
      </w:tabs>
      <w:spacing w:before="0" w:after="0"/>
    </w:pPr>
  </w:style>
  <w:style w:type="paragraph" w:customStyle="1" w:styleId="TOFTitle">
    <w:name w:val="TOFTitle"/>
    <w:basedOn w:val="TOCTitle"/>
    <w:rsid w:val="00D260A6"/>
  </w:style>
  <w:style w:type="paragraph" w:styleId="TableofFigures">
    <w:name w:val="table of figures"/>
    <w:basedOn w:val="Normal"/>
    <w:next w:val="Normal"/>
    <w:semiHidden/>
    <w:rsid w:val="00D260A6"/>
    <w:pPr>
      <w:tabs>
        <w:tab w:val="right" w:leader="dot" w:pos="9072"/>
      </w:tabs>
      <w:ind w:left="970" w:hanging="403"/>
    </w:pPr>
    <w:rPr>
      <w:rFonts w:ascii="Times New Roman" w:hAnsi="Times New Roman"/>
      <w:b/>
    </w:rPr>
  </w:style>
  <w:style w:type="paragraph" w:styleId="ListNumber">
    <w:name w:val="List Number"/>
    <w:basedOn w:val="List"/>
    <w:rsid w:val="00D260A6"/>
    <w:pPr>
      <w:numPr>
        <w:numId w:val="9"/>
      </w:numPr>
    </w:pPr>
  </w:style>
  <w:style w:type="character" w:customStyle="1" w:styleId="WingdingSymbols">
    <w:name w:val="Wingding Symbols"/>
    <w:rsid w:val="00D260A6"/>
    <w:rPr>
      <w:rFonts w:ascii="Wingdings" w:hAnsi="Wingdings"/>
    </w:rPr>
  </w:style>
  <w:style w:type="paragraph" w:customStyle="1" w:styleId="TableHeading">
    <w:name w:val="Table Heading"/>
    <w:basedOn w:val="HeadingBase"/>
    <w:rsid w:val="00D260A6"/>
    <w:pPr>
      <w:keepLines/>
      <w:pBdr>
        <w:bottom w:val="single" w:sz="6" w:space="1" w:color="918585"/>
      </w:pBdr>
      <w:spacing w:before="240"/>
    </w:pPr>
  </w:style>
  <w:style w:type="character" w:customStyle="1" w:styleId="HotSpot">
    <w:name w:val="HotSpot"/>
    <w:rsid w:val="00D260A6"/>
    <w:rPr>
      <w:color w:val="0033CC"/>
      <w:u w:val="none"/>
    </w:rPr>
  </w:style>
  <w:style w:type="paragraph" w:customStyle="1" w:styleId="BodyTextRight">
    <w:name w:val="Body Text Right"/>
    <w:basedOn w:val="BodyText"/>
    <w:rsid w:val="00D260A6"/>
    <w:pPr>
      <w:spacing w:before="0" w:after="0"/>
      <w:jc w:val="right"/>
    </w:pPr>
  </w:style>
  <w:style w:type="paragraph" w:styleId="Index3">
    <w:name w:val="index 3"/>
    <w:basedOn w:val="ListNumber2"/>
    <w:next w:val="Normal"/>
    <w:semiHidden/>
    <w:rsid w:val="00D260A6"/>
    <w:pPr>
      <w:numPr>
        <w:numId w:val="0"/>
      </w:numPr>
      <w:tabs>
        <w:tab w:val="right" w:leader="dot" w:pos="4176"/>
      </w:tabs>
    </w:pPr>
  </w:style>
  <w:style w:type="paragraph" w:styleId="ListNumber2">
    <w:name w:val="List Number 2"/>
    <w:basedOn w:val="List2"/>
    <w:rsid w:val="00D260A6"/>
    <w:pPr>
      <w:numPr>
        <w:numId w:val="8"/>
      </w:numPr>
      <w:tabs>
        <w:tab w:val="clear" w:pos="1060"/>
      </w:tabs>
    </w:pPr>
  </w:style>
  <w:style w:type="paragraph" w:customStyle="1" w:styleId="MarginNote">
    <w:name w:val="Margin Note"/>
    <w:basedOn w:val="BodyText"/>
    <w:rsid w:val="00D260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60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260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260A6"/>
    <w:rPr>
      <w:sz w:val="32"/>
    </w:rPr>
  </w:style>
  <w:style w:type="paragraph" w:customStyle="1" w:styleId="HeadingProcedure">
    <w:name w:val="Heading Procedure"/>
    <w:basedOn w:val="HeadingBase"/>
    <w:next w:val="Normal"/>
    <w:rsid w:val="00D260A6"/>
    <w:pPr>
      <w:tabs>
        <w:tab w:val="left" w:pos="0"/>
      </w:tabs>
      <w:spacing w:before="120" w:after="60"/>
    </w:pPr>
    <w:rPr>
      <w:i/>
      <w:color w:val="918585"/>
      <w:sz w:val="22"/>
    </w:rPr>
  </w:style>
  <w:style w:type="paragraph" w:customStyle="1" w:styleId="TableBodyText">
    <w:name w:val="Table Body Text"/>
    <w:basedOn w:val="BodyText"/>
    <w:rsid w:val="00D260A6"/>
    <w:pPr>
      <w:spacing w:before="60" w:after="60"/>
    </w:pPr>
  </w:style>
  <w:style w:type="paragraph" w:styleId="ListContinue">
    <w:name w:val="List Continue"/>
    <w:basedOn w:val="List"/>
    <w:rsid w:val="00D260A6"/>
    <w:pPr>
      <w:ind w:firstLine="0"/>
    </w:pPr>
  </w:style>
  <w:style w:type="paragraph" w:customStyle="1" w:styleId="ListNote">
    <w:name w:val="List Note"/>
    <w:basedOn w:val="List"/>
    <w:rsid w:val="00D260A6"/>
    <w:pPr>
      <w:pBdr>
        <w:top w:val="single" w:sz="6" w:space="2" w:color="918585"/>
        <w:bottom w:val="single" w:sz="6" w:space="2" w:color="918585"/>
      </w:pBdr>
      <w:tabs>
        <w:tab w:val="left" w:pos="1021"/>
      </w:tabs>
      <w:ind w:firstLine="0"/>
    </w:pPr>
  </w:style>
  <w:style w:type="paragraph" w:customStyle="1" w:styleId="Warning">
    <w:name w:val="Warning"/>
    <w:basedOn w:val="BodyText"/>
    <w:rsid w:val="00D260A6"/>
    <w:pPr>
      <w:shd w:val="clear" w:color="auto" w:fill="D9D9D9"/>
      <w:tabs>
        <w:tab w:val="left" w:pos="992"/>
      </w:tabs>
      <w:ind w:left="119" w:right="119"/>
    </w:pPr>
    <w:rPr>
      <w:sz w:val="20"/>
    </w:rPr>
  </w:style>
  <w:style w:type="paragraph" w:customStyle="1" w:styleId="MarginIcons">
    <w:name w:val="Margin Icons"/>
    <w:basedOn w:val="BodyText"/>
    <w:rsid w:val="00D260A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260A6"/>
    <w:rPr>
      <w:rFonts w:ascii="Courier New" w:hAnsi="Courier New"/>
    </w:rPr>
  </w:style>
  <w:style w:type="paragraph" w:customStyle="1" w:styleId="NoteBullet">
    <w:name w:val="Note Bullet"/>
    <w:basedOn w:val="Note"/>
    <w:rsid w:val="00D260A6"/>
    <w:pPr>
      <w:tabs>
        <w:tab w:val="clear" w:pos="680"/>
      </w:tabs>
      <w:spacing w:before="60" w:after="60"/>
    </w:pPr>
  </w:style>
  <w:style w:type="paragraph" w:customStyle="1" w:styleId="SubHeading2">
    <w:name w:val="SubHeading2"/>
    <w:basedOn w:val="HeadingBase"/>
    <w:rsid w:val="00D260A6"/>
    <w:pPr>
      <w:spacing w:before="240" w:after="60"/>
    </w:pPr>
    <w:rPr>
      <w:sz w:val="20"/>
    </w:rPr>
  </w:style>
  <w:style w:type="paragraph" w:customStyle="1" w:styleId="SubHeading1">
    <w:name w:val="SubHeading1"/>
    <w:basedOn w:val="HeadingBase"/>
    <w:rsid w:val="00D260A6"/>
    <w:pPr>
      <w:spacing w:before="240" w:after="60"/>
    </w:pPr>
    <w:rPr>
      <w:color w:val="918585"/>
      <w:sz w:val="22"/>
    </w:rPr>
  </w:style>
  <w:style w:type="paragraph" w:customStyle="1" w:styleId="SideHeading">
    <w:name w:val="Side Heading"/>
    <w:basedOn w:val="HeadingBase"/>
    <w:rsid w:val="00D260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60A6"/>
    <w:pPr>
      <w:numPr>
        <w:numId w:val="10"/>
      </w:numPr>
    </w:pPr>
  </w:style>
  <w:style w:type="paragraph" w:styleId="PlainText">
    <w:name w:val="Plain Text"/>
    <w:basedOn w:val="Normal"/>
    <w:link w:val="PlainTextChar"/>
    <w:rsid w:val="00D260A6"/>
    <w:rPr>
      <w:sz w:val="20"/>
    </w:rPr>
  </w:style>
  <w:style w:type="character" w:customStyle="1" w:styleId="PlainTextChar">
    <w:name w:val="Plain Text Char"/>
    <w:basedOn w:val="DefaultParagraphFont"/>
    <w:link w:val="PlainText"/>
    <w:rsid w:val="00D260A6"/>
    <w:rPr>
      <w:rFonts w:ascii="Courier New" w:eastAsia="Times New Roman" w:hAnsi="Courier New" w:cs="Times New Roman"/>
      <w:sz w:val="20"/>
      <w:szCs w:val="20"/>
      <w:lang w:val="en-US" w:eastAsia="en-US"/>
    </w:rPr>
  </w:style>
  <w:style w:type="character" w:customStyle="1" w:styleId="MenuOption">
    <w:name w:val="Menu Option"/>
    <w:rsid w:val="00D260A6"/>
    <w:rPr>
      <w:b/>
      <w:smallCaps/>
    </w:rPr>
  </w:style>
  <w:style w:type="paragraph" w:customStyle="1" w:styleId="TableListNumber">
    <w:name w:val="Table List Number"/>
    <w:basedOn w:val="ListNumber"/>
    <w:rsid w:val="00D260A6"/>
    <w:pPr>
      <w:numPr>
        <w:numId w:val="0"/>
      </w:numPr>
    </w:pPr>
  </w:style>
  <w:style w:type="paragraph" w:styleId="TOC4">
    <w:name w:val="toc 4"/>
    <w:basedOn w:val="TOCBase"/>
    <w:next w:val="Normal"/>
    <w:semiHidden/>
    <w:rsid w:val="00D260A6"/>
    <w:pPr>
      <w:tabs>
        <w:tab w:val="right" w:leader="dot" w:pos="9071"/>
      </w:tabs>
      <w:ind w:left="1701"/>
    </w:pPr>
  </w:style>
  <w:style w:type="paragraph" w:customStyle="1" w:styleId="ListAlpha">
    <w:name w:val="List Alpha"/>
    <w:basedOn w:val="List"/>
    <w:rsid w:val="00D260A6"/>
    <w:pPr>
      <w:numPr>
        <w:numId w:val="7"/>
      </w:numPr>
    </w:pPr>
  </w:style>
  <w:style w:type="paragraph" w:customStyle="1" w:styleId="ListAlpha2">
    <w:name w:val="List Alpha 2"/>
    <w:basedOn w:val="List2"/>
    <w:rsid w:val="00D260A6"/>
    <w:pPr>
      <w:numPr>
        <w:numId w:val="6"/>
      </w:numPr>
    </w:pPr>
  </w:style>
  <w:style w:type="paragraph" w:styleId="List2">
    <w:name w:val="List 2"/>
    <w:basedOn w:val="BodyText"/>
    <w:rsid w:val="00D260A6"/>
    <w:pPr>
      <w:tabs>
        <w:tab w:val="left" w:pos="680"/>
      </w:tabs>
      <w:spacing w:before="60" w:after="60"/>
      <w:ind w:left="680" w:hanging="340"/>
    </w:pPr>
  </w:style>
  <w:style w:type="paragraph" w:styleId="List3">
    <w:name w:val="List 3"/>
    <w:basedOn w:val="BodyText"/>
    <w:rsid w:val="00D260A6"/>
    <w:pPr>
      <w:tabs>
        <w:tab w:val="left" w:pos="1021"/>
      </w:tabs>
      <w:spacing w:before="60" w:after="60"/>
      <w:ind w:left="1020" w:hanging="340"/>
    </w:pPr>
  </w:style>
  <w:style w:type="paragraph" w:styleId="List4">
    <w:name w:val="List 4"/>
    <w:basedOn w:val="BodyText"/>
    <w:rsid w:val="00D260A6"/>
    <w:pPr>
      <w:tabs>
        <w:tab w:val="left" w:pos="1361"/>
      </w:tabs>
      <w:spacing w:before="60" w:after="60"/>
      <w:ind w:left="1361" w:hanging="340"/>
    </w:pPr>
  </w:style>
  <w:style w:type="paragraph" w:styleId="List5">
    <w:name w:val="List 5"/>
    <w:basedOn w:val="BodyText"/>
    <w:rsid w:val="00D260A6"/>
    <w:pPr>
      <w:tabs>
        <w:tab w:val="left" w:pos="1701"/>
      </w:tabs>
      <w:spacing w:before="60" w:after="60"/>
      <w:ind w:left="1701" w:hanging="340"/>
    </w:pPr>
  </w:style>
  <w:style w:type="paragraph" w:styleId="ListBullet3">
    <w:name w:val="List Bullet 3"/>
    <w:basedOn w:val="List3"/>
    <w:rsid w:val="00D260A6"/>
    <w:pPr>
      <w:numPr>
        <w:numId w:val="13"/>
      </w:numPr>
      <w:tabs>
        <w:tab w:val="clear" w:pos="1021"/>
      </w:tabs>
      <w:ind w:left="1037" w:hanging="357"/>
    </w:pPr>
  </w:style>
  <w:style w:type="paragraph" w:styleId="ListBullet4">
    <w:name w:val="List Bullet 4"/>
    <w:basedOn w:val="List4"/>
    <w:rsid w:val="00D260A6"/>
    <w:pPr>
      <w:numPr>
        <w:numId w:val="1"/>
      </w:numPr>
    </w:pPr>
  </w:style>
  <w:style w:type="paragraph" w:styleId="ListBullet5">
    <w:name w:val="List Bullet 5"/>
    <w:basedOn w:val="List5"/>
    <w:rsid w:val="00D260A6"/>
    <w:pPr>
      <w:numPr>
        <w:numId w:val="2"/>
      </w:numPr>
    </w:pPr>
  </w:style>
  <w:style w:type="paragraph" w:styleId="ListContinue2">
    <w:name w:val="List Continue 2"/>
    <w:basedOn w:val="List2"/>
    <w:rsid w:val="00D260A6"/>
    <w:pPr>
      <w:ind w:firstLine="0"/>
    </w:pPr>
  </w:style>
  <w:style w:type="paragraph" w:styleId="ListContinue3">
    <w:name w:val="List Continue 3"/>
    <w:basedOn w:val="List3"/>
    <w:rsid w:val="00D260A6"/>
    <w:pPr>
      <w:ind w:left="1021" w:firstLine="0"/>
    </w:pPr>
  </w:style>
  <w:style w:type="paragraph" w:styleId="ListContinue4">
    <w:name w:val="List Continue 4"/>
    <w:basedOn w:val="List4"/>
    <w:rsid w:val="00D260A6"/>
    <w:pPr>
      <w:ind w:firstLine="0"/>
    </w:pPr>
  </w:style>
  <w:style w:type="paragraph" w:styleId="ListContinue5">
    <w:name w:val="List Continue 5"/>
    <w:basedOn w:val="List5"/>
    <w:rsid w:val="00D260A6"/>
    <w:pPr>
      <w:ind w:firstLine="0"/>
    </w:pPr>
  </w:style>
  <w:style w:type="paragraph" w:styleId="ListNumber3">
    <w:name w:val="List Number 3"/>
    <w:basedOn w:val="List3"/>
    <w:rsid w:val="00D260A6"/>
    <w:pPr>
      <w:numPr>
        <w:numId w:val="3"/>
      </w:numPr>
    </w:pPr>
  </w:style>
  <w:style w:type="paragraph" w:styleId="ListNumber4">
    <w:name w:val="List Number 4"/>
    <w:basedOn w:val="List4"/>
    <w:rsid w:val="00D260A6"/>
    <w:pPr>
      <w:numPr>
        <w:numId w:val="4"/>
      </w:numPr>
    </w:pPr>
  </w:style>
  <w:style w:type="paragraph" w:styleId="ListNumber5">
    <w:name w:val="List Number 5"/>
    <w:basedOn w:val="List5"/>
    <w:rsid w:val="00D260A6"/>
    <w:pPr>
      <w:numPr>
        <w:numId w:val="5"/>
      </w:numPr>
    </w:pPr>
  </w:style>
  <w:style w:type="paragraph" w:styleId="BlockText">
    <w:name w:val="Block Text"/>
    <w:basedOn w:val="Normal"/>
    <w:rsid w:val="00D260A6"/>
    <w:pPr>
      <w:spacing w:after="120"/>
      <w:ind w:left="1440" w:right="1440"/>
    </w:pPr>
  </w:style>
  <w:style w:type="character" w:customStyle="1" w:styleId="Subscript">
    <w:name w:val="Subscript"/>
    <w:rsid w:val="00D260A6"/>
    <w:rPr>
      <w:sz w:val="16"/>
      <w:vertAlign w:val="subscript"/>
    </w:rPr>
  </w:style>
  <w:style w:type="character" w:customStyle="1" w:styleId="Superscript">
    <w:name w:val="Superscript"/>
    <w:rsid w:val="00D260A6"/>
    <w:rPr>
      <w:sz w:val="16"/>
      <w:vertAlign w:val="superscript"/>
    </w:rPr>
  </w:style>
  <w:style w:type="character" w:customStyle="1" w:styleId="Symbols">
    <w:name w:val="Symbols"/>
    <w:rsid w:val="00D260A6"/>
    <w:rPr>
      <w:rFonts w:ascii="Symbol" w:hAnsi="Symbol"/>
    </w:rPr>
  </w:style>
  <w:style w:type="character" w:customStyle="1" w:styleId="MenuOptions">
    <w:name w:val="Menu Options"/>
    <w:rsid w:val="00D260A6"/>
    <w:rPr>
      <w:rFonts w:ascii="Arial Narrow" w:hAnsi="Arial Narrow"/>
      <w:smallCaps/>
    </w:rPr>
  </w:style>
  <w:style w:type="character" w:customStyle="1" w:styleId="Buttons">
    <w:name w:val="Buttons"/>
    <w:rsid w:val="00D260A6"/>
    <w:rPr>
      <w:b/>
    </w:rPr>
  </w:style>
  <w:style w:type="character" w:customStyle="1" w:styleId="Underlined">
    <w:name w:val="Underlined"/>
    <w:rsid w:val="00D260A6"/>
    <w:rPr>
      <w:u w:val="single"/>
    </w:rPr>
  </w:style>
  <w:style w:type="paragraph" w:customStyle="1" w:styleId="TableBodyTextRight">
    <w:name w:val="Table Body Text Right"/>
    <w:basedOn w:val="TableBodyText"/>
    <w:rsid w:val="00D260A6"/>
    <w:pPr>
      <w:widowControl w:val="0"/>
      <w:autoSpaceDE w:val="0"/>
      <w:autoSpaceDN w:val="0"/>
      <w:adjustRightInd w:val="0"/>
      <w:jc w:val="right"/>
    </w:pPr>
    <w:rPr>
      <w:rFonts w:cs="Arial"/>
      <w:szCs w:val="18"/>
    </w:rPr>
  </w:style>
  <w:style w:type="paragraph" w:customStyle="1" w:styleId="CopyrightText">
    <w:name w:val="Copyright Text"/>
    <w:basedOn w:val="BodyText"/>
    <w:rsid w:val="00D260A6"/>
    <w:rPr>
      <w:sz w:val="18"/>
    </w:rPr>
  </w:style>
  <w:style w:type="paragraph" w:customStyle="1" w:styleId="BodySmallRight">
    <w:name w:val="Body Small Right"/>
    <w:basedOn w:val="BodyTextRight"/>
    <w:rsid w:val="00D260A6"/>
    <w:rPr>
      <w:sz w:val="18"/>
      <w:szCs w:val="18"/>
    </w:rPr>
  </w:style>
  <w:style w:type="paragraph" w:customStyle="1" w:styleId="MarginEdition">
    <w:name w:val="Margin Edition"/>
    <w:basedOn w:val="MarginNote"/>
    <w:rsid w:val="00D260A6"/>
    <w:pPr>
      <w:spacing w:before="0" w:after="0"/>
    </w:pPr>
    <w:rPr>
      <w:rFonts w:ascii="Times New Roman" w:hAnsi="Times New Roman"/>
      <w:color w:val="999999"/>
    </w:rPr>
  </w:style>
  <w:style w:type="paragraph" w:customStyle="1" w:styleId="Spacer">
    <w:name w:val="Spacer"/>
    <w:basedOn w:val="Normal"/>
    <w:rsid w:val="00D260A6"/>
    <w:rPr>
      <w:sz w:val="2"/>
      <w:szCs w:val="2"/>
    </w:rPr>
  </w:style>
  <w:style w:type="character" w:customStyle="1" w:styleId="Small">
    <w:name w:val="Small"/>
    <w:rsid w:val="00D260A6"/>
    <w:rPr>
      <w:sz w:val="16"/>
    </w:rPr>
  </w:style>
  <w:style w:type="paragraph" w:customStyle="1" w:styleId="WideTable">
    <w:name w:val="Wide Table"/>
    <w:basedOn w:val="Normal"/>
    <w:rsid w:val="00D260A6"/>
    <w:pPr>
      <w:ind w:left="-1418"/>
    </w:pPr>
    <w:rPr>
      <w:sz w:val="2"/>
      <w:szCs w:val="2"/>
    </w:rPr>
  </w:style>
  <w:style w:type="character" w:styleId="PageNumber">
    <w:name w:val="page number"/>
    <w:rsid w:val="00D260A6"/>
  </w:style>
  <w:style w:type="paragraph" w:styleId="Quote">
    <w:name w:val="Quote"/>
    <w:basedOn w:val="Heading1"/>
    <w:link w:val="QuoteChar"/>
    <w:qFormat/>
    <w:rsid w:val="00D260A6"/>
    <w:rPr>
      <w:b w:val="0"/>
      <w:sz w:val="72"/>
      <w:szCs w:val="72"/>
      <w:lang w:val="en-NZ"/>
    </w:rPr>
  </w:style>
  <w:style w:type="character" w:customStyle="1" w:styleId="QuoteChar">
    <w:name w:val="Quote Char"/>
    <w:link w:val="Quote"/>
    <w:rsid w:val="00D260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60A6"/>
    <w:pPr>
      <w:pageBreakBefore/>
    </w:pPr>
  </w:style>
  <w:style w:type="paragraph" w:customStyle="1" w:styleId="Border">
    <w:name w:val="Border"/>
    <w:basedOn w:val="Normal"/>
    <w:qFormat/>
    <w:rsid w:val="00D260A6"/>
    <w:pPr>
      <w:pBdr>
        <w:top w:val="single" w:sz="18" w:space="1" w:color="auto"/>
      </w:pBdr>
    </w:pPr>
    <w:rPr>
      <w:rFonts w:ascii="Times New Roman" w:hAnsi="Times New Roman"/>
      <w:color w:val="FFFFFF"/>
      <w:sz w:val="2"/>
    </w:rPr>
  </w:style>
  <w:style w:type="character" w:styleId="IntenseEmphasis">
    <w:name w:val="Intense Emphasis"/>
    <w:uiPriority w:val="21"/>
    <w:qFormat/>
    <w:rsid w:val="00D260A6"/>
    <w:rPr>
      <w:b/>
      <w:bCs/>
      <w:i/>
      <w:iCs/>
      <w:color w:val="auto"/>
    </w:rPr>
  </w:style>
  <w:style w:type="paragraph" w:styleId="IntenseQuote">
    <w:name w:val="Intense Quote"/>
    <w:basedOn w:val="Normal"/>
    <w:next w:val="Normal"/>
    <w:link w:val="IntenseQuoteChar"/>
    <w:uiPriority w:val="30"/>
    <w:qFormat/>
    <w:rsid w:val="00D260A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260A6"/>
    <w:rPr>
      <w:rFonts w:ascii="Courier New" w:eastAsia="Times New Roman" w:hAnsi="Courier New" w:cs="Times New Roman"/>
      <w:b/>
      <w:bCs/>
      <w:i/>
      <w:iCs/>
      <w:szCs w:val="20"/>
      <w:lang w:val="en-US" w:eastAsia="en-US"/>
    </w:rPr>
  </w:style>
  <w:style w:type="character" w:styleId="SubtleReference">
    <w:name w:val="Subtle Reference"/>
    <w:uiPriority w:val="31"/>
    <w:qFormat/>
    <w:rsid w:val="00D260A6"/>
    <w:rPr>
      <w:smallCaps/>
      <w:color w:val="auto"/>
      <w:u w:val="single"/>
    </w:rPr>
  </w:style>
  <w:style w:type="character" w:styleId="IntenseReference">
    <w:name w:val="Intense Reference"/>
    <w:uiPriority w:val="32"/>
    <w:qFormat/>
    <w:rsid w:val="00D260A6"/>
    <w:rPr>
      <w:b/>
      <w:bCs/>
      <w:smallCaps/>
      <w:color w:val="auto"/>
      <w:spacing w:val="5"/>
      <w:u w:val="single"/>
    </w:rPr>
  </w:style>
  <w:style w:type="paragraph" w:customStyle="1" w:styleId="2ColumnHeading">
    <w:name w:val="2Column Heading"/>
    <w:basedOn w:val="BodyText"/>
    <w:qFormat/>
    <w:rsid w:val="00D260A6"/>
    <w:pPr>
      <w:spacing w:after="60"/>
      <w:ind w:left="-2268"/>
    </w:pPr>
    <w:rPr>
      <w:b/>
    </w:rPr>
  </w:style>
  <w:style w:type="paragraph" w:customStyle="1" w:styleId="Heading1TOC">
    <w:name w:val="Heading1 TOC"/>
    <w:basedOn w:val="Normal"/>
    <w:qFormat/>
    <w:rsid w:val="00D260A6"/>
    <w:pPr>
      <w:spacing w:before="240" w:after="120"/>
    </w:pPr>
    <w:rPr>
      <w:rFonts w:ascii="Times New Roman" w:hAnsi="Times New Roman"/>
      <w:b/>
      <w:sz w:val="32"/>
    </w:rPr>
  </w:style>
  <w:style w:type="paragraph" w:customStyle="1" w:styleId="Heading2TOC">
    <w:name w:val="Heading2 TOC"/>
    <w:basedOn w:val="Normal"/>
    <w:qFormat/>
    <w:rsid w:val="00D260A6"/>
    <w:pPr>
      <w:spacing w:before="240" w:after="60"/>
    </w:pPr>
    <w:rPr>
      <w:rFonts w:ascii="Times New Roman" w:hAnsi="Times New Roman"/>
      <w:b/>
      <w:sz w:val="28"/>
    </w:rPr>
  </w:style>
  <w:style w:type="character" w:customStyle="1" w:styleId="Underline">
    <w:name w:val="Underline"/>
    <w:qFormat/>
    <w:rsid w:val="00D260A6"/>
    <w:rPr>
      <w:u w:val="single"/>
    </w:rPr>
  </w:style>
  <w:style w:type="character" w:customStyle="1" w:styleId="BoldandItalics">
    <w:name w:val="Bold and Italics"/>
    <w:qFormat/>
    <w:rsid w:val="00D260A6"/>
    <w:rPr>
      <w:b/>
      <w:i/>
      <w:u w:val="none"/>
    </w:rPr>
  </w:style>
  <w:style w:type="paragraph" w:styleId="BalloonText">
    <w:name w:val="Balloon Text"/>
    <w:basedOn w:val="Normal"/>
    <w:link w:val="BalloonTextChar"/>
    <w:rsid w:val="00D260A6"/>
    <w:rPr>
      <w:rFonts w:ascii="Tahoma" w:hAnsi="Tahoma" w:cs="Tahoma"/>
      <w:sz w:val="16"/>
      <w:szCs w:val="16"/>
    </w:rPr>
  </w:style>
  <w:style w:type="character" w:customStyle="1" w:styleId="BalloonTextChar">
    <w:name w:val="Balloon Text Char"/>
    <w:link w:val="BalloonText"/>
    <w:rsid w:val="00D260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260A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260A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1745</Words>
  <Characters>10673</Characters>
  <Application>Microsoft Office Word</Application>
  <DocSecurity>0</DocSecurity>
  <Lines>521</Lines>
  <Paragraphs>245</Paragraphs>
  <ScaleCrop>false</ScaleCrop>
  <Company>Author-it Software Corporation Ltd.</Company>
  <LinksUpToDate>false</LinksUpToDate>
  <CharactersWithSpaces>12275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WRBCS201B Conduct financial transactions</dc:title>
  <dc:subject>Approved</dc:subject>
  <dc:creator>Service Skills Australia</dc:creator>
  <cp:keywords>Release: 1</cp:keywords>
  <dc:description>Copyright © 1996-2007 Author-it Software Corporation Ltd., all rights reserved.</dc:description>
  <cp:lastModifiedBy>Andrew Campey</cp:lastModifiedBy>
  <cp:revision>3</cp:revision>
  <dcterms:created xsi:type="dcterms:W3CDTF">2012-05-27T04:16:00Z</dcterms:created>
  <dcterms:modified xsi:type="dcterms:W3CDTF">2012-05-27T04:16:00Z</dcterms:modified>
</cp:coreProperties>
</file>