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34B" w:rsidP="0001034B">
      <w:pPr>
        <w:pStyle w:val="Title"/>
      </w:pPr>
      <w:bookmarkStart w:id="0" w:name="_GoBack"/>
      <w:bookmarkEnd w:id="0"/>
      <w:r>
        <w:fldChar w:fldCharType="begin"/>
      </w:r>
      <w:r>
        <w:instrText xml:space="preserve"> TITLE   \* MERGEFORMAT </w:instrText>
      </w:r>
      <w:r>
        <w:fldChar w:fldCharType="separate"/>
      </w:r>
      <w:r>
        <w:t>UETTDRVC32A Use specialised plant to cut vegetation above ground level near live electrical apparatus</w:t>
      </w:r>
      <w:r>
        <w:fldChar w:fldCharType="end"/>
      </w:r>
    </w:p>
    <w:p w:rsidR="0001034B" w:rsidP="0001034B">
      <w:pPr>
        <w:pStyle w:val="Version"/>
        <w:sectPr w:rsidSect="00DB09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9B9" w:rsidP="00DB09B9">
      <w:pPr>
        <w:pStyle w:val="SuperHeading"/>
      </w:pPr>
      <w:r w:rsidRPr="00DB09B9">
        <w:t>UETTDRVC32A Use specialised plant to cut vegetation above ground level near live electrical apparatus</w:t>
      </w:r>
    </w:p>
    <w:p w:rsidR="00000000" w:rsidRPr="00DB09B9" w:rsidP="00DB09B9">
      <w:pPr>
        <w:pStyle w:val="Heading1"/>
      </w:pPr>
      <w:bookmarkStart w:id="1" w:name="O_458104"/>
      <w:bookmarkEnd w:id="1"/>
      <w:r w:rsidRPr="00DB09B9">
        <w:t>Modification History</w:t>
      </w:r>
    </w:p>
    <w:p w:rsidR="00000000" w:rsidRPr="00DB09B9" w:rsidP="00DB09B9">
      <w:pPr>
        <w:pStyle w:val="BodyText"/>
      </w:pPr>
      <w:r w:rsidRPr="00DB09B9">
        <w:t>Not applicable.</w:t>
      </w:r>
    </w:p>
    <w:p w:rsidR="00000000" w:rsidRPr="00DB09B9" w:rsidP="00DB09B9">
      <w:pPr>
        <w:pStyle w:val="AllowPageBreak"/>
      </w:pPr>
    </w:p>
    <w:p w:rsidR="00000000" w:rsidRPr="00DB09B9" w:rsidP="00DB09B9">
      <w:pPr>
        <w:pStyle w:val="Heading1"/>
      </w:pPr>
      <w:bookmarkStart w:id="2" w:name="O_458102"/>
      <w:bookmarkEnd w:id="2"/>
      <w:r w:rsidRPr="00DB09B9">
        <w:t>Unit Descriptor</w:t>
      </w:r>
    </w:p>
    <w:tbl>
      <w:tblPr>
        <w:tblW w:w="0" w:type="auto"/>
        <w:tblLayout w:type="fixed"/>
        <w:tblCellMar>
          <w:left w:w="62" w:type="dxa"/>
          <w:right w:w="62" w:type="dxa"/>
        </w:tblCellMar>
        <w:tblLook w:val="0000"/>
      </w:tblPr>
      <w:tblGrid>
        <w:gridCol w:w="2700"/>
        <w:gridCol w:w="5760"/>
      </w:tblGrid>
      <w:tr w:rsidTr="000103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1)</w:t>
            </w:r>
            <w:r w:rsidRPr="00DB09B9">
              <w:t xml:space="preserve"> </w:t>
            </w:r>
            <w:r w:rsidRPr="00DB09B9">
              <w:rPr>
                <w:rStyle w:val="SpecialBold"/>
              </w:rPr>
              <w:t>Scope:</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09B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1.1) Descriptor</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 xml:space="preserve">This Competency Standard Unit covers removal of vegetation above ground level, up to the live work zone as defined for both Authorised and </w:t>
            </w:r>
            <w:r w:rsidRPr="00DB09B9">
              <w:t>Instructed Persons in the industry guidelines associated with live electrical apparatus, using the established cutting plan relevant to the vegetation type. It encompasses the safe use of specialised plant and equipment according to requirements and establ</w:t>
            </w:r>
            <w:r w:rsidRPr="00DB09B9">
              <w:t>ished procedures. It includes safely accessing trees from ground level to remove tree limbs in a safe manner. It DOES NOT include entry of persons, mobile plant, equipment, and/or specialised tools into to the safe approach distance (SAD) as defined.</w:t>
            </w:r>
          </w:p>
          <w:p w:rsidR="00000000" w:rsidRPr="00DB09B9" w:rsidP="00DB09B9">
            <w:pPr>
              <w:pStyle w:val="BodyText"/>
            </w:pPr>
            <w:r w:rsidRPr="00DB09B9">
              <w:t xml:space="preserve">Also </w:t>
            </w:r>
            <w:r w:rsidRPr="00DB09B9">
              <w:t>included is the preparation of risk assessment control measures that encompass job safety assessment. All work and zones is in compliance with relevant State or Territory regulatory agencies/bodies, local government legislation, Industry bi-partite body– G</w:t>
            </w:r>
            <w:r w:rsidRPr="00DB09B9">
              <w:t>uidelines/Codes of Practices or other related requirements for Safe work and access near live Electrical and Mechanical Apparatus.</w:t>
            </w:r>
          </w:p>
        </w:tc>
      </w:tr>
    </w:tbl>
    <w:p w:rsidR="00000000" w:rsidRPr="00DB09B9" w:rsidP="00DB09B9">
      <w:pPr>
        <w:pStyle w:val="BodyText"/>
      </w:pPr>
    </w:p>
    <w:p w:rsidR="00000000" w:rsidRPr="00DB09B9" w:rsidP="00DB09B9">
      <w:pPr>
        <w:pStyle w:val="AllowPageBreak"/>
      </w:pPr>
    </w:p>
    <w:p w:rsidR="00000000" w:rsidRPr="00DB09B9" w:rsidP="00DB09B9">
      <w:pPr>
        <w:pStyle w:val="Heading1"/>
      </w:pPr>
      <w:bookmarkStart w:id="3" w:name="O_458076"/>
      <w:bookmarkEnd w:id="3"/>
      <w:r w:rsidRPr="00DB09B9">
        <w:t>Application of the Unit</w:t>
      </w:r>
    </w:p>
    <w:tbl>
      <w:tblPr>
        <w:tblW w:w="0" w:type="auto"/>
        <w:tblLayout w:type="fixed"/>
        <w:tblCellMar>
          <w:left w:w="62" w:type="dxa"/>
          <w:right w:w="62" w:type="dxa"/>
        </w:tblCellMar>
        <w:tblLook w:val="0000"/>
      </w:tblPr>
      <w:tblGrid>
        <w:gridCol w:w="2672"/>
        <w:gridCol w:w="5699"/>
      </w:tblGrid>
      <w:tr w:rsidTr="0001034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2)</w:t>
            </w:r>
          </w:p>
        </w:tc>
      </w:tr>
      <w:tr w:rsidTr="0001034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This competency standards unit shall apply to Transmission, Distribution, Rail Traction, Telecommunications and Vegetation Management Control industry sectors.</w:t>
            </w:r>
          </w:p>
        </w:tc>
      </w:tr>
    </w:tbl>
    <w:p w:rsidR="00000000" w:rsidRPr="00DB09B9" w:rsidP="00DB09B9">
      <w:pPr>
        <w:pStyle w:val="BodyText"/>
      </w:pPr>
    </w:p>
    <w:p w:rsidR="00000000" w:rsidRPr="00DB09B9" w:rsidP="00DB09B9">
      <w:pPr>
        <w:pStyle w:val="AllowPageBreak"/>
      </w:pPr>
    </w:p>
    <w:p w:rsidR="00000000" w:rsidRPr="00DB09B9" w:rsidP="00DB09B9">
      <w:pPr>
        <w:pStyle w:val="Heading1"/>
      </w:pPr>
      <w:bookmarkStart w:id="4" w:name="O_458093"/>
      <w:bookmarkEnd w:id="4"/>
      <w:r w:rsidRPr="00DB09B9">
        <w:t>Licensing/Regulatory Information</w:t>
      </w:r>
    </w:p>
    <w:tbl>
      <w:tblPr>
        <w:tblW w:w="0" w:type="auto"/>
        <w:tblLayout w:type="fixed"/>
        <w:tblCellMar>
          <w:left w:w="62" w:type="dxa"/>
          <w:right w:w="62" w:type="dxa"/>
        </w:tblCellMar>
        <w:tblLook w:val="0000"/>
      </w:tblPr>
      <w:tblGrid>
        <w:gridCol w:w="2700"/>
        <w:gridCol w:w="5760"/>
      </w:tblGrid>
      <w:tr w:rsidTr="000103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 xml:space="preserve">3) </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The skills and kno</w:t>
            </w:r>
            <w:r w:rsidRPr="00DB09B9">
              <w:t>wledge described in this unit may only be practiced under the regulations pertaining to each State and Territory for the safe planning and the removal of vegetation around live powerlines up to the live work zone including near live electrical apparatus, a</w:t>
            </w:r>
            <w:r w:rsidRPr="00DB09B9">
              <w:t>nd regulations that directly relate to Occupational Health and Safety and/or contracts of training where they apply.</w:t>
            </w:r>
          </w:p>
        </w:tc>
      </w:tr>
    </w:tbl>
    <w:p w:rsidR="00000000" w:rsidRPr="00DB09B9" w:rsidP="00DB09B9">
      <w:pPr>
        <w:pStyle w:val="BodyText"/>
      </w:pPr>
    </w:p>
    <w:p w:rsidR="00000000" w:rsidRPr="00DB09B9" w:rsidP="00DB09B9">
      <w:pPr>
        <w:pStyle w:val="AllowPageBreak"/>
      </w:pPr>
    </w:p>
    <w:p w:rsidR="00000000" w:rsidRPr="00DB09B9" w:rsidP="00DB09B9">
      <w:pPr>
        <w:pStyle w:val="Heading1"/>
      </w:pPr>
      <w:bookmarkStart w:id="5" w:name="O_458097"/>
      <w:bookmarkEnd w:id="5"/>
      <w:r w:rsidRPr="00DB09B9">
        <w:t>Pre-Requisites</w:t>
      </w:r>
    </w:p>
    <w:tbl>
      <w:tblPr>
        <w:tblW w:w="0" w:type="auto"/>
        <w:tblLayout w:type="fixed"/>
        <w:tblCellMar>
          <w:left w:w="62" w:type="dxa"/>
          <w:right w:w="62" w:type="dxa"/>
        </w:tblCellMar>
        <w:tblLook w:val="0000"/>
      </w:tblPr>
      <w:tblGrid>
        <w:gridCol w:w="2700"/>
        <w:gridCol w:w="2070"/>
        <w:gridCol w:w="3690"/>
      </w:tblGrid>
      <w:tr w:rsidTr="000103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 xml:space="preserve">4) </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4.1)</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Granting of competency in this unit shall be made only after competency in the following unit(s) has/have been confirmed.</w:t>
            </w:r>
          </w:p>
          <w:p w:rsidR="00000000" w:rsidRPr="00DB09B9" w:rsidP="00DB09B9">
            <w:pPr>
              <w:pStyle w:val="BodyText"/>
            </w:pPr>
            <w:r w:rsidRPr="00DB09B9">
              <w:t>Where pre-requisite pathways have been identified. All competencies in the Common Unit Group must be have been completed.</w:t>
            </w:r>
          </w:p>
          <w:p w:rsidR="00000000" w:rsidP="00DB09B9">
            <w:pPr>
              <w:pStyle w:val="BodyText"/>
              <w:rPr>
                <w:lang w:val="en-NZ"/>
              </w:rPr>
            </w:pPr>
            <w:r w:rsidRPr="00DB09B9">
              <w:t xml:space="preserve">Common Unit </w:t>
            </w:r>
            <w:r w:rsidRPr="00DB09B9">
              <w:t>Group</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Unit Code</w:t>
            </w:r>
          </w:p>
        </w:tc>
        <w:tc>
          <w:tcPr>
            <w:tcW w:w="369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Unit Title</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B09B9">
            <w:pPr>
              <w:pStyle w:val="BodyText"/>
              <w:rPr>
                <w:lang w:val="en-NZ"/>
              </w:rPr>
            </w:pPr>
            <w:r w:rsidRPr="00DB09B9">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DB09B9">
            <w:pPr>
              <w:pStyle w:val="BodyText"/>
              <w:rPr>
                <w:lang w:val="en-NZ"/>
              </w:rPr>
            </w:pPr>
            <w:r w:rsidRPr="00DB09B9">
              <w:t>Apply Occupational Health and Safety regulations, codes and practices in the workplace</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B09B9">
            <w:pPr>
              <w:pStyle w:val="BodyText"/>
              <w:rPr>
                <w:lang w:val="en-NZ"/>
              </w:rPr>
            </w:pPr>
            <w:r w:rsidRPr="00DB09B9">
              <w:t>UETTDREL13A</w:t>
            </w:r>
          </w:p>
        </w:tc>
        <w:tc>
          <w:tcPr>
            <w:tcW w:w="3690" w:type="dxa"/>
            <w:tcBorders>
              <w:top w:val="nil"/>
              <w:left w:val="nil"/>
              <w:bottom w:val="nil"/>
              <w:right w:val="nil"/>
            </w:tcBorders>
            <w:tcMar>
              <w:top w:w="0" w:type="dxa"/>
              <w:left w:w="62" w:type="dxa"/>
              <w:bottom w:w="0" w:type="dxa"/>
              <w:right w:w="62" w:type="dxa"/>
            </w:tcMar>
            <w:vAlign w:val="center"/>
          </w:tcPr>
          <w:p w:rsidR="00000000" w:rsidP="00DB09B9">
            <w:pPr>
              <w:pStyle w:val="BodyText"/>
              <w:rPr>
                <w:lang w:val="en-NZ"/>
              </w:rPr>
            </w:pPr>
            <w:r w:rsidRPr="00DB09B9">
              <w:t>Comply with sustainability, environmental and incidental response policies and procedures</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B09B9">
            <w:pPr>
              <w:pStyle w:val="BodyText"/>
              <w:rPr>
                <w:lang w:val="en-NZ"/>
              </w:rPr>
            </w:pPr>
            <w:r w:rsidRPr="00DB09B9">
              <w:t>UETTDREL14A</w:t>
            </w:r>
          </w:p>
        </w:tc>
        <w:tc>
          <w:tcPr>
            <w:tcW w:w="3690" w:type="dxa"/>
            <w:tcBorders>
              <w:top w:val="nil"/>
              <w:left w:val="nil"/>
              <w:bottom w:val="nil"/>
              <w:right w:val="nil"/>
            </w:tcBorders>
            <w:tcMar>
              <w:top w:w="0" w:type="dxa"/>
              <w:left w:w="62" w:type="dxa"/>
              <w:bottom w:w="0" w:type="dxa"/>
              <w:right w:w="62" w:type="dxa"/>
            </w:tcMar>
            <w:vAlign w:val="center"/>
          </w:tcPr>
          <w:p w:rsidR="00000000" w:rsidP="00DB09B9">
            <w:pPr>
              <w:pStyle w:val="BodyText"/>
              <w:rPr>
                <w:lang w:val="en-NZ"/>
              </w:rPr>
            </w:pPr>
            <w:r w:rsidRPr="00DB09B9">
              <w:t>Working safely as a non electrical worker near live electrical apparatus</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B09B9">
            <w:pPr>
              <w:pStyle w:val="BodyText"/>
              <w:rPr>
                <w:lang w:val="en-NZ"/>
              </w:rPr>
            </w:pPr>
            <w:r w:rsidRPr="00DB09B9">
              <w:t>UETTDRVC23A</w:t>
            </w:r>
          </w:p>
        </w:tc>
        <w:tc>
          <w:tcPr>
            <w:tcW w:w="3690" w:type="dxa"/>
            <w:tcBorders>
              <w:top w:val="nil"/>
              <w:left w:val="nil"/>
              <w:bottom w:val="nil"/>
              <w:right w:val="nil"/>
            </w:tcBorders>
            <w:tcMar>
              <w:top w:w="0" w:type="dxa"/>
              <w:left w:w="62" w:type="dxa"/>
              <w:bottom w:w="0" w:type="dxa"/>
              <w:right w:w="62" w:type="dxa"/>
            </w:tcMar>
            <w:vAlign w:val="center"/>
          </w:tcPr>
          <w:p w:rsidR="00000000" w:rsidP="00DB09B9">
            <w:pPr>
              <w:pStyle w:val="BodyText"/>
              <w:rPr>
                <w:lang w:val="en-NZ"/>
              </w:rPr>
            </w:pPr>
            <w:r w:rsidRPr="00DB09B9">
              <w:t>Plan the removal of vegetation up to vegetation exclusion zone near live electrical apparatus</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B09B9">
            <w:pPr>
              <w:pStyle w:val="BodyText"/>
              <w:rPr>
                <w:lang w:val="en-NZ"/>
              </w:rPr>
            </w:pPr>
            <w:r w:rsidRPr="00DB09B9">
              <w:t>UETTDRVC27A</w:t>
            </w:r>
          </w:p>
        </w:tc>
        <w:tc>
          <w:tcPr>
            <w:tcW w:w="3690" w:type="dxa"/>
            <w:tcBorders>
              <w:top w:val="nil"/>
              <w:left w:val="nil"/>
              <w:bottom w:val="nil"/>
              <w:right w:val="nil"/>
            </w:tcBorders>
            <w:tcMar>
              <w:top w:w="0" w:type="dxa"/>
              <w:left w:w="62" w:type="dxa"/>
              <w:bottom w:w="0" w:type="dxa"/>
              <w:right w:w="62" w:type="dxa"/>
            </w:tcMar>
            <w:vAlign w:val="center"/>
          </w:tcPr>
          <w:p w:rsidR="00000000" w:rsidP="00DB09B9">
            <w:pPr>
              <w:pStyle w:val="BodyText"/>
              <w:rPr>
                <w:lang w:val="en-NZ"/>
              </w:rPr>
            </w:pPr>
            <w:r w:rsidRPr="00DB09B9">
              <w:t>Monitor safety compliance for vegetation work near live elect</w:t>
            </w:r>
            <w:r w:rsidRPr="00DB09B9">
              <w:t xml:space="preserve">rical </w:t>
            </w:r>
            <w:r w:rsidRPr="00DB09B9">
              <w:t>apparatus</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B09B9">
            <w:pPr>
              <w:pStyle w:val="BodyText"/>
              <w:rPr>
                <w:lang w:val="en-NZ"/>
              </w:rPr>
            </w:pPr>
            <w:r w:rsidRPr="00DB09B9">
              <w:t>UETTDRVC33A</w:t>
            </w:r>
          </w:p>
        </w:tc>
        <w:tc>
          <w:tcPr>
            <w:tcW w:w="3690" w:type="dxa"/>
            <w:tcBorders>
              <w:top w:val="nil"/>
              <w:left w:val="nil"/>
              <w:bottom w:val="nil"/>
              <w:right w:val="nil"/>
            </w:tcBorders>
            <w:tcMar>
              <w:top w:w="0" w:type="dxa"/>
              <w:left w:w="62" w:type="dxa"/>
              <w:bottom w:w="0" w:type="dxa"/>
              <w:right w:w="62" w:type="dxa"/>
            </w:tcMar>
            <w:vAlign w:val="center"/>
          </w:tcPr>
          <w:p w:rsidR="00000000" w:rsidRPr="00DB09B9" w:rsidP="00DB09B9">
            <w:pPr>
              <w:pStyle w:val="BodyText"/>
            </w:pPr>
            <w:r w:rsidRPr="00DB09B9">
              <w:t>Apply pruning techniques to vegetation control near live electrical apparatus</w:t>
            </w:r>
          </w:p>
        </w:tc>
      </w:tr>
    </w:tbl>
    <w:p w:rsidR="00000000" w:rsidRPr="00DB09B9" w:rsidP="00DB09B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1034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 xml:space="preserve">4.2) </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Participants are best equipped to achieve this unit if they have reading, writing and numeracy skills indicated by the following scales. Description of each scale is given in Volume 2, Part 3 “Literacy and Numeracy”</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Reading</w:t>
            </w:r>
          </w:p>
        </w:tc>
        <w:tc>
          <w:tcPr>
            <w:tcW w:w="81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2</w:t>
            </w:r>
          </w:p>
        </w:tc>
        <w:tc>
          <w:tcPr>
            <w:tcW w:w="99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Writing</w:t>
            </w:r>
          </w:p>
        </w:tc>
        <w:tc>
          <w:tcPr>
            <w:tcW w:w="90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2</w:t>
            </w:r>
          </w:p>
        </w:tc>
        <w:tc>
          <w:tcPr>
            <w:tcW w:w="126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Numeracy</w:t>
            </w:r>
          </w:p>
        </w:tc>
        <w:tc>
          <w:tcPr>
            <w:tcW w:w="72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2</w:t>
            </w:r>
          </w:p>
        </w:tc>
      </w:tr>
    </w:tbl>
    <w:p w:rsidR="00000000" w:rsidRPr="00DB09B9" w:rsidP="00DB09B9">
      <w:pPr>
        <w:pStyle w:val="BodyText"/>
      </w:pPr>
    </w:p>
    <w:p w:rsidR="00000000" w:rsidRPr="00DB09B9" w:rsidP="00DB09B9">
      <w:pPr>
        <w:pStyle w:val="AllowPageBreak"/>
      </w:pPr>
    </w:p>
    <w:p w:rsidR="00000000" w:rsidRPr="00DB09B9" w:rsidP="00DB09B9">
      <w:pPr>
        <w:pStyle w:val="Heading1"/>
      </w:pPr>
      <w:bookmarkStart w:id="6" w:name="O_458080"/>
      <w:bookmarkEnd w:id="6"/>
      <w:r w:rsidRPr="00DB09B9">
        <w:t>Employability Skills Information</w:t>
      </w:r>
    </w:p>
    <w:tbl>
      <w:tblPr>
        <w:tblW w:w="0" w:type="auto"/>
        <w:tblLayout w:type="fixed"/>
        <w:tblCellMar>
          <w:left w:w="62" w:type="dxa"/>
          <w:right w:w="62" w:type="dxa"/>
        </w:tblCellMar>
        <w:tblLook w:val="0000"/>
      </w:tblPr>
      <w:tblGrid>
        <w:gridCol w:w="2700"/>
        <w:gridCol w:w="5760"/>
      </w:tblGrid>
      <w:tr w:rsidTr="000103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 xml:space="preserve">5) </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 xml:space="preserve">The required outcomes described in this unit of competency contain applicable facets of Employability Skills. The Employability Skills Summary </w:t>
            </w:r>
            <w:r w:rsidRPr="00DB09B9">
              <w:t>of the qualification in which this unit of competency is packaged will assist in identifying Employability Skill requirements.</w:t>
            </w:r>
          </w:p>
        </w:tc>
      </w:tr>
    </w:tbl>
    <w:p w:rsidR="00000000" w:rsidRPr="00DB09B9" w:rsidP="00DB09B9">
      <w:pPr>
        <w:pStyle w:val="BodyText"/>
      </w:pPr>
    </w:p>
    <w:p w:rsidR="00000000" w:rsidRPr="00DB09B9" w:rsidP="00DB09B9">
      <w:pPr>
        <w:pStyle w:val="AllowPageBreak"/>
      </w:pPr>
    </w:p>
    <w:p w:rsidR="00000000" w:rsidRPr="00DB09B9" w:rsidP="00DB09B9">
      <w:pPr>
        <w:pStyle w:val="Heading1"/>
      </w:pPr>
      <w:bookmarkStart w:id="7" w:name="O_458079"/>
      <w:bookmarkEnd w:id="7"/>
      <w:r w:rsidRPr="00DB09B9">
        <w:t>Elements and Performance Criteria Pre-Content</w:t>
      </w:r>
    </w:p>
    <w:tbl>
      <w:tblPr>
        <w:tblW w:w="0" w:type="auto"/>
        <w:tblLayout w:type="fixed"/>
        <w:tblCellMar>
          <w:left w:w="62" w:type="dxa"/>
          <w:right w:w="62" w:type="dxa"/>
        </w:tblCellMar>
        <w:tblLook w:val="0000"/>
      </w:tblPr>
      <w:tblGrid>
        <w:gridCol w:w="2700"/>
        <w:gridCol w:w="5760"/>
      </w:tblGrid>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6)</w:t>
            </w:r>
            <w:r w:rsidRPr="00DB09B9">
              <w:t xml:space="preserve"> Elements describe the essential outcomes of a competency stan</w:t>
            </w:r>
            <w:r w:rsidRPr="00DB09B9">
              <w:t>dard unit</w:t>
            </w:r>
          </w:p>
        </w:tc>
        <w:tc>
          <w:tcPr>
            <w:tcW w:w="576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Performance Criteria describe the required performance needed to demonstrate achievement of the element. Assessment of performance is to be consistent with the Evidence Guide.</w:t>
            </w:r>
          </w:p>
        </w:tc>
      </w:tr>
    </w:tbl>
    <w:p w:rsidR="00000000" w:rsidRPr="00DB09B9" w:rsidP="00DB09B9">
      <w:pPr>
        <w:pStyle w:val="BodyText"/>
      </w:pPr>
    </w:p>
    <w:p w:rsidR="00000000" w:rsidRPr="00DB09B9" w:rsidP="00DB09B9">
      <w:pPr>
        <w:pStyle w:val="AllowPageBreak"/>
      </w:pPr>
    </w:p>
    <w:p w:rsidR="00000000" w:rsidRPr="00DB09B9" w:rsidP="00DB09B9">
      <w:pPr>
        <w:pStyle w:val="Heading1"/>
      </w:pPr>
      <w:bookmarkStart w:id="8" w:name="O_458078"/>
      <w:bookmarkEnd w:id="8"/>
      <w:r w:rsidRPr="00DB09B9">
        <w:t>Elements and Performance Criteria</w:t>
      </w:r>
    </w:p>
    <w:tbl>
      <w:tblPr>
        <w:tblW w:w="0" w:type="auto"/>
        <w:tblLayout w:type="fixed"/>
        <w:tblCellMar>
          <w:left w:w="62" w:type="dxa"/>
          <w:right w:w="62" w:type="dxa"/>
        </w:tblCellMar>
        <w:tblLook w:val="0000"/>
      </w:tblPr>
      <w:tblGrid>
        <w:gridCol w:w="398"/>
        <w:gridCol w:w="2302"/>
        <w:gridCol w:w="812"/>
        <w:gridCol w:w="4948"/>
      </w:tblGrid>
      <w:tr w:rsidTr="0001034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PERFORMANCE CRITERIA</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1</w:t>
            </w:r>
          </w:p>
        </w:tc>
        <w:tc>
          <w:tcPr>
            <w:tcW w:w="2302" w:type="dxa"/>
            <w:vMerge w:val="restart"/>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Select and prepare specialised plant and for use near live electrical apparatus.</w:t>
            </w:r>
          </w:p>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1.1</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Specialised plant is selected and prepared to job requirements and confirmed against work plan.</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1.2</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Routine pre-operational checks of speciali</w:t>
            </w:r>
            <w:r w:rsidRPr="00DB09B9">
              <w:t>sed plant are completed to manufacturers’ specifications and enterprise requirements.</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1.3</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OHS hazards in the workplace are recognised, risk assessed and minimised according to enterprise requirements.</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1.4</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The candidate is able to recognise and follow the requirements for safe working procedures and legislation during transport.</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1.5</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The candidate has ensured procedures and risk control measures are in place and followed in the event of an incident.</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1.6</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The candidate appropriately reported any incidents according to established procedures.</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2</w:t>
            </w:r>
          </w:p>
        </w:tc>
        <w:tc>
          <w:tcPr>
            <w:tcW w:w="2302" w:type="dxa"/>
            <w:vMerge w:val="restart"/>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 xml:space="preserve">Operate Specialised Plant near live electrical apparatus. </w:t>
            </w: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2.1</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Plant is operated in a safe and controlled manner and monitored for performance and efficiency.</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2.</w:t>
            </w:r>
            <w:r w:rsidRPr="00DB09B9">
              <w:t>2</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Risks to self, others and the environment are anticipated and minimisation strategies implemented accordingly.</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2.3</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Suitable personal protective clothing and equipment is selected, used, maintained and stored according to OHS requirements.</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2.4</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Environmental implications associated with specialised plant operation are identified, assessed and reported according to established procedures.</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2.5</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Non-routine events are referred to the immediate authorised personnel for directions according to estab</w:t>
            </w:r>
            <w:r w:rsidRPr="00DB09B9">
              <w:t>lished procedures.</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3</w:t>
            </w:r>
          </w:p>
        </w:tc>
        <w:tc>
          <w:tcPr>
            <w:tcW w:w="2302" w:type="dxa"/>
            <w:vMerge w:val="restart"/>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Complete operations and report on specialised plant operation near live electrical apparatus.</w:t>
            </w: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3.1</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Shut-down procedures for specialised plant are completed to manufacturers’ specifications and enterprise requirements.</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3.2</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Specialised plant operational records are completed and maintained according to enterprise requirements.</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3.3</w:t>
            </w:r>
          </w:p>
        </w:tc>
        <w:tc>
          <w:tcPr>
            <w:tcW w:w="4948"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Malfunctions, faults, irregular performance and damage to specialised plant are detailed and reported according to enterprise requirements.</w:t>
            </w:r>
          </w:p>
        </w:tc>
      </w:tr>
      <w:tr w:rsidTr="0001034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t>3.4</w:t>
            </w:r>
          </w:p>
        </w:tc>
        <w:tc>
          <w:tcPr>
            <w:tcW w:w="4948"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Specialised plant is cleaned, secured and stored according to manufacturers’ specifications, OHS and enterprise requirements.</w:t>
            </w:r>
          </w:p>
        </w:tc>
      </w:tr>
    </w:tbl>
    <w:p w:rsidR="00000000" w:rsidRPr="00DB09B9" w:rsidP="00DB09B9">
      <w:pPr>
        <w:pStyle w:val="BodyText"/>
      </w:pPr>
    </w:p>
    <w:p w:rsidR="00000000" w:rsidRPr="00DB09B9" w:rsidP="00DB09B9">
      <w:pPr>
        <w:pStyle w:val="AllowPageBreak"/>
      </w:pPr>
    </w:p>
    <w:p w:rsidR="00000000" w:rsidRPr="00DB09B9" w:rsidP="00DB09B9">
      <w:pPr>
        <w:pStyle w:val="Heading1"/>
      </w:pPr>
      <w:bookmarkStart w:id="9" w:name="O_458101"/>
      <w:bookmarkEnd w:id="9"/>
      <w:r w:rsidRPr="00DB09B9">
        <w:t>Required Skills and Knowledge</w:t>
      </w:r>
    </w:p>
    <w:tbl>
      <w:tblPr>
        <w:tblW w:w="0" w:type="auto"/>
        <w:tblLayout w:type="fixed"/>
        <w:tblCellMar>
          <w:left w:w="62" w:type="dxa"/>
          <w:right w:w="62" w:type="dxa"/>
        </w:tblCellMar>
        <w:tblLook w:val="0000"/>
      </w:tblPr>
      <w:tblGrid>
        <w:gridCol w:w="8460"/>
      </w:tblGrid>
      <w:tr w:rsidTr="0001034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REQUIRED SKILLS AND KNOWLEDGE</w:t>
            </w:r>
          </w:p>
        </w:tc>
      </w:tr>
      <w:tr w:rsidTr="0001034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8)</w:t>
            </w:r>
            <w:r w:rsidRPr="00DB09B9">
              <w:t xml:space="preserve"> Essential Knowledge and Associated Skills (EKAS): This describes the essential skills and knowledge and their level, required for this unit.</w:t>
            </w:r>
          </w:p>
          <w:p w:rsidR="00000000" w:rsidRPr="00DB09B9" w:rsidP="00DB09B9">
            <w:pPr>
              <w:pStyle w:val="BodyText"/>
            </w:pPr>
            <w:r w:rsidRPr="00DB09B9">
              <w:t>Evidence shall show that knowledge has been acquired of operating vegetation control plant,  and equipment near li</w:t>
            </w:r>
            <w:r w:rsidRPr="00DB09B9">
              <w:t xml:space="preserve">ve electrical apparatus. </w:t>
            </w:r>
          </w:p>
          <w:p w:rsidR="00000000" w:rsidRPr="00DB09B9" w:rsidP="00DB09B9">
            <w:pPr>
              <w:pStyle w:val="BodyText"/>
            </w:pPr>
            <w:r w:rsidRPr="00DB09B9">
              <w:t>All knowledge and skills detailed in this unit should be contextualised to current industry practices and technologies.</w:t>
            </w:r>
          </w:p>
          <w:p w:rsidR="00000000" w:rsidRPr="00DB09B9" w:rsidP="00DB09B9">
            <w:pPr>
              <w:pStyle w:val="BodyText"/>
            </w:pPr>
            <w:r w:rsidRPr="00DB09B9">
              <w:t xml:space="preserve">KS01-TVC32A </w:t>
            </w:r>
            <w:r w:rsidRPr="00DB09B9">
              <w:tab/>
              <w:t>ESI vegetation control specialist plant use</w:t>
            </w:r>
          </w:p>
          <w:p w:rsidR="00000000" w:rsidRPr="00DB09B9" w:rsidP="00DB09B9">
            <w:pPr>
              <w:pStyle w:val="BodyText"/>
            </w:pPr>
            <w:r w:rsidRPr="00DB09B9">
              <w:t>Evidence shall show an understanding of using special</w:t>
            </w:r>
            <w:r w:rsidRPr="00DB09B9">
              <w:t>ised plant to cut vegetation above ground level near live electrical apparatus to an extent indicated by the following aspects:</w:t>
            </w:r>
          </w:p>
          <w:p w:rsidR="00000000" w:rsidRPr="00DB09B9" w:rsidP="00DB09B9">
            <w:pPr>
              <w:pStyle w:val="BodyText"/>
            </w:pPr>
            <w:r w:rsidRPr="00DB09B9">
              <w:t>T1</w:t>
            </w:r>
            <w:r w:rsidRPr="00DB09B9">
              <w:tab/>
              <w:t>Enterprise specific vegetation control specialised plant encompassing:</w:t>
            </w:r>
          </w:p>
          <w:p w:rsidR="00000000" w:rsidRPr="00DB09B9" w:rsidP="00DB09B9">
            <w:pPr>
              <w:pStyle w:val="ListBullet"/>
            </w:pPr>
            <w:r w:rsidRPr="00DB09B9">
              <w:t>Types and application of specialised plant – sky trim,</w:t>
            </w:r>
            <w:r w:rsidRPr="00DB09B9">
              <w:t xml:space="preserve"> bushy, jarraff, hedging tractor, timber pro (harvester), etc.</w:t>
            </w:r>
          </w:p>
          <w:p w:rsidR="00000000" w:rsidRPr="00DB09B9" w:rsidP="00DB09B9">
            <w:pPr>
              <w:pStyle w:val="ListBullet"/>
            </w:pPr>
            <w:r w:rsidRPr="00DB09B9">
              <w:t>Purpose and use of cutting plans relevant to the vegetation type</w:t>
            </w:r>
          </w:p>
          <w:p w:rsidR="00000000" w:rsidRPr="00DB09B9" w:rsidP="00DB09B9">
            <w:pPr>
              <w:pStyle w:val="ListBullet"/>
            </w:pPr>
            <w:r w:rsidRPr="00DB09B9">
              <w:t>Cutting techniques of vegetation control specialised plant</w:t>
            </w:r>
          </w:p>
          <w:p w:rsidR="00000000" w:rsidRPr="00DB09B9" w:rsidP="00DB09B9">
            <w:pPr>
              <w:pStyle w:val="ListBullet"/>
            </w:pPr>
            <w:r w:rsidRPr="00DB09B9">
              <w:t>Techniques in undertaking different branch cuts - scarf under-cut, to</w:t>
            </w:r>
            <w:r w:rsidRPr="00DB09B9">
              <w:t>p cut technique, top scarf - bottom-back cut technique, side scarf opposite back-cut technique, including size of cut.</w:t>
            </w:r>
          </w:p>
          <w:p w:rsidR="00000000" w:rsidRPr="00DB09B9" w:rsidP="00DB09B9">
            <w:pPr>
              <w:pStyle w:val="ListBullet"/>
            </w:pPr>
            <w:r w:rsidRPr="00DB09B9">
              <w:t>Understanding of definitions of drop zone and full zone.</w:t>
            </w:r>
          </w:p>
          <w:p w:rsidR="00000000" w:rsidRPr="00DB09B9" w:rsidP="00DB09B9">
            <w:pPr>
              <w:pStyle w:val="ListBullet"/>
            </w:pPr>
            <w:r w:rsidRPr="00DB09B9">
              <w:t>Pre-operational checks on vegetation control specialised plant</w:t>
            </w:r>
          </w:p>
          <w:p w:rsidR="00000000" w:rsidRPr="00DB09B9" w:rsidP="00DB09B9">
            <w:pPr>
              <w:pStyle w:val="ListBullet"/>
            </w:pPr>
            <w:r w:rsidRPr="00DB09B9">
              <w:t>Electrical test r</w:t>
            </w:r>
            <w:r w:rsidRPr="00DB09B9">
              <w:t>equirements e.g. test and certify periodically.</w:t>
            </w:r>
          </w:p>
          <w:p w:rsidR="00000000" w:rsidRPr="00DB09B9" w:rsidP="00DB09B9">
            <w:pPr>
              <w:pStyle w:val="ListBullet"/>
            </w:pPr>
            <w:r w:rsidRPr="00DB09B9">
              <w:t>Techniques in safely using vegetation control specialised plant - visual inspection of vegetation control specialised plant, methods of using equipment at heights and in confined spaces, precautions to note d</w:t>
            </w:r>
            <w:r w:rsidRPr="00DB09B9">
              <w:t>uring use of specialised plant (proximity of other personnel, proximity of powerlines and obstacles, role of safety observer, length of power lead and possible fire danger due to sparks)</w:t>
            </w:r>
          </w:p>
          <w:p w:rsidR="00000000" w:rsidRPr="00DB09B9" w:rsidP="00DB09B9">
            <w:pPr>
              <w:pStyle w:val="ListBullet"/>
            </w:pPr>
            <w:r w:rsidRPr="00DB09B9">
              <w:t>Types of personal protective equipment used in conjunction with veget</w:t>
            </w:r>
            <w:r w:rsidRPr="00DB09B9">
              <w:t>ation control specialised plant - head protection, eye protection, hearing protection, hand protection, foot protection, body protection, general protection.</w:t>
            </w:r>
          </w:p>
          <w:p w:rsidR="00000000" w:rsidRPr="00DB09B9" w:rsidP="00DB09B9">
            <w:pPr>
              <w:pStyle w:val="ListBullet"/>
            </w:pPr>
            <w:r w:rsidRPr="00DB09B9">
              <w:t>Basic maintenance of vegetation control specialised plant - cleaning, proper storage, basic repair</w:t>
            </w:r>
            <w:r w:rsidRPr="00DB09B9">
              <w:t xml:space="preserve"> and replacement and testing for compliance to manufacturer’s and OHS requirements.</w:t>
            </w:r>
          </w:p>
        </w:tc>
      </w:tr>
    </w:tbl>
    <w:p w:rsidR="00000000" w:rsidRPr="00DB09B9" w:rsidP="00DB09B9">
      <w:pPr>
        <w:pStyle w:val="BodyText"/>
      </w:pPr>
    </w:p>
    <w:p w:rsidR="00000000" w:rsidRPr="00DB09B9" w:rsidP="00DB09B9">
      <w:pPr>
        <w:pStyle w:val="AllowPageBreak"/>
      </w:pPr>
    </w:p>
    <w:p w:rsidR="00000000" w:rsidRPr="00DB09B9" w:rsidP="00DB09B9">
      <w:pPr>
        <w:pStyle w:val="Heading1"/>
      </w:pPr>
      <w:bookmarkStart w:id="10" w:name="O_458081"/>
      <w:bookmarkEnd w:id="10"/>
      <w:r w:rsidRPr="00DB09B9">
        <w:t>Evidence Guide</w:t>
      </w:r>
    </w:p>
    <w:tbl>
      <w:tblPr>
        <w:tblW w:w="0" w:type="auto"/>
        <w:tblLayout w:type="fixed"/>
        <w:tblCellMar>
          <w:left w:w="62" w:type="dxa"/>
          <w:right w:w="62" w:type="dxa"/>
        </w:tblCellMar>
        <w:tblLook w:val="0000"/>
      </w:tblPr>
      <w:tblGrid>
        <w:gridCol w:w="8460"/>
      </w:tblGrid>
      <w:tr w:rsidTr="0001034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EVIDENCE GUIDE</w:t>
            </w:r>
          </w:p>
        </w:tc>
      </w:tr>
      <w:tr w:rsidTr="0001034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9)</w:t>
            </w:r>
            <w:r w:rsidRPr="00DB09B9">
              <w:t xml:space="preserve"> This provides essential advice for assessment of the unit of competency and must be read in conjunction </w:t>
            </w:r>
            <w:r w:rsidRPr="00DB09B9">
              <w:t>with the Performance Criteria and the Range Statement of the unit of competency and the Training Package Assessment Guidelines.</w:t>
            </w:r>
          </w:p>
          <w:p w:rsidR="00000000" w:rsidRPr="00DB09B9" w:rsidP="00DB09B9">
            <w:pPr>
              <w:pStyle w:val="BodyText"/>
            </w:pPr>
            <w:r w:rsidRPr="00DB09B9">
              <w:t>The Evidence Guide forms an integral part of this Competency Standard Unit and shall be used in conjunction with all component p</w:t>
            </w:r>
            <w:r w:rsidRPr="00DB09B9">
              <w:t>arts of this unit and, performed in accordance with the Assessment Guidelines of this Training Package.</w:t>
            </w:r>
          </w:p>
        </w:tc>
      </w:tr>
    </w:tbl>
    <w:p w:rsidR="00000000" w:rsidRPr="00DB09B9" w:rsidP="00DB09B9">
      <w:pPr>
        <w:pStyle w:val="BodyText"/>
      </w:pPr>
    </w:p>
    <w:tbl>
      <w:tblPr>
        <w:tblW w:w="0" w:type="auto"/>
        <w:tblLayout w:type="fixed"/>
        <w:tblCellMar>
          <w:left w:w="62" w:type="dxa"/>
          <w:right w:w="62" w:type="dxa"/>
        </w:tblCellMar>
        <w:tblLook w:val="0000"/>
      </w:tblPr>
      <w:tblGrid>
        <w:gridCol w:w="1890"/>
        <w:gridCol w:w="6570"/>
      </w:tblGrid>
      <w:tr w:rsidTr="000103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9.1)</w:t>
            </w:r>
          </w:p>
        </w:tc>
      </w:tr>
      <w:tr w:rsidTr="000103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Longitudinal competency development approaches to assessment, such as Profiling, require data to be reliably gathered in a form that can be consistently interpreted over time. This approach is best utilised in Apprenticeship programs and reduces assessment</w:t>
            </w:r>
            <w:r w:rsidRPr="00DB09B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B09B9">
              <w:t>tency in a realistically simulated work environment. It is recognised that, in some circumstances, assessment in part or full can occur outside the workplace. However, it must be in accord with Industry and, Regulatory policy in this regard.</w:t>
            </w:r>
          </w:p>
          <w:p w:rsidR="00000000" w:rsidRPr="00DB09B9" w:rsidP="00DB09B9">
            <w:pPr>
              <w:pStyle w:val="BodyText"/>
            </w:pPr>
            <w:r w:rsidRPr="00DB09B9">
              <w:t>Methods chosen</w:t>
            </w:r>
            <w:r w:rsidRPr="00DB09B9">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B09B9">
              <w:t>equired and the critical nature of the competencies being assessed.</w:t>
            </w:r>
          </w:p>
          <w:p w:rsidR="00000000" w:rsidRPr="00DB09B9" w:rsidP="00DB09B9">
            <w:pPr>
              <w:pStyle w:val="BodyText"/>
            </w:pPr>
            <w:r w:rsidRPr="00DB09B9">
              <w:t>The critical safety nature of working with electricity, electrical equipment, gas or any other hazardous substance/material carries risk in deeming a person competent. Hence, sources of ev</w:t>
            </w:r>
            <w:r w:rsidRPr="00DB09B9">
              <w:t>idence need to be ‘rich’ in nature so as to minimise error in judgment.</w:t>
            </w:r>
          </w:p>
          <w:p w:rsidR="00000000" w:rsidRPr="00DB09B9" w:rsidP="00DB09B9">
            <w:pPr>
              <w:pStyle w:val="BodyText"/>
            </w:pPr>
            <w:r w:rsidRPr="00DB09B9">
              <w:t>Activities associated with normal every day work have a bearing on the decision as to how much and how detailed the data gathered will contribute to its ‘richness’. Some skills are mor</w:t>
            </w:r>
            <w:r w:rsidRPr="00DB09B9">
              <w:t>e critical to safety and operational requirements while the same skills may be more or less frequently practiced. These points are raised for the assessors to consider when choosing an assessment method and developing assessment instruments. Sample assessm</w:t>
            </w:r>
            <w:r w:rsidRPr="00DB09B9">
              <w:t>ent instruments are included for Assessors in the Assessment Guidelines of this Training Package.</w:t>
            </w:r>
          </w:p>
        </w:tc>
      </w:tr>
    </w:tbl>
    <w:p w:rsidR="00000000" w:rsidRPr="00DB09B9" w:rsidP="00DB09B9">
      <w:pPr>
        <w:pStyle w:val="BodyText"/>
      </w:pPr>
    </w:p>
    <w:tbl>
      <w:tblPr>
        <w:tblW w:w="0" w:type="auto"/>
        <w:tblLayout w:type="fixed"/>
        <w:tblCellMar>
          <w:left w:w="62" w:type="dxa"/>
          <w:right w:w="62" w:type="dxa"/>
        </w:tblCellMar>
        <w:tblLook w:val="0000"/>
      </w:tblPr>
      <w:tblGrid>
        <w:gridCol w:w="1890"/>
        <w:gridCol w:w="720"/>
        <w:gridCol w:w="5850"/>
      </w:tblGrid>
      <w:tr w:rsidTr="000103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9.2)</w:t>
            </w:r>
          </w:p>
        </w:tc>
      </w:tr>
      <w:tr w:rsidTr="0001034B">
        <w:tblPrEx>
          <w:tblW w:w="0" w:type="auto"/>
          <w:tblLayout w:type="fixed"/>
          <w:tblCellMar>
            <w:left w:w="62" w:type="dxa"/>
            <w:right w:w="62" w:type="dxa"/>
          </w:tblCellMar>
          <w:tblLook w:val="0000"/>
        </w:tblPrEx>
        <w:trPr>
          <w:trHeight w:val="69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Before the critical aspects of evidence are considered all prerequisite</w:t>
            </w:r>
            <w:r w:rsidRPr="00DB09B9">
              <w:t>s shall be met.</w:t>
            </w:r>
          </w:p>
          <w:p w:rsidR="00000000" w:rsidRPr="00DB09B9" w:rsidP="00DB09B9">
            <w:pPr>
              <w:pStyle w:val="BodyText"/>
            </w:pPr>
            <w:r w:rsidRPr="00DB09B9">
              <w:t>Evidence for competence in this unit shall be considered holistically. Each Element and associated Performance Criteria shall be demonstrated on at least two occasions in accordance with the “Assessment Guidelines – UET12”. Evidence shall a</w:t>
            </w:r>
            <w:r w:rsidRPr="00DB09B9">
              <w:t>lso comprise:</w:t>
            </w:r>
          </w:p>
          <w:p w:rsidR="00000000" w:rsidRPr="00DB09B9" w:rsidP="00DB09B9">
            <w:pPr>
              <w:pStyle w:val="ListBullet"/>
            </w:pPr>
            <w:r w:rsidRPr="00DB09B9">
              <w:t>A representative body of Performance Criteria demonstrated within the timeframes typically expected of the discipline, work function and industrial environment. In particular this shall incorporate evidence that shows a candidate is able to:</w:t>
            </w:r>
          </w:p>
          <w:p w:rsidR="00000000" w:rsidRPr="00DB09B9" w:rsidP="00DB09B9">
            <w:pPr>
              <w:pStyle w:val="ListBullet2"/>
            </w:pPr>
            <w:r w:rsidRPr="00DB09B9">
              <w:t>Implement Occupational Health and Safety workplace procedures and practices including the use of risk control measures as specified in the Performance Criteria and range; and</w:t>
            </w:r>
          </w:p>
          <w:p w:rsidR="00000000" w:rsidRPr="00DB09B9" w:rsidP="00DB09B9">
            <w:pPr>
              <w:pStyle w:val="ListBullet2"/>
            </w:pPr>
            <w:r w:rsidRPr="00DB09B9">
              <w:t>Apply sustainable energy principles and practices as specified in the Performanc</w:t>
            </w:r>
            <w:r w:rsidRPr="00DB09B9">
              <w:t>e Criteria and range; and</w:t>
            </w:r>
          </w:p>
          <w:p w:rsidR="00000000" w:rsidRPr="00DB09B9" w:rsidP="00DB09B9">
            <w:pPr>
              <w:pStyle w:val="ListBullet2"/>
            </w:pPr>
            <w:r w:rsidRPr="00DB09B9">
              <w:t>Demonstrate an understanding of the essential knowledge and associated skills as described in this unit to such an extent that the learner’s performance outcome is reported in accordance with the preferred approach; namely a perce</w:t>
            </w:r>
            <w:r w:rsidRPr="00DB09B9">
              <w:t>ntile graded result, where required by the regulated environment; and,</w:t>
            </w:r>
          </w:p>
          <w:p w:rsidR="00000000" w:rsidRPr="00DB09B9" w:rsidP="00DB09B9">
            <w:pPr>
              <w:pStyle w:val="ListBullet2"/>
            </w:pPr>
            <w:r w:rsidRPr="00DB09B9">
              <w:t>Demonstrate an appropriate level of employability skills; and</w:t>
            </w:r>
          </w:p>
          <w:p w:rsidR="00000000" w:rsidRPr="00DB09B9" w:rsidP="00DB09B9">
            <w:pPr>
              <w:pStyle w:val="ListBullet"/>
            </w:pPr>
            <w:r w:rsidRPr="00DB09B9">
              <w:t>Conduct work observing the relevant Anti Discrimination legislation, regulations, policies and workplace procedures; and</w:t>
            </w:r>
          </w:p>
          <w:p w:rsidR="00000000" w:rsidP="00DB09B9">
            <w:pPr>
              <w:pStyle w:val="ListBullet2"/>
              <w:rPr>
                <w:lang w:val="en-NZ"/>
              </w:rPr>
            </w:pPr>
            <w:r w:rsidRPr="00DB09B9">
              <w:t>D</w:t>
            </w:r>
            <w:r w:rsidRPr="00DB09B9">
              <w:t>emonstrated performance across a representative range of contexts from the prescribed items below:</w:t>
            </w:r>
          </w:p>
        </w:tc>
      </w:tr>
      <w:tr w:rsidTr="000103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09B9" w:rsidP="00DB09B9">
            <w:pPr>
              <w:pStyle w:val="BodyText"/>
            </w:pPr>
          </w:p>
        </w:tc>
        <w:tc>
          <w:tcPr>
            <w:tcW w:w="720" w:type="dxa"/>
            <w:tcBorders>
              <w:top w:val="nil"/>
              <w:left w:val="nil"/>
              <w:bottom w:val="nil"/>
              <w:right w:val="nil"/>
            </w:tcBorders>
            <w:tcMar>
              <w:top w:w="0" w:type="dxa"/>
              <w:left w:w="62" w:type="dxa"/>
              <w:bottom w:w="0" w:type="dxa"/>
              <w:right w:w="62" w:type="dxa"/>
            </w:tcMar>
          </w:tcPr>
          <w:p w:rsidR="00000000" w:rsidRPr="00DB09B9" w:rsidP="00DB09B9">
            <w:pPr>
              <w:pStyle w:val="BodyText"/>
            </w:pPr>
          </w:p>
        </w:tc>
        <w:tc>
          <w:tcPr>
            <w:tcW w:w="5850"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1245"/>
              <w:gridCol w:w="2133"/>
              <w:gridCol w:w="2348"/>
            </w:tblGrid>
            <w:tr w:rsidTr="0001034B">
              <w:tblPrEx>
                <w:tblW w:w="0" w:type="auto"/>
                <w:tblLayout w:type="fixed"/>
                <w:tblCellMar>
                  <w:left w:w="62" w:type="dxa"/>
                  <w:right w:w="62" w:type="dxa"/>
                </w:tblCellMar>
                <w:tblLook w:val="0000"/>
              </w:tblPrEx>
              <w:tc>
                <w:tcPr>
                  <w:tcW w:w="5726"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rPr>
                      <w:rStyle w:val="SpecialBold"/>
                    </w:rPr>
                    <w:t>Range of tools/ equipment/ materials/ procedures/ workplaces/ other variables</w:t>
                  </w:r>
                </w:p>
              </w:tc>
            </w:tr>
            <w:tr w:rsidTr="0001034B">
              <w:tblPrEx>
                <w:tblW w:w="0" w:type="auto"/>
                <w:tblLayout w:type="fixed"/>
                <w:tblCellMar>
                  <w:left w:w="62" w:type="dxa"/>
                  <w:right w:w="62" w:type="dxa"/>
                </w:tblCellMar>
                <w:tblLook w:val="0000"/>
              </w:tblPrEx>
              <w:tc>
                <w:tcPr>
                  <w:tcW w:w="124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DB09B9" w:rsidP="00DB09B9">
                  <w:pPr>
                    <w:pStyle w:val="BodyText"/>
                  </w:pPr>
                  <w:r w:rsidRPr="00DB09B9">
                    <w:rPr>
                      <w:rStyle w:val="SpecialBold"/>
                    </w:rPr>
                    <w:t>Group No</w:t>
                  </w:r>
                </w:p>
              </w:tc>
              <w:tc>
                <w:tcPr>
                  <w:tcW w:w="213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DB09B9" w:rsidP="00DB09B9">
                  <w:pPr>
                    <w:pStyle w:val="BodyText"/>
                  </w:pPr>
                  <w:r w:rsidRPr="00DB09B9">
                    <w:rPr>
                      <w:rStyle w:val="SpecialBold"/>
                    </w:rPr>
                    <w:t>The minimum number of items on which skill is to be demonstrated</w:t>
                  </w:r>
                </w:p>
              </w:tc>
              <w:tc>
                <w:tcPr>
                  <w:tcW w:w="234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rPr>
                      <w:rStyle w:val="SpecialBold"/>
                    </w:rPr>
                    <w:t>Item List</w:t>
                  </w:r>
                </w:p>
              </w:tc>
            </w:tr>
            <w:tr w:rsidTr="0001034B">
              <w:tblPrEx>
                <w:tblW w:w="0" w:type="auto"/>
                <w:tblLayout w:type="fixed"/>
                <w:tblCellMar>
                  <w:left w:w="62" w:type="dxa"/>
                  <w:right w:w="62" w:type="dxa"/>
                </w:tblCellMar>
                <w:tblLook w:val="0000"/>
              </w:tblPrEx>
              <w:tc>
                <w:tcPr>
                  <w:tcW w:w="124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A</w:t>
                  </w:r>
                </w:p>
              </w:tc>
              <w:tc>
                <w:tcPr>
                  <w:tcW w:w="213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Confirm what range of specialised plant are covered in this standard in at least 3 of the following:</w:t>
                  </w:r>
                </w:p>
              </w:tc>
              <w:tc>
                <w:tcPr>
                  <w:tcW w:w="234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DB09B9" w:rsidP="00DB09B9">
                  <w:pPr>
                    <w:pStyle w:val="BodyText"/>
                  </w:pPr>
                  <w:r w:rsidRPr="00DB09B9">
                    <w:t>Mechanical Tree Trimmer.</w:t>
                  </w:r>
                </w:p>
                <w:p w:rsidR="00000000" w:rsidRPr="00DB09B9" w:rsidP="00DB09B9">
                  <w:pPr>
                    <w:pStyle w:val="BodyText"/>
                  </w:pPr>
                  <w:r w:rsidRPr="00DB09B9">
                    <w:t>Boom-operated Mower.</w:t>
                  </w:r>
                </w:p>
                <w:p w:rsidR="00000000" w:rsidRPr="00DB09B9" w:rsidP="00DB09B9">
                  <w:pPr>
                    <w:pStyle w:val="BodyText"/>
                  </w:pPr>
                  <w:r w:rsidRPr="00DB09B9">
                    <w:t xml:space="preserve">Boom-operated Groomer </w:t>
                  </w:r>
                </w:p>
                <w:p w:rsidR="00000000" w:rsidRPr="00DB09B9" w:rsidP="00DB09B9">
                  <w:pPr>
                    <w:pStyle w:val="BodyText"/>
                  </w:pPr>
                  <w:r w:rsidRPr="00DB09B9">
                    <w:t xml:space="preserve">Hedgers </w:t>
                  </w:r>
                </w:p>
                <w:p w:rsidR="00000000" w:rsidRPr="00DB09B9" w:rsidP="00DB09B9">
                  <w:pPr>
                    <w:pStyle w:val="BodyText"/>
                  </w:pPr>
                  <w:r w:rsidRPr="00DB09B9">
                    <w:t>*Pre and post operational checks, inspections and minor maintenance.</w:t>
                  </w:r>
                </w:p>
                <w:p w:rsidR="00000000" w:rsidRPr="00DB09B9" w:rsidP="00DB09B9">
                  <w:pPr>
                    <w:pStyle w:val="BodyText"/>
                  </w:pPr>
                  <w:r w:rsidRPr="00DB09B9">
                    <w:t>*Safe deployment of machinery and equipment in varying conditions and weather.</w:t>
                  </w:r>
                </w:p>
                <w:p w:rsidR="00000000" w:rsidP="00DB09B9">
                  <w:pPr>
                    <w:pStyle w:val="BodyText"/>
                    <w:rPr>
                      <w:lang w:val="en-NZ"/>
                    </w:rPr>
                  </w:pPr>
                  <w:r w:rsidRPr="00DB09B9">
                    <w:t>(* Must do)</w:t>
                  </w:r>
                </w:p>
              </w:tc>
            </w:tr>
            <w:tr w:rsidTr="0001034B">
              <w:tblPrEx>
                <w:tblW w:w="0" w:type="auto"/>
                <w:tblLayout w:type="fixed"/>
                <w:tblCellMar>
                  <w:left w:w="62" w:type="dxa"/>
                  <w:right w:w="62" w:type="dxa"/>
                </w:tblCellMar>
                <w:tblLook w:val="0000"/>
              </w:tblPrEx>
              <w:tc>
                <w:tcPr>
                  <w:tcW w:w="124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B</w:t>
                  </w:r>
                </w:p>
              </w:tc>
              <w:tc>
                <w:tcPr>
                  <w:tcW w:w="213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Determine what is involved in routine pre-operational checks of specialised plant and equipme</w:t>
                  </w:r>
                  <w:r w:rsidRPr="00DB09B9">
                    <w:t>nt.</w:t>
                  </w:r>
                </w:p>
              </w:tc>
              <w:tc>
                <w:tcPr>
                  <w:tcW w:w="234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DB09B9" w:rsidP="00DB09B9">
                  <w:pPr>
                    <w:pStyle w:val="BodyText"/>
                  </w:pPr>
                  <w:r w:rsidRPr="00DB09B9">
                    <w:t>Pre-start and safety checks as per manufactures specifications.</w:t>
                  </w:r>
                </w:p>
                <w:p w:rsidR="00000000" w:rsidRPr="00DB09B9" w:rsidP="00DB09B9">
                  <w:pPr>
                    <w:pStyle w:val="BodyText"/>
                  </w:pPr>
                  <w:r w:rsidRPr="00DB09B9">
                    <w:t xml:space="preserve">Checking and confirming equipment calibration settings and operating methods </w:t>
                  </w:r>
                </w:p>
                <w:p w:rsidR="00000000" w:rsidRPr="00DB09B9" w:rsidP="00DB09B9">
                  <w:pPr>
                    <w:pStyle w:val="BodyText"/>
                  </w:pPr>
                  <w:r w:rsidRPr="00DB09B9">
                    <w:t xml:space="preserve">Observing and monitoring noise levels for correct operation. </w:t>
                  </w:r>
                </w:p>
                <w:p w:rsidR="00000000" w:rsidRPr="00DB09B9" w:rsidP="00DB09B9">
                  <w:pPr>
                    <w:pStyle w:val="BodyText"/>
                  </w:pPr>
                  <w:r w:rsidRPr="00DB09B9">
                    <w:t>Preparation of independently powered tools may i</w:t>
                  </w:r>
                  <w:r w:rsidRPr="00DB09B9">
                    <w:t xml:space="preserve">nclude cleaning, priming, tightening, basic repairs and adjustments. </w:t>
                  </w:r>
                </w:p>
                <w:p w:rsidR="00000000" w:rsidP="00DB09B9">
                  <w:pPr>
                    <w:pStyle w:val="BodyText"/>
                    <w:rPr>
                      <w:lang w:val="en-NZ"/>
                    </w:rPr>
                  </w:pPr>
                  <w:r w:rsidRPr="00DB09B9">
                    <w:t xml:space="preserve">Identify and segregate unsafe or faulty equipment for repair or replacement. </w:t>
                  </w:r>
                </w:p>
              </w:tc>
            </w:tr>
            <w:tr w:rsidTr="0001034B">
              <w:tblPrEx>
                <w:tblW w:w="0" w:type="auto"/>
                <w:tblLayout w:type="fixed"/>
                <w:tblCellMar>
                  <w:left w:w="62" w:type="dxa"/>
                  <w:right w:w="62" w:type="dxa"/>
                </w:tblCellMar>
                <w:tblLook w:val="0000"/>
              </w:tblPrEx>
              <w:tc>
                <w:tcPr>
                  <w:tcW w:w="124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C</w:t>
                  </w:r>
                </w:p>
              </w:tc>
              <w:tc>
                <w:tcPr>
                  <w:tcW w:w="213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Determine what enterprise requirements apply to this standard.</w:t>
                  </w:r>
                </w:p>
              </w:tc>
              <w:tc>
                <w:tcPr>
                  <w:tcW w:w="234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DB09B9" w:rsidP="00DB09B9">
                  <w:pPr>
                    <w:pStyle w:val="BodyText"/>
                  </w:pPr>
                  <w:r w:rsidRPr="00DB09B9">
                    <w:t xml:space="preserve">Standard Operating Procedures (SOPs), </w:t>
                  </w:r>
                </w:p>
                <w:p w:rsidR="00000000" w:rsidRPr="00DB09B9" w:rsidP="00DB09B9">
                  <w:pPr>
                    <w:pStyle w:val="BodyText"/>
                  </w:pPr>
                  <w:r w:rsidRPr="00DB09B9">
                    <w:t>Ind</w:t>
                  </w:r>
                  <w:r w:rsidRPr="00DB09B9">
                    <w:t>ustry standards,</w:t>
                  </w:r>
                </w:p>
                <w:p w:rsidR="00000000" w:rsidRPr="00DB09B9" w:rsidP="00DB09B9">
                  <w:pPr>
                    <w:pStyle w:val="BodyText"/>
                  </w:pPr>
                  <w:r w:rsidRPr="00DB09B9">
                    <w:t xml:space="preserve">Production schedules, </w:t>
                  </w:r>
                </w:p>
                <w:p w:rsidR="00000000" w:rsidRPr="00DB09B9" w:rsidP="00DB09B9">
                  <w:pPr>
                    <w:pStyle w:val="BodyText"/>
                  </w:pPr>
                  <w:r w:rsidRPr="00DB09B9">
                    <w:t xml:space="preserve">Material Safety Data Sheets (MSDSs), </w:t>
                  </w:r>
                </w:p>
                <w:p w:rsidR="00000000" w:rsidRPr="00DB09B9" w:rsidP="00DB09B9">
                  <w:pPr>
                    <w:pStyle w:val="BodyText"/>
                  </w:pPr>
                  <w:r w:rsidRPr="00DB09B9">
                    <w:t xml:space="preserve">Work notes, </w:t>
                  </w:r>
                </w:p>
                <w:p w:rsidR="00000000" w:rsidRPr="00DB09B9" w:rsidP="00DB09B9">
                  <w:pPr>
                    <w:pStyle w:val="BodyText"/>
                  </w:pPr>
                  <w:r w:rsidRPr="00DB09B9">
                    <w:t xml:space="preserve">Product labels, </w:t>
                  </w:r>
                </w:p>
                <w:p w:rsidR="00000000" w:rsidRPr="00DB09B9" w:rsidP="00DB09B9">
                  <w:pPr>
                    <w:pStyle w:val="BodyText"/>
                  </w:pPr>
                  <w:r w:rsidRPr="00DB09B9">
                    <w:t xml:space="preserve">Manufacturers specifications, </w:t>
                  </w:r>
                </w:p>
                <w:p w:rsidR="00000000" w:rsidRPr="00DB09B9" w:rsidP="00DB09B9">
                  <w:pPr>
                    <w:pStyle w:val="BodyText"/>
                  </w:pPr>
                  <w:r w:rsidRPr="00DB09B9">
                    <w:t xml:space="preserve">Operators manuals, </w:t>
                  </w:r>
                </w:p>
                <w:p w:rsidR="00000000" w:rsidRPr="00DB09B9" w:rsidP="00DB09B9">
                  <w:pPr>
                    <w:pStyle w:val="BodyText"/>
                  </w:pPr>
                  <w:r w:rsidRPr="00DB09B9">
                    <w:t xml:space="preserve">Enterprise policies and procedures (including waste disposal, </w:t>
                  </w:r>
                </w:p>
                <w:p w:rsidR="00000000" w:rsidRPr="00DB09B9" w:rsidP="00DB09B9">
                  <w:pPr>
                    <w:pStyle w:val="BodyText"/>
                  </w:pPr>
                  <w:r w:rsidRPr="00DB09B9">
                    <w:t xml:space="preserve">Recycling and re-use guidelines), </w:t>
                  </w:r>
                </w:p>
                <w:p w:rsidR="00000000" w:rsidRPr="00DB09B9" w:rsidP="00DB09B9">
                  <w:pPr>
                    <w:pStyle w:val="BodyText"/>
                  </w:pPr>
                  <w:r w:rsidRPr="00DB09B9">
                    <w:t xml:space="preserve">OHS procedures, </w:t>
                  </w:r>
                </w:p>
                <w:p w:rsidR="00000000" w:rsidRPr="00DB09B9" w:rsidP="00DB09B9">
                  <w:pPr>
                    <w:pStyle w:val="BodyText"/>
                  </w:pPr>
                  <w:r w:rsidRPr="00DB09B9">
                    <w:t xml:space="preserve">Supervisors oral or written instructions, </w:t>
                  </w:r>
                </w:p>
                <w:p w:rsidR="00000000" w:rsidP="00DB09B9">
                  <w:pPr>
                    <w:pStyle w:val="BodyText"/>
                    <w:rPr>
                      <w:lang w:val="en-NZ"/>
                    </w:rPr>
                  </w:pPr>
                  <w:r w:rsidRPr="00DB09B9">
                    <w:t xml:space="preserve">Work and routine maintenance plans. </w:t>
                  </w:r>
                </w:p>
              </w:tc>
            </w:tr>
            <w:tr w:rsidTr="0001034B">
              <w:tblPrEx>
                <w:tblW w:w="0" w:type="auto"/>
                <w:tblLayout w:type="fixed"/>
                <w:tblCellMar>
                  <w:left w:w="62" w:type="dxa"/>
                  <w:right w:w="62" w:type="dxa"/>
                </w:tblCellMar>
                <w:tblLook w:val="0000"/>
              </w:tblPrEx>
              <w:tc>
                <w:tcPr>
                  <w:tcW w:w="124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D</w:t>
                  </w:r>
                </w:p>
              </w:tc>
              <w:tc>
                <w:tcPr>
                  <w:tcW w:w="213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 xml:space="preserve">Determine from the following what OHS hazards are encountered in the workplace. </w:t>
                  </w:r>
                </w:p>
              </w:tc>
              <w:tc>
                <w:tcPr>
                  <w:tcW w:w="234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DB09B9" w:rsidP="00DB09B9">
                  <w:pPr>
                    <w:pStyle w:val="BodyText"/>
                  </w:pPr>
                  <w:r w:rsidRPr="00DB09B9">
                    <w:t>Exposure to;</w:t>
                  </w:r>
                </w:p>
                <w:p w:rsidR="00000000" w:rsidRPr="00DB09B9" w:rsidP="00DB09B9">
                  <w:pPr>
                    <w:pStyle w:val="BodyText"/>
                  </w:pPr>
                  <w:r w:rsidRPr="00DB09B9">
                    <w:t>loud noise,</w:t>
                  </w:r>
                </w:p>
                <w:p w:rsidR="00000000" w:rsidRPr="00DB09B9" w:rsidP="00DB09B9">
                  <w:pPr>
                    <w:pStyle w:val="BodyText"/>
                  </w:pPr>
                  <w:r w:rsidRPr="00DB09B9">
                    <w:t xml:space="preserve">fumes, </w:t>
                  </w:r>
                </w:p>
                <w:p w:rsidR="00000000" w:rsidRPr="00DB09B9" w:rsidP="00DB09B9">
                  <w:pPr>
                    <w:pStyle w:val="BodyText"/>
                  </w:pPr>
                  <w:r w:rsidRPr="00DB09B9">
                    <w:t xml:space="preserve">solar radiation, </w:t>
                  </w:r>
                </w:p>
                <w:p w:rsidR="00000000" w:rsidRPr="00DB09B9" w:rsidP="00DB09B9">
                  <w:pPr>
                    <w:pStyle w:val="BodyText"/>
                  </w:pPr>
                  <w:r w:rsidRPr="00DB09B9">
                    <w:t xml:space="preserve">dust, </w:t>
                  </w:r>
                </w:p>
                <w:p w:rsidR="00000000" w:rsidRPr="00DB09B9" w:rsidP="00DB09B9">
                  <w:pPr>
                    <w:pStyle w:val="BodyText"/>
                  </w:pPr>
                  <w:r w:rsidRPr="00DB09B9">
                    <w:t>ergonomic hazards associated with posture and vibration,</w:t>
                  </w:r>
                </w:p>
                <w:p w:rsidR="00000000" w:rsidRPr="00DB09B9" w:rsidP="00DB09B9">
                  <w:pPr>
                    <w:pStyle w:val="BodyText"/>
                  </w:pPr>
                  <w:r w:rsidRPr="00DB09B9">
                    <w:t>hazardous substances (fuel, oils, fertiliser),</w:t>
                  </w:r>
                </w:p>
                <w:p w:rsidR="00000000" w:rsidRPr="00DB09B9" w:rsidP="00DB09B9">
                  <w:pPr>
                    <w:pStyle w:val="BodyText"/>
                  </w:pPr>
                  <w:r w:rsidRPr="00DB09B9">
                    <w:t xml:space="preserve">oil and grease spills. </w:t>
                  </w:r>
                </w:p>
                <w:p w:rsidR="00000000" w:rsidRPr="00DB09B9" w:rsidP="00DB09B9">
                  <w:pPr>
                    <w:pStyle w:val="BodyText"/>
                  </w:pPr>
                  <w:r w:rsidRPr="00DB09B9">
                    <w:t>Presence of:</w:t>
                  </w:r>
                </w:p>
                <w:p w:rsidR="00000000" w:rsidRPr="00DB09B9" w:rsidP="00DB09B9">
                  <w:pPr>
                    <w:pStyle w:val="BodyText"/>
                  </w:pPr>
                  <w:r w:rsidRPr="00DB09B9">
                    <w:t xml:space="preserve">bystanders, </w:t>
                  </w:r>
                </w:p>
                <w:p w:rsidR="00000000" w:rsidRPr="00DB09B9" w:rsidP="00DB09B9">
                  <w:pPr>
                    <w:pStyle w:val="BodyText"/>
                  </w:pPr>
                  <w:r w:rsidRPr="00DB09B9">
                    <w:t>livestock and wildlife,</w:t>
                  </w:r>
                </w:p>
                <w:p w:rsidR="00000000" w:rsidRPr="00DB09B9" w:rsidP="00DB09B9">
                  <w:pPr>
                    <w:pStyle w:val="BodyText"/>
                  </w:pPr>
                  <w:r w:rsidRPr="00DB09B9">
                    <w:t>difficult terrain and varying gradients,</w:t>
                  </w:r>
                </w:p>
                <w:p w:rsidR="00000000" w:rsidRPr="00DB09B9" w:rsidP="00DB09B9">
                  <w:pPr>
                    <w:pStyle w:val="BodyText"/>
                  </w:pPr>
                  <w:r w:rsidRPr="00DB09B9">
                    <w:t>potholes,</w:t>
                  </w:r>
                </w:p>
                <w:p w:rsidR="00000000" w:rsidRPr="00DB09B9" w:rsidP="00DB09B9">
                  <w:pPr>
                    <w:pStyle w:val="BodyText"/>
                  </w:pPr>
                  <w:r w:rsidRPr="00DB09B9">
                    <w:t>ditches,</w:t>
                  </w:r>
                </w:p>
                <w:p w:rsidR="00000000" w:rsidRPr="00DB09B9" w:rsidP="00DB09B9">
                  <w:pPr>
                    <w:pStyle w:val="BodyText"/>
                  </w:pPr>
                  <w:r w:rsidRPr="00DB09B9">
                    <w:t xml:space="preserve">gullies, </w:t>
                  </w:r>
                </w:p>
                <w:p w:rsidR="00000000" w:rsidRPr="00DB09B9" w:rsidP="00DB09B9">
                  <w:pPr>
                    <w:pStyle w:val="BodyText"/>
                  </w:pPr>
                  <w:r w:rsidRPr="00DB09B9">
                    <w:t>embankme</w:t>
                  </w:r>
                  <w:r w:rsidRPr="00DB09B9">
                    <w:t>nts,</w:t>
                  </w:r>
                </w:p>
                <w:p w:rsidR="00000000" w:rsidRPr="00DB09B9" w:rsidP="00DB09B9">
                  <w:pPr>
                    <w:pStyle w:val="BodyText"/>
                  </w:pPr>
                  <w:r w:rsidRPr="00DB09B9">
                    <w:t>obstacles (rocks, logs,</w:t>
                  </w:r>
                </w:p>
                <w:p w:rsidR="00000000" w:rsidRPr="00DB09B9" w:rsidP="00DB09B9">
                  <w:pPr>
                    <w:pStyle w:val="BodyText"/>
                  </w:pPr>
                  <w:r w:rsidRPr="00DB09B9">
                    <w:t>fences,</w:t>
                  </w:r>
                </w:p>
                <w:p w:rsidR="00000000" w:rsidRPr="00DB09B9" w:rsidP="00DB09B9">
                  <w:pPr>
                    <w:pStyle w:val="BodyText"/>
                  </w:pPr>
                  <w:r w:rsidRPr="00DB09B9">
                    <w:t>debris, buildings),</w:t>
                  </w:r>
                </w:p>
                <w:p w:rsidR="00000000" w:rsidRPr="00DB09B9" w:rsidP="00DB09B9">
                  <w:pPr>
                    <w:pStyle w:val="BodyText"/>
                  </w:pPr>
                  <w:r w:rsidRPr="00DB09B9">
                    <w:t xml:space="preserve">extreme weather conditions, electricity, </w:t>
                  </w:r>
                </w:p>
                <w:p w:rsidR="00000000" w:rsidRPr="00DB09B9" w:rsidP="00DB09B9">
                  <w:pPr>
                    <w:pStyle w:val="BodyText"/>
                  </w:pPr>
                  <w:r w:rsidRPr="00DB09B9">
                    <w:t>overhead powerlines,</w:t>
                  </w:r>
                </w:p>
                <w:p w:rsidR="00000000" w:rsidP="00DB09B9">
                  <w:pPr>
                    <w:pStyle w:val="BodyText"/>
                    <w:rPr>
                      <w:lang w:val="en-NZ"/>
                    </w:rPr>
                  </w:pPr>
                  <w:r w:rsidRPr="00DB09B9">
                    <w:t>mechanical malfunctions and exposed moving parts, and other machinery including hydraulics.</w:t>
                  </w:r>
                </w:p>
              </w:tc>
            </w:tr>
            <w:tr w:rsidTr="0001034B">
              <w:tblPrEx>
                <w:tblW w:w="0" w:type="auto"/>
                <w:tblLayout w:type="fixed"/>
                <w:tblCellMar>
                  <w:left w:w="62" w:type="dxa"/>
                  <w:right w:w="62" w:type="dxa"/>
                </w:tblCellMar>
                <w:tblLook w:val="0000"/>
              </w:tblPrEx>
              <w:tc>
                <w:tcPr>
                  <w:tcW w:w="124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E</w:t>
                  </w:r>
                </w:p>
              </w:tc>
              <w:tc>
                <w:tcPr>
                  <w:tcW w:w="213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 xml:space="preserve">Confirm how safe and controlled operation of machinery and equipment has been demonstrated. </w:t>
                  </w:r>
                </w:p>
              </w:tc>
              <w:tc>
                <w:tcPr>
                  <w:tcW w:w="234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DB09B9" w:rsidP="00DB09B9">
                  <w:pPr>
                    <w:pStyle w:val="BodyText"/>
                  </w:pPr>
                  <w:r w:rsidRPr="00DB09B9">
                    <w:t xml:space="preserve">This should include: </w:t>
                  </w:r>
                </w:p>
                <w:p w:rsidR="00000000" w:rsidRPr="00DB09B9" w:rsidP="00DB09B9">
                  <w:pPr>
                    <w:pStyle w:val="BodyText"/>
                  </w:pPr>
                  <w:r w:rsidRPr="00DB09B9">
                    <w:t xml:space="preserve">Appropriate selection and use of specialised plant and equipment. </w:t>
                  </w:r>
                </w:p>
                <w:p w:rsidR="00000000" w:rsidRPr="00DB09B9" w:rsidP="00DB09B9">
                  <w:pPr>
                    <w:pStyle w:val="BodyText"/>
                  </w:pPr>
                  <w:r w:rsidRPr="00DB09B9">
                    <w:t>Using operational techniques for the specific terrain (on and off-road env</w:t>
                  </w:r>
                  <w:r w:rsidRPr="00DB09B9">
                    <w:t xml:space="preserve">ironments) and weather conditions. </w:t>
                  </w:r>
                </w:p>
                <w:p w:rsidR="00000000" w:rsidP="00DB09B9">
                  <w:pPr>
                    <w:pStyle w:val="BodyText"/>
                    <w:rPr>
                      <w:lang w:val="en-NZ"/>
                    </w:rPr>
                  </w:pPr>
                  <w:r w:rsidRPr="00DB09B9">
                    <w:t xml:space="preserve">Maintaining working loads within specifications including ensuring hitch-points are operated at the correct height. </w:t>
                  </w:r>
                </w:p>
              </w:tc>
            </w:tr>
            <w:tr w:rsidTr="0001034B">
              <w:tblPrEx>
                <w:tblW w:w="0" w:type="auto"/>
                <w:tblLayout w:type="fixed"/>
                <w:tblCellMar>
                  <w:left w:w="62" w:type="dxa"/>
                  <w:right w:w="62" w:type="dxa"/>
                </w:tblCellMar>
                <w:tblLook w:val="0000"/>
              </w:tblPrEx>
              <w:tc>
                <w:tcPr>
                  <w:tcW w:w="124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DB09B9" w:rsidP="00DB09B9">
                  <w:pPr>
                    <w:pStyle w:val="BodyText"/>
                  </w:pPr>
                </w:p>
                <w:p w:rsidR="00000000" w:rsidP="00DB09B9">
                  <w:pPr>
                    <w:pStyle w:val="BodyText"/>
                    <w:rPr>
                      <w:lang w:val="en-NZ"/>
                    </w:rPr>
                  </w:pPr>
                  <w:r w:rsidRPr="00DB09B9">
                    <w:t>F</w:t>
                  </w:r>
                </w:p>
              </w:tc>
              <w:tc>
                <w:tcPr>
                  <w:tcW w:w="213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 xml:space="preserve">Determine what personal protective clothing and equipment is relevant to this standard. </w:t>
                  </w:r>
                </w:p>
              </w:tc>
              <w:tc>
                <w:tcPr>
                  <w:tcW w:w="234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DB09B9" w:rsidP="00DB09B9">
                  <w:pPr>
                    <w:pStyle w:val="BodyText"/>
                  </w:pPr>
                  <w:r w:rsidRPr="00DB09B9">
                    <w:t>Boots,</w:t>
                  </w:r>
                </w:p>
                <w:p w:rsidR="00000000" w:rsidRPr="00DB09B9" w:rsidP="00DB09B9">
                  <w:pPr>
                    <w:pStyle w:val="BodyText"/>
                  </w:pPr>
                  <w:r w:rsidRPr="00DB09B9">
                    <w:t>hat</w:t>
                  </w:r>
                  <w:r w:rsidRPr="00DB09B9">
                    <w:t>/hard hat,</w:t>
                  </w:r>
                </w:p>
                <w:p w:rsidR="00000000" w:rsidRPr="00DB09B9" w:rsidP="00DB09B9">
                  <w:pPr>
                    <w:pStyle w:val="BodyText"/>
                  </w:pPr>
                  <w:r w:rsidRPr="00DB09B9">
                    <w:t>overalls,</w:t>
                  </w:r>
                </w:p>
                <w:p w:rsidR="00000000" w:rsidRPr="00DB09B9" w:rsidP="00DB09B9">
                  <w:pPr>
                    <w:pStyle w:val="BodyText"/>
                  </w:pPr>
                  <w:r w:rsidRPr="00DB09B9">
                    <w:t>gloves,</w:t>
                  </w:r>
                </w:p>
                <w:p w:rsidR="00000000" w:rsidRPr="00DB09B9" w:rsidP="00DB09B9">
                  <w:pPr>
                    <w:pStyle w:val="BodyText"/>
                  </w:pPr>
                  <w:r w:rsidRPr="00DB09B9">
                    <w:t>protective eyewear,</w:t>
                  </w:r>
                </w:p>
                <w:p w:rsidR="00000000" w:rsidRPr="00DB09B9" w:rsidP="00DB09B9">
                  <w:pPr>
                    <w:pStyle w:val="BodyText"/>
                  </w:pPr>
                  <w:r w:rsidRPr="00DB09B9">
                    <w:t>hearing protection,</w:t>
                  </w:r>
                </w:p>
                <w:p w:rsidR="00000000" w:rsidP="00DB09B9">
                  <w:pPr>
                    <w:pStyle w:val="BodyText"/>
                    <w:rPr>
                      <w:lang w:val="en-NZ"/>
                    </w:rPr>
                  </w:pPr>
                  <w:r w:rsidRPr="00DB09B9">
                    <w:t xml:space="preserve">respirator or facemask, and sun protection (sun hat, sunscreen). </w:t>
                  </w:r>
                </w:p>
              </w:tc>
            </w:tr>
            <w:tr w:rsidTr="0001034B">
              <w:tblPrEx>
                <w:tblW w:w="0" w:type="auto"/>
                <w:tblLayout w:type="fixed"/>
                <w:tblCellMar>
                  <w:left w:w="62" w:type="dxa"/>
                  <w:right w:w="62" w:type="dxa"/>
                </w:tblCellMar>
                <w:tblLook w:val="0000"/>
              </w:tblPrEx>
              <w:tc>
                <w:tcPr>
                  <w:tcW w:w="124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G</w:t>
                  </w:r>
                </w:p>
              </w:tc>
              <w:tc>
                <w:tcPr>
                  <w:tcW w:w="213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 xml:space="preserve">Confirm what environmental implications associated with the operation of machinery and equipment. </w:t>
                  </w:r>
                </w:p>
              </w:tc>
              <w:tc>
                <w:tcPr>
                  <w:tcW w:w="234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DB09B9" w:rsidP="00DB09B9">
                  <w:pPr>
                    <w:pStyle w:val="BodyText"/>
                  </w:pPr>
                  <w:r w:rsidRPr="00DB09B9">
                    <w:t>Such as: the use and disposal of maintenance debris and hazardous substances,</w:t>
                  </w:r>
                </w:p>
                <w:p w:rsidR="00000000" w:rsidRPr="00DB09B9" w:rsidP="00DB09B9">
                  <w:pPr>
                    <w:pStyle w:val="BodyText"/>
                  </w:pPr>
                  <w:r w:rsidRPr="00DB09B9">
                    <w:t>run-off flows of water and cleaning agents from servicing maintenance and cleaning activities</w:t>
                  </w:r>
                </w:p>
                <w:p w:rsidR="00000000" w:rsidP="00DB09B9">
                  <w:pPr>
                    <w:pStyle w:val="BodyText"/>
                    <w:rPr>
                      <w:lang w:val="en-NZ"/>
                    </w:rPr>
                  </w:pPr>
                  <w:r w:rsidRPr="00DB09B9">
                    <w:t>Soil disturbance and dust problems</w:t>
                  </w:r>
                </w:p>
              </w:tc>
            </w:tr>
            <w:tr w:rsidTr="0001034B">
              <w:tblPrEx>
                <w:tblW w:w="0" w:type="auto"/>
                <w:tblLayout w:type="fixed"/>
                <w:tblCellMar>
                  <w:left w:w="62" w:type="dxa"/>
                  <w:right w:w="62" w:type="dxa"/>
                </w:tblCellMar>
                <w:tblLook w:val="0000"/>
              </w:tblPrEx>
              <w:tc>
                <w:tcPr>
                  <w:tcW w:w="124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H</w:t>
                  </w:r>
                </w:p>
              </w:tc>
              <w:tc>
                <w:tcPr>
                  <w:tcW w:w="213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Confirm what procedures are included in the sh</w:t>
                  </w:r>
                  <w:r w:rsidRPr="00DB09B9">
                    <w:t xml:space="preserve">ut-down of machinery and equipment. </w:t>
                  </w:r>
                </w:p>
              </w:tc>
              <w:tc>
                <w:tcPr>
                  <w:tcW w:w="234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 xml:space="preserve">As per manufacturers safe operating procedures </w:t>
                  </w:r>
                </w:p>
              </w:tc>
            </w:tr>
            <w:tr w:rsidTr="0001034B">
              <w:tblPrEx>
                <w:tblW w:w="0" w:type="auto"/>
                <w:tblLayout w:type="fixed"/>
                <w:tblCellMar>
                  <w:left w:w="62" w:type="dxa"/>
                  <w:right w:w="62" w:type="dxa"/>
                </w:tblCellMar>
                <w:tblLook w:val="0000"/>
              </w:tblPrEx>
              <w:tc>
                <w:tcPr>
                  <w:tcW w:w="124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I</w:t>
                  </w:r>
                </w:p>
              </w:tc>
              <w:tc>
                <w:tcPr>
                  <w:tcW w:w="213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DB09B9">
                  <w:pPr>
                    <w:pStyle w:val="BodyText"/>
                    <w:rPr>
                      <w:lang w:val="en-NZ"/>
                    </w:rPr>
                  </w:pPr>
                  <w:r w:rsidRPr="00DB09B9">
                    <w:t>At least one occasion</w:t>
                  </w:r>
                </w:p>
              </w:tc>
              <w:tc>
                <w:tcPr>
                  <w:tcW w:w="234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DB09B9" w:rsidP="00DB09B9">
                  <w:pPr>
                    <w:pStyle w:val="BodyText"/>
                  </w:pPr>
                  <w:r w:rsidRPr="00DB09B9">
                    <w:t>Dealing with an unplanned event by drawing on essential knowledge and associated skills to provide appropriate solutions incorporated in the holis</w:t>
                  </w:r>
                  <w:r w:rsidRPr="00DB09B9">
                    <w:t>tic assessment with the above listed items.</w:t>
                  </w:r>
                </w:p>
              </w:tc>
            </w:tr>
          </w:tbl>
          <w:p w:rsidR="00000000" w:rsidRPr="00DB09B9" w:rsidP="00DB09B9">
            <w:pPr>
              <w:pStyle w:val="BodyText"/>
            </w:pPr>
          </w:p>
        </w:tc>
      </w:tr>
    </w:tbl>
    <w:p w:rsidR="00000000" w:rsidRPr="00DB09B9" w:rsidP="00DB09B9">
      <w:pPr>
        <w:pStyle w:val="BodyText"/>
      </w:pPr>
    </w:p>
    <w:tbl>
      <w:tblPr>
        <w:tblW w:w="0" w:type="auto"/>
        <w:tblLayout w:type="fixed"/>
        <w:tblCellMar>
          <w:left w:w="62" w:type="dxa"/>
          <w:right w:w="62" w:type="dxa"/>
        </w:tblCellMar>
        <w:tblLook w:val="0000"/>
      </w:tblPr>
      <w:tblGrid>
        <w:gridCol w:w="1890"/>
        <w:gridCol w:w="6570"/>
      </w:tblGrid>
      <w:tr w:rsidTr="0001034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9.3)</w:t>
            </w:r>
          </w:p>
        </w:tc>
      </w:tr>
      <w:tr w:rsidTr="0001034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This unit should be assessed as it relates to normal work practice using procedures, information and resources typical of a workplace. This should i</w:t>
            </w:r>
            <w:r w:rsidRPr="00DB09B9">
              <w:t>nclude:</w:t>
            </w:r>
          </w:p>
          <w:p w:rsidR="00000000" w:rsidRPr="00DB09B9" w:rsidP="00DB09B9">
            <w:pPr>
              <w:pStyle w:val="ListBullet"/>
            </w:pPr>
            <w:r w:rsidRPr="00DB09B9">
              <w:t>OHS policy and work procedures and instructions.</w:t>
            </w:r>
          </w:p>
          <w:p w:rsidR="00000000" w:rsidRPr="00DB09B9" w:rsidP="00DB09B9">
            <w:pPr>
              <w:pStyle w:val="ListBullet"/>
            </w:pPr>
            <w:r w:rsidRPr="00DB09B9">
              <w:t>Suitable work environment, facilities, equipment and materials to safely undertake actual operation and routine maintenance of specialised plant and equipment near live electrical apparatus.</w:t>
            </w:r>
          </w:p>
          <w:p w:rsidR="00000000" w:rsidRPr="00DB09B9" w:rsidP="00DB09B9">
            <w:pPr>
              <w:pStyle w:val="BodyText"/>
            </w:pPr>
            <w:r w:rsidRPr="00DB09B9">
              <w:t>In addit</w:t>
            </w:r>
            <w:r w:rsidRPr="00DB09B9">
              <w:t>ion to the resources listed above, in Context of and specific resources for assessment, evidence should show demonstrated competency working below ground, in limited spaces, with different structural/construction types and method and in a variety of enviro</w:t>
            </w:r>
            <w:r w:rsidRPr="00DB09B9">
              <w:t>nments.</w:t>
            </w:r>
          </w:p>
        </w:tc>
      </w:tr>
    </w:tbl>
    <w:p w:rsidR="00000000" w:rsidRPr="00DB09B9" w:rsidP="00DB09B9">
      <w:pPr>
        <w:pStyle w:val="BodyText"/>
      </w:pPr>
    </w:p>
    <w:tbl>
      <w:tblPr>
        <w:tblW w:w="0" w:type="auto"/>
        <w:tblLayout w:type="fixed"/>
        <w:tblCellMar>
          <w:left w:w="62" w:type="dxa"/>
          <w:right w:w="62" w:type="dxa"/>
        </w:tblCellMar>
        <w:tblLook w:val="0000"/>
      </w:tblPr>
      <w:tblGrid>
        <w:gridCol w:w="1890"/>
        <w:gridCol w:w="6570"/>
      </w:tblGrid>
      <w:tr w:rsidTr="000103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9.4)</w:t>
            </w:r>
          </w:p>
        </w:tc>
      </w:tr>
      <w:tr w:rsidTr="000103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This Competency Standard Unit shall be assessed by methods given in Volume 1, Part 3 “Assessment Guidelines”.</w:t>
            </w:r>
          </w:p>
          <w:p w:rsidR="00000000" w:rsidRPr="00DB09B9" w:rsidP="00DB09B9">
            <w:pPr>
              <w:pStyle w:val="BodyText"/>
            </w:pPr>
            <w:r w:rsidRPr="00DB09B9">
              <w:t>Note:</w:t>
            </w:r>
          </w:p>
          <w:p w:rsidR="00000000" w:rsidRPr="00DB09B9" w:rsidP="00DB09B9">
            <w:pPr>
              <w:pStyle w:val="BodyText"/>
            </w:pPr>
            <w:r w:rsidRPr="00DB09B9">
              <w:t>Competent performance with inherent safe working practices is expected in the Transmission, Distribution and Rail Traction Industry. This requires that the specified essential knowledge and associated skills are assessed in a structured environment which i</w:t>
            </w:r>
            <w:r w:rsidRPr="00DB09B9">
              <w:t>s primarily intended for learning/assessment and incorporates all necessary equipment and facilities for learners to develop and demonstrate the essential knowledge and associated skills described in this unit.</w:t>
            </w:r>
          </w:p>
        </w:tc>
      </w:tr>
    </w:tbl>
    <w:p w:rsidR="00000000" w:rsidRPr="00DB09B9" w:rsidP="00DB09B9">
      <w:pPr>
        <w:pStyle w:val="BodyText"/>
      </w:pPr>
    </w:p>
    <w:tbl>
      <w:tblPr>
        <w:tblW w:w="0" w:type="auto"/>
        <w:tblLayout w:type="fixed"/>
        <w:tblCellMar>
          <w:left w:w="62" w:type="dxa"/>
          <w:right w:w="62" w:type="dxa"/>
        </w:tblCellMar>
        <w:tblLook w:val="0000"/>
      </w:tblPr>
      <w:tblGrid>
        <w:gridCol w:w="1890"/>
        <w:gridCol w:w="6570"/>
      </w:tblGrid>
      <w:tr w:rsidTr="000103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Concurrent assessment and relationship with</w:t>
            </w:r>
            <w:r w:rsidRPr="00DB09B9">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9.5)</w:t>
            </w:r>
          </w:p>
        </w:tc>
      </w:tr>
      <w:tr w:rsidTr="000103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 xml:space="preserve">For optimisation of training and assessment effort, competence in this unit may be assessed concurrently with the following units: </w:t>
            </w:r>
          </w:p>
          <w:p w:rsidR="00000000" w:rsidRPr="00DB09B9" w:rsidP="00DB09B9">
            <w:pPr>
              <w:pStyle w:val="BodyText"/>
            </w:pPr>
            <w:r w:rsidRPr="00DB09B9">
              <w:t>RTC2307A</w:t>
            </w:r>
            <w:r w:rsidRPr="00DB09B9">
              <w:tab/>
              <w:t>Operate machinery and equipment</w:t>
            </w:r>
          </w:p>
        </w:tc>
      </w:tr>
    </w:tbl>
    <w:p w:rsidR="00000000" w:rsidRPr="00DB09B9" w:rsidP="00DB09B9">
      <w:pPr>
        <w:pStyle w:val="BodyText"/>
      </w:pPr>
    </w:p>
    <w:p w:rsidR="00000000" w:rsidRPr="00DB09B9" w:rsidP="00DB09B9">
      <w:pPr>
        <w:pStyle w:val="AllowPageBreak"/>
      </w:pPr>
    </w:p>
    <w:p w:rsidR="00000000" w:rsidRPr="00DB09B9" w:rsidP="00DB09B9">
      <w:pPr>
        <w:pStyle w:val="Heading1"/>
      </w:pPr>
      <w:bookmarkStart w:id="11" w:name="O_458100"/>
      <w:bookmarkEnd w:id="11"/>
      <w:r w:rsidRPr="00DB09B9">
        <w:t>Range Statement</w:t>
      </w:r>
    </w:p>
    <w:tbl>
      <w:tblPr>
        <w:tblW w:w="0" w:type="auto"/>
        <w:tblLayout w:type="fixed"/>
        <w:tblCellMar>
          <w:left w:w="62" w:type="dxa"/>
          <w:right w:w="62" w:type="dxa"/>
        </w:tblCellMar>
        <w:tblLook w:val="0000"/>
      </w:tblPr>
      <w:tblGrid>
        <w:gridCol w:w="8460"/>
      </w:tblGrid>
      <w:tr w:rsidTr="0001034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RANGE STATEMENT</w:t>
            </w:r>
          </w:p>
        </w:tc>
      </w:tr>
      <w:tr w:rsidTr="0001034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10)</w:t>
            </w:r>
            <w:r w:rsidRPr="00DB09B9">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DB09B9" w:rsidP="00DB09B9">
            <w:pPr>
              <w:pStyle w:val="BodyText"/>
            </w:pPr>
            <w:r w:rsidRPr="00DB09B9">
              <w:t xml:space="preserve">This Competency Standard Unit </w:t>
            </w:r>
            <w:r w:rsidRPr="00DB09B9">
              <w:t>is to be demonstrated in relation to the operation and routine maintenance of specialised plant that encompasses driving/flying and associated licenses, such as Mechanical Tree Trimmer, boom-operated mowers, and the like used near live electrical apparatus</w:t>
            </w:r>
            <w:r w:rsidRPr="00DB09B9">
              <w:t xml:space="preserve">. </w:t>
            </w:r>
          </w:p>
          <w:p w:rsidR="00000000" w:rsidRPr="00DB09B9" w:rsidP="00DB09B9">
            <w:pPr>
              <w:pStyle w:val="BodyText"/>
            </w:pPr>
            <w:r w:rsidRPr="00DB09B9">
              <w:t xml:space="preserve">Excludes specialised plant and equipment  such as wood-chippers, chainsaws, brush cutters, slashers/tritters, power pruners, chemical control applicators and other related associated and powered vegetation control machinery and equipment used at ground </w:t>
            </w:r>
            <w:r w:rsidRPr="00DB09B9">
              <w:t>level near live electrical apparatus.</w:t>
            </w:r>
          </w:p>
          <w:p w:rsidR="00000000" w:rsidRPr="00DB09B9" w:rsidP="00DB09B9">
            <w:pPr>
              <w:pStyle w:val="BodyText"/>
            </w:pPr>
            <w:r w:rsidRPr="00DB09B9">
              <w:t>Preparation of risk assessment control measures that encompass job safety assessment and includes traffic control measures and compliance with relevant State or Territory regulatory agencies/bodies, local government le</w:t>
            </w:r>
            <w:r w:rsidRPr="00DB09B9">
              <w:t>gislation, Industry bi-partite body – Guidelines/Codes of Practices or other related requirements for Safe use of equipment near live Electrical and Mechanical Apparatus.</w:t>
            </w:r>
          </w:p>
          <w:p w:rsidR="00000000" w:rsidRPr="00DB09B9" w:rsidP="00DB09B9">
            <w:pPr>
              <w:pStyle w:val="BodyText"/>
            </w:pPr>
            <w:r w:rsidRPr="00DB09B9">
              <w:t>Prevailing Licensing Requirements</w:t>
            </w:r>
          </w:p>
          <w:p w:rsidR="00000000" w:rsidRPr="00DB09B9" w:rsidP="00DB09B9">
            <w:pPr>
              <w:pStyle w:val="BodyText"/>
            </w:pPr>
            <w:r w:rsidRPr="00DB09B9">
              <w:t>Excludes any work that is or may be performed by ot</w:t>
            </w:r>
            <w:r w:rsidRPr="00DB09B9">
              <w:t>her competent operatives within the defined “ordinary person zone”</w:t>
            </w:r>
          </w:p>
          <w:p w:rsidR="00000000" w:rsidRPr="00DB09B9" w:rsidP="00DB09B9">
            <w:pPr>
              <w:pStyle w:val="BodyText"/>
            </w:pPr>
            <w:r w:rsidRPr="00DB09B9">
              <w:t>Working near energised live electricity supply infrastructure assets</w:t>
            </w:r>
          </w:p>
          <w:p w:rsidR="00000000" w:rsidRPr="00DB09B9" w:rsidP="00DB09B9">
            <w:pPr>
              <w:pStyle w:val="BodyText"/>
            </w:pPr>
            <w:r w:rsidRPr="00DB09B9">
              <w:t>Includes periodical and pre-operational checks of the  specialised plant for safe operation and conduct of maintenance c</w:t>
            </w:r>
            <w:r w:rsidRPr="00DB09B9">
              <w:t>hecks and, associated documentation</w:t>
            </w:r>
          </w:p>
          <w:p w:rsidR="00000000" w:rsidRPr="00DB09B9" w:rsidP="00DB09B9">
            <w:pPr>
              <w:pStyle w:val="BodyText"/>
            </w:pPr>
            <w:r w:rsidRPr="00DB09B9">
              <w:t>Safe approach distances zones/Safe Working Clearance</w:t>
            </w:r>
          </w:p>
          <w:p w:rsidR="00000000" w:rsidRPr="00DB09B9" w:rsidP="00DB09B9">
            <w:pPr>
              <w:pStyle w:val="BodyText"/>
            </w:pPr>
            <w:r w:rsidRPr="00DB09B9">
              <w:t>Work permit(s) and/or access authorisation permits</w:t>
            </w:r>
          </w:p>
          <w:p w:rsidR="00000000" w:rsidRPr="00DB09B9" w:rsidP="00DB09B9">
            <w:pPr>
              <w:pStyle w:val="BodyText"/>
            </w:pPr>
            <w:r w:rsidRPr="00DB09B9">
              <w:t>Technical standards and Industry Guidelines</w:t>
            </w:r>
          </w:p>
          <w:p w:rsidR="00000000" w:rsidRPr="00DB09B9" w:rsidP="00DB09B9">
            <w:pPr>
              <w:pStyle w:val="BodyText"/>
            </w:pPr>
            <w:r w:rsidRPr="00DB09B9">
              <w:t>It may also inc</w:t>
            </w:r>
            <w:r w:rsidRPr="00DB09B9">
              <w:t>lude other areas such as: Feeder route plans, infrastructure constructions and excavations, rural applications, road construction, pavements and inclement weather</w:t>
            </w:r>
          </w:p>
          <w:p w:rsidR="00000000" w:rsidRPr="00DB09B9" w:rsidP="00DB09B9">
            <w:pPr>
              <w:pStyle w:val="BodyText"/>
            </w:pPr>
            <w:r w:rsidRPr="00DB09B9">
              <w:t>Ground configuration – undulations, uneven ground, soft ground, damp, etc</w:t>
            </w:r>
          </w:p>
          <w:p w:rsidR="00000000" w:rsidRPr="00DB09B9" w:rsidP="00DB09B9">
            <w:pPr>
              <w:pStyle w:val="BodyText"/>
            </w:pPr>
            <w:r w:rsidRPr="00DB09B9">
              <w:t>Plant, equipment an</w:t>
            </w:r>
            <w:r w:rsidRPr="00DB09B9">
              <w:t>d tools for use in electrical environments</w:t>
            </w:r>
          </w:p>
          <w:p w:rsidR="00000000" w:rsidRPr="00DB09B9" w:rsidP="00DB09B9">
            <w:pPr>
              <w:pStyle w:val="BodyText"/>
            </w:pPr>
            <w:r w:rsidRPr="00DB09B9">
              <w:t>The following constants and variables included in the Element/Performance Criteria in this unit are fully described in the Definitions Section 1 of this volume and form an integral part of the Range Statement of t</w:t>
            </w:r>
            <w:r w:rsidRPr="00DB09B9">
              <w:t>his unit:</w:t>
            </w:r>
          </w:p>
          <w:p w:rsidR="00000000" w:rsidRPr="00DB09B9" w:rsidP="00DB09B9">
            <w:pPr>
              <w:pStyle w:val="ListBullet3"/>
            </w:pPr>
            <w:r w:rsidRPr="00DB09B9">
              <w:t>Appropriate and relevant persons (see Personnel)</w:t>
            </w:r>
          </w:p>
          <w:p w:rsidR="00000000" w:rsidRPr="00DB09B9" w:rsidP="00DB09B9">
            <w:pPr>
              <w:pStyle w:val="ListBullet3"/>
            </w:pPr>
            <w:r w:rsidRPr="00DB09B9">
              <w:t>Appropriate authorities</w:t>
            </w:r>
          </w:p>
          <w:p w:rsidR="00000000" w:rsidRPr="00DB09B9" w:rsidP="00DB09B9">
            <w:pPr>
              <w:pStyle w:val="ListBullet3"/>
            </w:pPr>
            <w:r w:rsidRPr="00DB09B9">
              <w:t>Appropriate work platform</w:t>
            </w:r>
          </w:p>
          <w:p w:rsidR="00000000" w:rsidRPr="00DB09B9" w:rsidP="00DB09B9">
            <w:pPr>
              <w:pStyle w:val="ListBullet3"/>
            </w:pPr>
            <w:r w:rsidRPr="00DB09B9">
              <w:t>Assessing risk</w:t>
            </w:r>
          </w:p>
          <w:p w:rsidR="00000000" w:rsidRPr="00DB09B9" w:rsidP="00DB09B9">
            <w:pPr>
              <w:pStyle w:val="ListBullet3"/>
            </w:pPr>
            <w:r w:rsidRPr="00DB09B9">
              <w:t>Assessment</w:t>
            </w:r>
          </w:p>
          <w:p w:rsidR="00000000" w:rsidRPr="00DB09B9" w:rsidP="00DB09B9">
            <w:pPr>
              <w:pStyle w:val="ListBullet3"/>
            </w:pPr>
            <w:r w:rsidRPr="00DB09B9">
              <w:t>Authorisation</w:t>
            </w:r>
          </w:p>
          <w:p w:rsidR="00000000" w:rsidRPr="00DB09B9" w:rsidP="00DB09B9">
            <w:pPr>
              <w:pStyle w:val="ListBullet3"/>
            </w:pPr>
            <w:r w:rsidRPr="00DB09B9">
              <w:t>Documenting detail work events, record keeping and or storage of information</w:t>
            </w:r>
          </w:p>
          <w:p w:rsidR="00000000" w:rsidRPr="00DB09B9" w:rsidP="00DB09B9">
            <w:pPr>
              <w:pStyle w:val="ListBullet3"/>
            </w:pPr>
            <w:r w:rsidRPr="00DB09B9">
              <w:t>Drawings and specifications</w:t>
            </w:r>
          </w:p>
          <w:p w:rsidR="00000000" w:rsidRPr="00DB09B9" w:rsidP="00DB09B9">
            <w:pPr>
              <w:pStyle w:val="ListBullet3"/>
            </w:pPr>
            <w:r w:rsidRPr="00DB09B9">
              <w:t>E</w:t>
            </w:r>
            <w:r w:rsidRPr="00DB09B9">
              <w:t>mergency</w:t>
            </w:r>
          </w:p>
          <w:p w:rsidR="00000000" w:rsidRPr="00DB09B9" w:rsidP="00DB09B9">
            <w:pPr>
              <w:pStyle w:val="ListBullet3"/>
            </w:pPr>
            <w:r w:rsidRPr="00DB09B9">
              <w:t>Environmental and sustainable energy procedures</w:t>
            </w:r>
          </w:p>
          <w:p w:rsidR="00000000" w:rsidRPr="00DB09B9" w:rsidP="00DB09B9">
            <w:pPr>
              <w:pStyle w:val="ListBullet3"/>
            </w:pPr>
            <w:r w:rsidRPr="00DB09B9">
              <w:t>Environmental legislation</w:t>
            </w:r>
          </w:p>
          <w:p w:rsidR="00000000" w:rsidRPr="00DB09B9" w:rsidP="00DB09B9">
            <w:pPr>
              <w:pStyle w:val="ListBullet3"/>
            </w:pPr>
            <w:r w:rsidRPr="00DB09B9">
              <w:t>Established procedures</w:t>
            </w:r>
          </w:p>
          <w:p w:rsidR="00000000" w:rsidRPr="00DB09B9" w:rsidP="00DB09B9">
            <w:pPr>
              <w:pStyle w:val="ListBullet3"/>
            </w:pPr>
            <w:r w:rsidRPr="00DB09B9">
              <w:t>Fall prevention</w:t>
            </w:r>
          </w:p>
          <w:p w:rsidR="00000000" w:rsidRPr="00DB09B9" w:rsidP="00DB09B9">
            <w:pPr>
              <w:pStyle w:val="ListBullet3"/>
            </w:pPr>
            <w:r w:rsidRPr="00DB09B9">
              <w:t>Hazards</w:t>
            </w:r>
          </w:p>
          <w:p w:rsidR="00000000" w:rsidRPr="00DB09B9" w:rsidP="00DB09B9">
            <w:pPr>
              <w:pStyle w:val="ListBullet3"/>
            </w:pPr>
            <w:r w:rsidRPr="00DB09B9">
              <w:t>Identifying hazards</w:t>
            </w:r>
          </w:p>
          <w:p w:rsidR="00000000" w:rsidRPr="00DB09B9" w:rsidP="00DB09B9">
            <w:pPr>
              <w:pStyle w:val="ListBullet3"/>
            </w:pPr>
            <w:r w:rsidRPr="00DB09B9">
              <w:t>Inspect</w:t>
            </w:r>
          </w:p>
          <w:p w:rsidR="00000000" w:rsidRPr="00DB09B9" w:rsidP="00DB09B9">
            <w:pPr>
              <w:pStyle w:val="ListBullet3"/>
            </w:pPr>
            <w:r w:rsidRPr="00DB09B9">
              <w:t>Legislation</w:t>
            </w:r>
          </w:p>
          <w:p w:rsidR="00000000" w:rsidRPr="00DB09B9" w:rsidP="00DB09B9">
            <w:pPr>
              <w:pStyle w:val="ListBullet3"/>
            </w:pPr>
            <w:r w:rsidRPr="00DB09B9">
              <w:t>MSDS</w:t>
            </w:r>
          </w:p>
          <w:p w:rsidR="00000000" w:rsidRPr="00DB09B9" w:rsidP="00DB09B9">
            <w:pPr>
              <w:pStyle w:val="ListBullet3"/>
            </w:pPr>
            <w:r w:rsidRPr="00DB09B9">
              <w:t>Notification</w:t>
            </w:r>
          </w:p>
          <w:p w:rsidR="00000000" w:rsidRPr="00DB09B9" w:rsidP="00DB09B9">
            <w:pPr>
              <w:pStyle w:val="ListBullet3"/>
            </w:pPr>
            <w:r w:rsidRPr="00DB09B9">
              <w:t>OHS practices</w:t>
            </w:r>
          </w:p>
          <w:p w:rsidR="00000000" w:rsidRPr="00DB09B9" w:rsidP="00DB09B9">
            <w:pPr>
              <w:pStyle w:val="ListBullet3"/>
            </w:pPr>
            <w:r w:rsidRPr="00DB09B9">
              <w:t>OHS issues</w:t>
            </w:r>
          </w:p>
          <w:p w:rsidR="00000000" w:rsidRPr="00DB09B9" w:rsidP="00DB09B9">
            <w:pPr>
              <w:pStyle w:val="ListBullet3"/>
            </w:pPr>
            <w:r w:rsidRPr="00DB09B9">
              <w:t>Permits and/or permits to work</w:t>
            </w:r>
          </w:p>
          <w:p w:rsidR="00000000" w:rsidRPr="00DB09B9" w:rsidP="00DB09B9">
            <w:pPr>
              <w:pStyle w:val="ListBullet3"/>
            </w:pPr>
            <w:r w:rsidRPr="00DB09B9">
              <w:t>Personnel</w:t>
            </w:r>
          </w:p>
          <w:p w:rsidR="00000000" w:rsidRPr="00DB09B9" w:rsidP="00DB09B9">
            <w:pPr>
              <w:pStyle w:val="ListBullet3"/>
            </w:pPr>
            <w:r w:rsidRPr="00DB09B9">
              <w:t>Quality assurance systems</w:t>
            </w:r>
          </w:p>
          <w:p w:rsidR="00000000" w:rsidRPr="00DB09B9" w:rsidP="00DB09B9">
            <w:pPr>
              <w:pStyle w:val="ListBullet3"/>
            </w:pPr>
            <w:r w:rsidRPr="00DB09B9">
              <w:t>Requirements</w:t>
            </w:r>
          </w:p>
          <w:p w:rsidR="00000000" w:rsidRPr="00DB09B9" w:rsidP="00DB09B9">
            <w:pPr>
              <w:pStyle w:val="ListBullet3"/>
            </w:pPr>
            <w:r w:rsidRPr="00DB09B9">
              <w:t>Work clearance systems</w:t>
            </w:r>
          </w:p>
        </w:tc>
      </w:tr>
    </w:tbl>
    <w:p w:rsidR="00000000" w:rsidRPr="00DB09B9" w:rsidP="00DB09B9">
      <w:pPr>
        <w:pStyle w:val="BodyText"/>
      </w:pPr>
    </w:p>
    <w:p w:rsidR="00000000" w:rsidRPr="00DB09B9" w:rsidP="00DB09B9">
      <w:pPr>
        <w:pStyle w:val="AllowPageBreak"/>
      </w:pPr>
    </w:p>
    <w:p w:rsidR="00000000" w:rsidRPr="00DB09B9" w:rsidP="00DB09B9">
      <w:pPr>
        <w:pStyle w:val="Heading1"/>
      </w:pPr>
      <w:bookmarkStart w:id="12" w:name="O_458103"/>
      <w:bookmarkEnd w:id="12"/>
      <w:r w:rsidRPr="00DB09B9">
        <w:t>Unit Sector(s)</w:t>
      </w:r>
    </w:p>
    <w:p w:rsidR="00000000" w:rsidRPr="00DB09B9" w:rsidP="00DB09B9">
      <w:pPr>
        <w:pStyle w:val="BodyText"/>
      </w:pPr>
      <w:r w:rsidRPr="00DB09B9">
        <w:t>Not applicable.</w:t>
      </w:r>
    </w:p>
    <w:p w:rsidR="00000000" w:rsidRPr="00DB09B9" w:rsidP="00DB09B9">
      <w:pPr>
        <w:pStyle w:val="AllowPageBreak"/>
      </w:pPr>
    </w:p>
    <w:p w:rsidR="00000000" w:rsidRPr="00DB09B9" w:rsidP="00DB09B9">
      <w:pPr>
        <w:pStyle w:val="Heading1"/>
      </w:pPr>
      <w:bookmarkStart w:id="13" w:name="O_458077"/>
      <w:bookmarkEnd w:id="13"/>
      <w:r w:rsidRPr="00DB09B9">
        <w:t>Competency Field</w:t>
      </w:r>
    </w:p>
    <w:tbl>
      <w:tblPr>
        <w:tblW w:w="0" w:type="auto"/>
        <w:tblLayout w:type="fixed"/>
        <w:tblCellMar>
          <w:left w:w="62" w:type="dxa"/>
          <w:right w:w="62" w:type="dxa"/>
        </w:tblCellMar>
        <w:tblLook w:val="0000"/>
      </w:tblPr>
      <w:tblGrid>
        <w:gridCol w:w="2700"/>
        <w:gridCol w:w="5760"/>
      </w:tblGrid>
      <w:tr w:rsidTr="000103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B09B9">
            <w:pPr>
              <w:pStyle w:val="BodyText"/>
              <w:rPr>
                <w:lang w:val="en-NZ"/>
              </w:rPr>
            </w:pPr>
            <w:r w:rsidRPr="00DB09B9">
              <w:rPr>
                <w:rStyle w:val="SpecialBold"/>
              </w:rPr>
              <w:t xml:space="preserve">11) </w:t>
            </w:r>
          </w:p>
        </w:tc>
      </w:tr>
      <w:tr w:rsidTr="000103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09B9" w:rsidP="00DB09B9">
            <w:pPr>
              <w:pStyle w:val="BodyText"/>
            </w:pPr>
            <w:r w:rsidRPr="00DB09B9">
              <w:t>Vegetation Units</w:t>
            </w:r>
          </w:p>
        </w:tc>
      </w:tr>
    </w:tbl>
    <w:p w:rsidR="00000000" w:rsidRPr="00DB09B9" w:rsidP="00DB09B9">
      <w:pPr>
        <w:pStyle w:val="BodyText"/>
      </w:pPr>
    </w:p>
    <w:p w:rsidR="00000000" w:rsidRPr="00DB09B9" w:rsidP="00DB09B9"/>
    <w:sectPr w:rsidSect="00DB09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34B" w:rsidP="000103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4B" w:rsidP="00DB09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1034B" w:rsidP="00DB09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1034B" w:rsidP="00DB09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B9" w:rsidRPr="0001034B" w:rsidP="000103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4B" w:rsidRPr="002D2AF8" w:rsidP="00DB09B9">
    <w:pPr>
      <w:pStyle w:val="Header"/>
      <w:framePr w:wrap="around"/>
    </w:pPr>
    <w:r>
      <w:fldChar w:fldCharType="begin"/>
    </w:r>
    <w:r>
      <w:instrText xml:space="preserve"> TITLE   \* MERGEFORMAT </w:instrText>
    </w:r>
    <w:r>
      <w:fldChar w:fldCharType="separate"/>
    </w:r>
    <w:r>
      <w:t>UETTDRVC32A Use specialised plant to cut vegetation above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01034B" w:rsidP="00DB0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66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429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3C9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9B9"/>
    <w:pPr>
      <w:spacing w:before="360" w:after="60"/>
      <w:outlineLvl w:val="0"/>
    </w:pPr>
    <w:rPr>
      <w:sz w:val="32"/>
    </w:rPr>
  </w:style>
  <w:style w:type="paragraph" w:styleId="Heading2">
    <w:name w:val="heading 2"/>
    <w:basedOn w:val="HeadingBase"/>
    <w:next w:val="BodyText"/>
    <w:link w:val="Heading2Char"/>
    <w:qFormat/>
    <w:rsid w:val="00DB09B9"/>
    <w:pPr>
      <w:keepLines/>
      <w:spacing w:before="240" w:after="120"/>
      <w:outlineLvl w:val="1"/>
    </w:pPr>
    <w:rPr>
      <w:sz w:val="28"/>
      <w:szCs w:val="40"/>
    </w:rPr>
  </w:style>
  <w:style w:type="paragraph" w:styleId="Heading3">
    <w:name w:val="heading 3"/>
    <w:basedOn w:val="HeadingBase"/>
    <w:next w:val="BodyText"/>
    <w:link w:val="Heading3Char"/>
    <w:qFormat/>
    <w:rsid w:val="00DB09B9"/>
    <w:pPr>
      <w:spacing w:before="180" w:after="120"/>
      <w:outlineLvl w:val="2"/>
    </w:pPr>
    <w:rPr>
      <w:spacing w:val="-10"/>
      <w:kern w:val="32"/>
    </w:rPr>
  </w:style>
  <w:style w:type="paragraph" w:styleId="Heading4">
    <w:name w:val="heading 4"/>
    <w:basedOn w:val="HeadingBase"/>
    <w:next w:val="BodyText"/>
    <w:link w:val="Heading4Char"/>
    <w:qFormat/>
    <w:rsid w:val="00DB09B9"/>
    <w:pPr>
      <w:spacing w:before="160" w:after="120"/>
      <w:outlineLvl w:val="3"/>
    </w:pPr>
    <w:rPr>
      <w:sz w:val="22"/>
    </w:rPr>
  </w:style>
  <w:style w:type="paragraph" w:styleId="Heading5">
    <w:name w:val="heading 5"/>
    <w:basedOn w:val="HeadingBase"/>
    <w:next w:val="Normal"/>
    <w:link w:val="Heading5Char"/>
    <w:qFormat/>
    <w:rsid w:val="00DB09B9"/>
    <w:pPr>
      <w:spacing w:before="80"/>
      <w:outlineLvl w:val="4"/>
    </w:pPr>
    <w:rPr>
      <w:color w:val="918585"/>
      <w:sz w:val="20"/>
    </w:rPr>
  </w:style>
  <w:style w:type="paragraph" w:styleId="Heading6">
    <w:name w:val="heading 6"/>
    <w:basedOn w:val="HeadingBase"/>
    <w:next w:val="Normal"/>
    <w:link w:val="Heading6Char"/>
    <w:qFormat/>
    <w:rsid w:val="00DB09B9"/>
    <w:pPr>
      <w:spacing w:before="60"/>
      <w:outlineLvl w:val="5"/>
    </w:pPr>
    <w:rPr>
      <w:color w:val="918585"/>
      <w:sz w:val="20"/>
    </w:rPr>
  </w:style>
  <w:style w:type="paragraph" w:styleId="Heading7">
    <w:name w:val="heading 7"/>
    <w:basedOn w:val="Normal"/>
    <w:next w:val="Normal"/>
    <w:link w:val="Heading7Char"/>
    <w:qFormat/>
    <w:rsid w:val="00DB09B9"/>
    <w:pPr>
      <w:ind w:left="720"/>
      <w:outlineLvl w:val="6"/>
    </w:pPr>
    <w:rPr>
      <w:i/>
    </w:rPr>
  </w:style>
  <w:style w:type="paragraph" w:styleId="Heading8">
    <w:name w:val="heading 8"/>
    <w:basedOn w:val="Normal"/>
    <w:next w:val="Normal"/>
    <w:link w:val="Heading8Char"/>
    <w:qFormat/>
    <w:rsid w:val="00DB09B9"/>
    <w:pPr>
      <w:ind w:left="720"/>
      <w:outlineLvl w:val="7"/>
    </w:pPr>
    <w:rPr>
      <w:i/>
    </w:rPr>
  </w:style>
  <w:style w:type="paragraph" w:styleId="Heading9">
    <w:name w:val="heading 9"/>
    <w:basedOn w:val="Normal"/>
    <w:next w:val="Normal"/>
    <w:link w:val="Heading9Char"/>
    <w:qFormat/>
    <w:rsid w:val="00DB09B9"/>
    <w:pPr>
      <w:ind w:left="720"/>
      <w:outlineLvl w:val="8"/>
    </w:pPr>
    <w:rPr>
      <w:i/>
    </w:rPr>
  </w:style>
  <w:style w:type="character" w:default="1" w:styleId="DefaultParagraphFont">
    <w:name w:val="Default Paragraph Font"/>
    <w:uiPriority w:val="1"/>
    <w:unhideWhenUsed/>
    <w:rsid w:val="00DB0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9B9"/>
  </w:style>
  <w:style w:type="character" w:customStyle="1" w:styleId="Heading1Char">
    <w:name w:val="Heading 1 Char"/>
    <w:basedOn w:val="DefaultParagraphFont"/>
    <w:link w:val="Heading1"/>
    <w:rsid w:val="00DB09B9"/>
    <w:rPr>
      <w:rFonts w:ascii="Times New Roman" w:eastAsia="Times New Roman" w:hAnsi="Times New Roman" w:cs="Times New Roman"/>
      <w:b/>
      <w:sz w:val="32"/>
      <w:szCs w:val="20"/>
      <w:lang w:eastAsia="en-US"/>
    </w:rPr>
  </w:style>
  <w:style w:type="paragraph" w:styleId="BodyText">
    <w:name w:val="Body Text"/>
    <w:basedOn w:val="Normal"/>
    <w:link w:val="BodyTextChar"/>
    <w:rsid w:val="00DB09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09B9"/>
    <w:rPr>
      <w:rFonts w:ascii="Times New Roman" w:eastAsia="Times New Roman" w:hAnsi="Times New Roman" w:cs="Times New Roman"/>
      <w:sz w:val="24"/>
      <w:lang w:eastAsia="en-US"/>
    </w:rPr>
  </w:style>
  <w:style w:type="paragraph" w:styleId="Footer">
    <w:name w:val="footer"/>
    <w:basedOn w:val="Normal"/>
    <w:link w:val="FooterChar"/>
    <w:rsid w:val="00DB0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9B9"/>
    <w:rPr>
      <w:rFonts w:ascii="Times New Roman" w:eastAsia="Times New Roman" w:hAnsi="Times New Roman" w:cs="Times New Roman"/>
      <w:sz w:val="16"/>
      <w:lang w:eastAsia="en-US"/>
    </w:rPr>
  </w:style>
  <w:style w:type="paragraph" w:styleId="ListBullet">
    <w:name w:val="List Bullet"/>
    <w:basedOn w:val="List"/>
    <w:rsid w:val="00DB09B9"/>
    <w:pPr>
      <w:numPr>
        <w:numId w:val="14"/>
      </w:numPr>
      <w:tabs>
        <w:tab w:val="clear" w:pos="340"/>
      </w:tabs>
      <w:spacing w:before="40" w:after="40"/>
    </w:pPr>
  </w:style>
  <w:style w:type="character" w:customStyle="1" w:styleId="SpecialBold">
    <w:name w:val="Special Bold"/>
    <w:basedOn w:val="DefaultParagraphFont"/>
    <w:rsid w:val="00DB09B9"/>
    <w:rPr>
      <w:b/>
      <w:spacing w:val="0"/>
    </w:rPr>
  </w:style>
  <w:style w:type="paragraph" w:styleId="ListBullet2">
    <w:name w:val="List Bullet 2"/>
    <w:basedOn w:val="List2"/>
    <w:rsid w:val="00DB09B9"/>
    <w:pPr>
      <w:numPr>
        <w:numId w:val="15"/>
      </w:numPr>
      <w:tabs>
        <w:tab w:val="clear" w:pos="680"/>
      </w:tabs>
    </w:pPr>
  </w:style>
  <w:style w:type="paragraph" w:customStyle="1" w:styleId="SuperHeading">
    <w:name w:val="SuperHeading"/>
    <w:basedOn w:val="Normal"/>
    <w:rsid w:val="00DB09B9"/>
    <w:pPr>
      <w:spacing w:before="240" w:after="120"/>
      <w:outlineLvl w:val="0"/>
    </w:pPr>
    <w:rPr>
      <w:rFonts w:ascii="Times New Roman" w:hAnsi="Times New Roman"/>
      <w:b/>
      <w:sz w:val="28"/>
    </w:rPr>
  </w:style>
  <w:style w:type="paragraph" w:customStyle="1" w:styleId="AllowPageBreak">
    <w:name w:val="AllowPageBreak"/>
    <w:rsid w:val="00DB09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09B9"/>
    <w:pPr>
      <w:numPr>
        <w:numId w:val="3"/>
      </w:numPr>
      <w:tabs>
        <w:tab w:val="clear" w:pos="1021"/>
      </w:tabs>
      <w:ind w:left="1037" w:hanging="357"/>
    </w:pPr>
  </w:style>
  <w:style w:type="character" w:customStyle="1" w:styleId="Heading2Char">
    <w:name w:val="Heading 2 Char"/>
    <w:basedOn w:val="DefaultParagraphFont"/>
    <w:link w:val="Heading2"/>
    <w:rsid w:val="00DB0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9B9"/>
    <w:rPr>
      <w:rFonts w:ascii="Courier New" w:eastAsia="Times New Roman" w:hAnsi="Courier New" w:cs="Times New Roman"/>
      <w:i/>
      <w:szCs w:val="20"/>
      <w:lang w:eastAsia="en-US"/>
    </w:rPr>
  </w:style>
  <w:style w:type="paragraph" w:customStyle="1" w:styleId="HeadingBase">
    <w:name w:val="Heading Base"/>
    <w:rsid w:val="00DB0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9B9"/>
    <w:pPr>
      <w:tabs>
        <w:tab w:val="right" w:leader="dot" w:pos="9072"/>
      </w:tabs>
      <w:ind w:left="567"/>
    </w:pPr>
    <w:rPr>
      <w:szCs w:val="22"/>
    </w:rPr>
  </w:style>
  <w:style w:type="paragraph" w:customStyle="1" w:styleId="TOCBase">
    <w:name w:val="TOC Base"/>
    <w:rsid w:val="00DB0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9B9"/>
    <w:pPr>
      <w:tabs>
        <w:tab w:val="right" w:leader="dot" w:pos="9072"/>
      </w:tabs>
      <w:spacing w:before="40" w:after="40"/>
      <w:ind w:left="284"/>
    </w:pPr>
    <w:rPr>
      <w:rFonts w:ascii="Times New Roman" w:hAnsi="Times New Roman"/>
    </w:rPr>
  </w:style>
  <w:style w:type="paragraph" w:styleId="TOC1">
    <w:name w:val="toc 1"/>
    <w:basedOn w:val="TOCBase"/>
    <w:next w:val="Normal"/>
    <w:rsid w:val="00DB09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09B9"/>
    <w:pPr>
      <w:spacing w:before="5040"/>
      <w:jc w:val="center"/>
    </w:pPr>
    <w:rPr>
      <w:sz w:val="48"/>
      <w:szCs w:val="72"/>
      <w:lang w:val="en-US"/>
    </w:rPr>
  </w:style>
  <w:style w:type="character" w:customStyle="1" w:styleId="TitleChar">
    <w:name w:val="Title Char"/>
    <w:basedOn w:val="DefaultParagraphFont"/>
    <w:link w:val="Title"/>
    <w:rsid w:val="00DB0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9B9"/>
    <w:pPr>
      <w:tabs>
        <w:tab w:val="left" w:pos="3600"/>
        <w:tab w:val="left" w:pos="3958"/>
      </w:tabs>
    </w:pPr>
  </w:style>
  <w:style w:type="paragraph" w:styleId="List">
    <w:name w:val="List"/>
    <w:basedOn w:val="BodyText"/>
    <w:next w:val="BodyText"/>
    <w:rsid w:val="00DB09B9"/>
    <w:pPr>
      <w:tabs>
        <w:tab w:val="left" w:pos="340"/>
      </w:tabs>
      <w:spacing w:before="60" w:after="60"/>
      <w:ind w:left="340" w:hanging="340"/>
    </w:pPr>
  </w:style>
  <w:style w:type="paragraph" w:customStyle="1" w:styleId="Note">
    <w:name w:val="Note"/>
    <w:basedOn w:val="BodyText"/>
    <w:rsid w:val="00DB0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9B9"/>
    <w:pPr>
      <w:framePr w:wrap="auto" w:hAnchor="text" w:y="6049"/>
    </w:pPr>
    <w:rPr>
      <w:color w:val="000000"/>
      <w:sz w:val="40"/>
    </w:rPr>
  </w:style>
  <w:style w:type="paragraph" w:customStyle="1" w:styleId="TOCTitle">
    <w:name w:val="TOCTitle"/>
    <w:basedOn w:val="Heading1"/>
    <w:rsid w:val="00DB09B9"/>
    <w:pPr>
      <w:spacing w:after="240"/>
      <w:jc w:val="center"/>
      <w:outlineLvl w:val="9"/>
    </w:pPr>
    <w:rPr>
      <w:caps/>
    </w:rPr>
  </w:style>
  <w:style w:type="paragraph" w:customStyle="1" w:styleId="Version">
    <w:name w:val="Version"/>
    <w:rsid w:val="00DB0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9B9"/>
    <w:pPr>
      <w:keepNext w:val="0"/>
      <w:tabs>
        <w:tab w:val="right" w:pos="4176"/>
      </w:tabs>
      <w:ind w:left="198" w:hanging="198"/>
    </w:pPr>
    <w:rPr>
      <w:rFonts w:ascii="Garamond" w:hAnsi="Garamond"/>
    </w:rPr>
  </w:style>
  <w:style w:type="paragraph" w:styleId="IndexHeading">
    <w:name w:val="index heading"/>
    <w:basedOn w:val="Normal"/>
    <w:next w:val="Index1"/>
    <w:semiHidden/>
    <w:rsid w:val="00DB09B9"/>
    <w:pPr>
      <w:spacing w:before="120" w:after="120"/>
    </w:pPr>
    <w:rPr>
      <w:rFonts w:ascii="Arial" w:hAnsi="Arial"/>
      <w:b/>
      <w:color w:val="918585"/>
      <w:sz w:val="24"/>
    </w:rPr>
  </w:style>
  <w:style w:type="paragraph" w:styleId="Header">
    <w:name w:val="header"/>
    <w:basedOn w:val="Normal"/>
    <w:link w:val="HeaderChar"/>
    <w:rsid w:val="00DB0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9B9"/>
    <w:rPr>
      <w:rFonts w:ascii="Times New Roman" w:eastAsia="Times New Roman" w:hAnsi="Times New Roman" w:cs="Times New Roman"/>
      <w:sz w:val="16"/>
      <w:szCs w:val="20"/>
      <w:lang w:val="en-GB" w:eastAsia="en-US"/>
    </w:rPr>
  </w:style>
  <w:style w:type="paragraph" w:customStyle="1" w:styleId="Chapter">
    <w:name w:val="Chapter"/>
    <w:basedOn w:val="Normal"/>
    <w:rsid w:val="00DB09B9"/>
    <w:pPr>
      <w:spacing w:before="240"/>
    </w:pPr>
    <w:rPr>
      <w:rFonts w:ascii="Times New Roman" w:hAnsi="Times New Roman"/>
      <w:smallCaps/>
      <w:spacing w:val="80"/>
      <w:sz w:val="28"/>
    </w:rPr>
  </w:style>
  <w:style w:type="paragraph" w:customStyle="1" w:styleId="InChapter">
    <w:name w:val="InChapter"/>
    <w:basedOn w:val="Heading3"/>
    <w:rsid w:val="00DB09B9"/>
    <w:pPr>
      <w:spacing w:after="240"/>
      <w:outlineLvl w:val="9"/>
    </w:pPr>
    <w:rPr>
      <w:noProof/>
    </w:rPr>
  </w:style>
  <w:style w:type="paragraph" w:styleId="Index2">
    <w:name w:val="index 2"/>
    <w:basedOn w:val="Normal"/>
    <w:next w:val="Normal"/>
    <w:semiHidden/>
    <w:rsid w:val="00DB09B9"/>
    <w:pPr>
      <w:tabs>
        <w:tab w:val="right" w:pos="4176"/>
      </w:tabs>
      <w:ind w:left="568" w:hanging="284"/>
    </w:pPr>
    <w:rPr>
      <w:rFonts w:ascii="Garamond" w:hAnsi="Garamond"/>
    </w:rPr>
  </w:style>
  <w:style w:type="paragraph" w:customStyle="1" w:styleId="Byline">
    <w:name w:val="Byline"/>
    <w:rsid w:val="00DB0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9B9"/>
    <w:pPr>
      <w:tabs>
        <w:tab w:val="clear" w:pos="3600"/>
        <w:tab w:val="clear" w:pos="3958"/>
      </w:tabs>
      <w:jc w:val="right"/>
    </w:pPr>
  </w:style>
  <w:style w:type="character" w:styleId="Emphasis">
    <w:name w:val="Emphasis"/>
    <w:basedOn w:val="DefaultParagraphFont"/>
    <w:qFormat/>
    <w:rsid w:val="00DB09B9"/>
    <w:rPr>
      <w:i/>
    </w:rPr>
  </w:style>
  <w:style w:type="paragraph" w:styleId="Caption">
    <w:name w:val="caption"/>
    <w:basedOn w:val="BodyText"/>
    <w:next w:val="Normal"/>
    <w:qFormat/>
    <w:rsid w:val="00DB09B9"/>
    <w:pPr>
      <w:framePr w:w="2268" w:hSpace="181" w:vSpace="181" w:wrap="around" w:vAnchor="text" w:hAnchor="page" w:x="1135" w:y="285" w:anchorLock="1"/>
    </w:pPr>
    <w:rPr>
      <w:i/>
    </w:rPr>
  </w:style>
  <w:style w:type="paragraph" w:customStyle="1" w:styleId="MiniTOCTitle">
    <w:name w:val="MiniTOCTitle"/>
    <w:basedOn w:val="Heading4"/>
    <w:rsid w:val="00DB09B9"/>
    <w:pPr>
      <w:spacing w:before="240"/>
      <w:outlineLvl w:val="9"/>
    </w:pPr>
    <w:rPr>
      <w:noProof/>
      <w:sz w:val="24"/>
    </w:rPr>
  </w:style>
  <w:style w:type="paragraph" w:customStyle="1" w:styleId="MiniTOCItem">
    <w:name w:val="MiniTOCItem"/>
    <w:basedOn w:val="ListBullet"/>
    <w:rsid w:val="00DB09B9"/>
    <w:pPr>
      <w:numPr>
        <w:numId w:val="0"/>
      </w:numPr>
      <w:tabs>
        <w:tab w:val="right" w:leader="dot" w:pos="6521"/>
      </w:tabs>
      <w:spacing w:before="0" w:after="0"/>
    </w:pPr>
  </w:style>
  <w:style w:type="paragraph" w:customStyle="1" w:styleId="TOFTitle">
    <w:name w:val="TOFTitle"/>
    <w:basedOn w:val="TOCTitle"/>
    <w:rsid w:val="00DB09B9"/>
  </w:style>
  <w:style w:type="paragraph" w:styleId="TableofFigures">
    <w:name w:val="table of figures"/>
    <w:basedOn w:val="Normal"/>
    <w:next w:val="Normal"/>
    <w:semiHidden/>
    <w:rsid w:val="00DB09B9"/>
    <w:pPr>
      <w:tabs>
        <w:tab w:val="right" w:leader="dot" w:pos="9072"/>
      </w:tabs>
      <w:ind w:left="970" w:hanging="403"/>
    </w:pPr>
    <w:rPr>
      <w:rFonts w:ascii="Times New Roman" w:hAnsi="Times New Roman"/>
      <w:b/>
    </w:rPr>
  </w:style>
  <w:style w:type="paragraph" w:styleId="ListNumber">
    <w:name w:val="List Number"/>
    <w:basedOn w:val="List"/>
    <w:rsid w:val="00DB09B9"/>
    <w:pPr>
      <w:numPr>
        <w:numId w:val="12"/>
      </w:numPr>
    </w:pPr>
  </w:style>
  <w:style w:type="character" w:customStyle="1" w:styleId="WingdingSymbols">
    <w:name w:val="Wingding Symbols"/>
    <w:rsid w:val="00DB09B9"/>
    <w:rPr>
      <w:rFonts w:ascii="Wingdings" w:hAnsi="Wingdings"/>
    </w:rPr>
  </w:style>
  <w:style w:type="paragraph" w:customStyle="1" w:styleId="TableHeading">
    <w:name w:val="Table Heading"/>
    <w:basedOn w:val="HeadingBase"/>
    <w:rsid w:val="00DB09B9"/>
    <w:pPr>
      <w:keepLines/>
      <w:pBdr>
        <w:bottom w:val="single" w:sz="6" w:space="1" w:color="918585"/>
      </w:pBdr>
      <w:spacing w:before="240"/>
    </w:pPr>
  </w:style>
  <w:style w:type="character" w:customStyle="1" w:styleId="HotSpot">
    <w:name w:val="HotSpot"/>
    <w:rsid w:val="00DB09B9"/>
    <w:rPr>
      <w:color w:val="0033CC"/>
      <w:u w:val="none"/>
    </w:rPr>
  </w:style>
  <w:style w:type="paragraph" w:customStyle="1" w:styleId="BodyTextRight">
    <w:name w:val="Body Text Right"/>
    <w:basedOn w:val="BodyText"/>
    <w:rsid w:val="00DB09B9"/>
    <w:pPr>
      <w:spacing w:before="0" w:after="0"/>
      <w:jc w:val="right"/>
    </w:pPr>
  </w:style>
  <w:style w:type="paragraph" w:styleId="Index3">
    <w:name w:val="index 3"/>
    <w:basedOn w:val="ListNumber2"/>
    <w:next w:val="Normal"/>
    <w:semiHidden/>
    <w:rsid w:val="00DB09B9"/>
    <w:pPr>
      <w:numPr>
        <w:numId w:val="0"/>
      </w:numPr>
      <w:tabs>
        <w:tab w:val="right" w:leader="dot" w:pos="4176"/>
      </w:tabs>
    </w:pPr>
  </w:style>
  <w:style w:type="paragraph" w:styleId="ListNumber2">
    <w:name w:val="List Number 2"/>
    <w:basedOn w:val="List2"/>
    <w:rsid w:val="00DB09B9"/>
    <w:pPr>
      <w:numPr>
        <w:numId w:val="11"/>
      </w:numPr>
      <w:tabs>
        <w:tab w:val="clear" w:pos="1060"/>
      </w:tabs>
    </w:pPr>
  </w:style>
  <w:style w:type="paragraph" w:customStyle="1" w:styleId="MarginNote">
    <w:name w:val="Margin Note"/>
    <w:basedOn w:val="BodyText"/>
    <w:rsid w:val="00DB0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9B9"/>
    <w:rPr>
      <w:sz w:val="32"/>
    </w:rPr>
  </w:style>
  <w:style w:type="paragraph" w:customStyle="1" w:styleId="HeadingProcedure">
    <w:name w:val="Heading Procedure"/>
    <w:basedOn w:val="HeadingBase"/>
    <w:next w:val="Normal"/>
    <w:rsid w:val="00DB09B9"/>
    <w:pPr>
      <w:tabs>
        <w:tab w:val="left" w:pos="0"/>
      </w:tabs>
      <w:spacing w:before="120" w:after="60"/>
    </w:pPr>
    <w:rPr>
      <w:i/>
      <w:color w:val="918585"/>
      <w:sz w:val="22"/>
    </w:rPr>
  </w:style>
  <w:style w:type="paragraph" w:customStyle="1" w:styleId="TableBodyText">
    <w:name w:val="Table Body Text"/>
    <w:basedOn w:val="BodyText"/>
    <w:rsid w:val="00DB09B9"/>
    <w:pPr>
      <w:spacing w:before="60" w:after="60"/>
    </w:pPr>
  </w:style>
  <w:style w:type="paragraph" w:styleId="ListContinue">
    <w:name w:val="List Continue"/>
    <w:basedOn w:val="List"/>
    <w:rsid w:val="00DB09B9"/>
    <w:pPr>
      <w:ind w:firstLine="0"/>
    </w:pPr>
  </w:style>
  <w:style w:type="paragraph" w:customStyle="1" w:styleId="ListNote">
    <w:name w:val="List Note"/>
    <w:basedOn w:val="List"/>
    <w:rsid w:val="00DB09B9"/>
    <w:pPr>
      <w:pBdr>
        <w:top w:val="single" w:sz="6" w:space="2" w:color="918585"/>
        <w:bottom w:val="single" w:sz="6" w:space="2" w:color="918585"/>
      </w:pBdr>
      <w:tabs>
        <w:tab w:val="left" w:pos="1021"/>
      </w:tabs>
      <w:ind w:firstLine="0"/>
    </w:pPr>
  </w:style>
  <w:style w:type="paragraph" w:customStyle="1" w:styleId="Warning">
    <w:name w:val="Warning"/>
    <w:basedOn w:val="BodyText"/>
    <w:rsid w:val="00DB09B9"/>
    <w:pPr>
      <w:shd w:val="clear" w:color="auto" w:fill="D9D9D9"/>
      <w:tabs>
        <w:tab w:val="left" w:pos="992"/>
      </w:tabs>
      <w:ind w:left="119" w:right="119"/>
    </w:pPr>
    <w:rPr>
      <w:sz w:val="20"/>
    </w:rPr>
  </w:style>
  <w:style w:type="paragraph" w:customStyle="1" w:styleId="MarginIcons">
    <w:name w:val="Margin Icons"/>
    <w:basedOn w:val="BodyText"/>
    <w:rsid w:val="00DB0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9B9"/>
    <w:rPr>
      <w:rFonts w:ascii="Courier New" w:hAnsi="Courier New"/>
    </w:rPr>
  </w:style>
  <w:style w:type="paragraph" w:customStyle="1" w:styleId="NoteBullet">
    <w:name w:val="Note Bullet"/>
    <w:basedOn w:val="Note"/>
    <w:rsid w:val="00DB09B9"/>
    <w:pPr>
      <w:tabs>
        <w:tab w:val="clear" w:pos="680"/>
      </w:tabs>
      <w:spacing w:before="60" w:after="60"/>
    </w:pPr>
  </w:style>
  <w:style w:type="paragraph" w:customStyle="1" w:styleId="SubHeading2">
    <w:name w:val="SubHeading2"/>
    <w:basedOn w:val="HeadingBase"/>
    <w:rsid w:val="00DB09B9"/>
    <w:pPr>
      <w:spacing w:before="240" w:after="60"/>
    </w:pPr>
    <w:rPr>
      <w:sz w:val="20"/>
    </w:rPr>
  </w:style>
  <w:style w:type="paragraph" w:customStyle="1" w:styleId="SubHeading1">
    <w:name w:val="SubHeading1"/>
    <w:basedOn w:val="HeadingBase"/>
    <w:rsid w:val="00DB09B9"/>
    <w:pPr>
      <w:spacing w:before="240" w:after="60"/>
    </w:pPr>
    <w:rPr>
      <w:color w:val="918585"/>
      <w:sz w:val="22"/>
    </w:rPr>
  </w:style>
  <w:style w:type="paragraph" w:customStyle="1" w:styleId="SideHeading">
    <w:name w:val="Side Heading"/>
    <w:basedOn w:val="HeadingBase"/>
    <w:rsid w:val="00DB0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9B9"/>
    <w:pPr>
      <w:numPr>
        <w:numId w:val="13"/>
      </w:numPr>
    </w:pPr>
  </w:style>
  <w:style w:type="paragraph" w:styleId="PlainText">
    <w:name w:val="Plain Text"/>
    <w:basedOn w:val="Normal"/>
    <w:link w:val="PlainTextChar"/>
    <w:rsid w:val="00DB09B9"/>
    <w:rPr>
      <w:sz w:val="20"/>
    </w:rPr>
  </w:style>
  <w:style w:type="character" w:customStyle="1" w:styleId="PlainTextChar">
    <w:name w:val="Plain Text Char"/>
    <w:basedOn w:val="DefaultParagraphFont"/>
    <w:link w:val="PlainText"/>
    <w:rsid w:val="00DB09B9"/>
    <w:rPr>
      <w:rFonts w:ascii="Courier New" w:eastAsia="Times New Roman" w:hAnsi="Courier New" w:cs="Times New Roman"/>
      <w:sz w:val="20"/>
      <w:szCs w:val="20"/>
      <w:lang w:eastAsia="en-US"/>
    </w:rPr>
  </w:style>
  <w:style w:type="character" w:customStyle="1" w:styleId="MenuOption">
    <w:name w:val="Menu Option"/>
    <w:basedOn w:val="DefaultParagraphFont"/>
    <w:rsid w:val="00DB09B9"/>
    <w:rPr>
      <w:b/>
      <w:smallCaps/>
    </w:rPr>
  </w:style>
  <w:style w:type="paragraph" w:customStyle="1" w:styleId="TableListNumber">
    <w:name w:val="Table List Number"/>
    <w:basedOn w:val="ListNumber"/>
    <w:rsid w:val="00DB09B9"/>
    <w:pPr>
      <w:numPr>
        <w:numId w:val="0"/>
      </w:numPr>
    </w:pPr>
  </w:style>
  <w:style w:type="paragraph" w:styleId="TOC4">
    <w:name w:val="toc 4"/>
    <w:basedOn w:val="TOCBase"/>
    <w:next w:val="Normal"/>
    <w:semiHidden/>
    <w:rsid w:val="00DB09B9"/>
    <w:pPr>
      <w:tabs>
        <w:tab w:val="right" w:leader="dot" w:pos="9071"/>
      </w:tabs>
      <w:ind w:left="1701"/>
    </w:pPr>
  </w:style>
  <w:style w:type="paragraph" w:customStyle="1" w:styleId="ListAlpha">
    <w:name w:val="List Alpha"/>
    <w:basedOn w:val="List"/>
    <w:rsid w:val="00DB09B9"/>
    <w:pPr>
      <w:numPr>
        <w:numId w:val="10"/>
      </w:numPr>
    </w:pPr>
  </w:style>
  <w:style w:type="paragraph" w:customStyle="1" w:styleId="ListAlpha2">
    <w:name w:val="List Alpha 2"/>
    <w:basedOn w:val="List2"/>
    <w:rsid w:val="00DB09B9"/>
    <w:pPr>
      <w:numPr>
        <w:numId w:val="9"/>
      </w:numPr>
    </w:pPr>
  </w:style>
  <w:style w:type="paragraph" w:styleId="List2">
    <w:name w:val="List 2"/>
    <w:basedOn w:val="BodyText"/>
    <w:rsid w:val="00DB09B9"/>
    <w:pPr>
      <w:tabs>
        <w:tab w:val="left" w:pos="680"/>
      </w:tabs>
      <w:spacing w:before="60" w:after="60"/>
      <w:ind w:left="680" w:hanging="340"/>
    </w:pPr>
  </w:style>
  <w:style w:type="paragraph" w:styleId="List3">
    <w:name w:val="List 3"/>
    <w:basedOn w:val="BodyText"/>
    <w:rsid w:val="00DB09B9"/>
    <w:pPr>
      <w:tabs>
        <w:tab w:val="left" w:pos="1021"/>
      </w:tabs>
      <w:spacing w:before="60" w:after="60"/>
      <w:ind w:left="1020" w:hanging="340"/>
    </w:pPr>
  </w:style>
  <w:style w:type="paragraph" w:styleId="List4">
    <w:name w:val="List 4"/>
    <w:basedOn w:val="BodyText"/>
    <w:rsid w:val="00DB09B9"/>
    <w:pPr>
      <w:tabs>
        <w:tab w:val="left" w:pos="1361"/>
      </w:tabs>
      <w:spacing w:before="60" w:after="60"/>
      <w:ind w:left="1361" w:hanging="340"/>
    </w:pPr>
  </w:style>
  <w:style w:type="paragraph" w:styleId="List5">
    <w:name w:val="List 5"/>
    <w:basedOn w:val="BodyText"/>
    <w:rsid w:val="00DB09B9"/>
    <w:pPr>
      <w:tabs>
        <w:tab w:val="left" w:pos="1701"/>
      </w:tabs>
      <w:spacing w:before="60" w:after="60"/>
      <w:ind w:left="1701" w:hanging="340"/>
    </w:pPr>
  </w:style>
  <w:style w:type="paragraph" w:styleId="ListBullet4">
    <w:name w:val="List Bullet 4"/>
    <w:basedOn w:val="List4"/>
    <w:rsid w:val="00DB09B9"/>
    <w:pPr>
      <w:numPr>
        <w:numId w:val="4"/>
      </w:numPr>
    </w:pPr>
  </w:style>
  <w:style w:type="paragraph" w:styleId="ListBullet5">
    <w:name w:val="List Bullet 5"/>
    <w:basedOn w:val="List5"/>
    <w:rsid w:val="00DB09B9"/>
    <w:pPr>
      <w:numPr>
        <w:numId w:val="5"/>
      </w:numPr>
    </w:pPr>
  </w:style>
  <w:style w:type="paragraph" w:styleId="ListContinue2">
    <w:name w:val="List Continue 2"/>
    <w:basedOn w:val="List2"/>
    <w:rsid w:val="00DB09B9"/>
    <w:pPr>
      <w:ind w:firstLine="0"/>
    </w:pPr>
  </w:style>
  <w:style w:type="paragraph" w:styleId="ListContinue3">
    <w:name w:val="List Continue 3"/>
    <w:basedOn w:val="List3"/>
    <w:rsid w:val="00DB09B9"/>
    <w:pPr>
      <w:ind w:left="1021" w:firstLine="0"/>
    </w:pPr>
  </w:style>
  <w:style w:type="paragraph" w:styleId="ListContinue4">
    <w:name w:val="List Continue 4"/>
    <w:basedOn w:val="List4"/>
    <w:rsid w:val="00DB09B9"/>
    <w:pPr>
      <w:ind w:firstLine="0"/>
    </w:pPr>
  </w:style>
  <w:style w:type="paragraph" w:styleId="ListContinue5">
    <w:name w:val="List Continue 5"/>
    <w:basedOn w:val="List5"/>
    <w:rsid w:val="00DB09B9"/>
    <w:pPr>
      <w:ind w:firstLine="0"/>
    </w:pPr>
  </w:style>
  <w:style w:type="paragraph" w:styleId="ListNumber3">
    <w:name w:val="List Number 3"/>
    <w:basedOn w:val="List3"/>
    <w:rsid w:val="00DB09B9"/>
    <w:pPr>
      <w:numPr>
        <w:numId w:val="6"/>
      </w:numPr>
    </w:pPr>
  </w:style>
  <w:style w:type="paragraph" w:styleId="ListNumber4">
    <w:name w:val="List Number 4"/>
    <w:basedOn w:val="List4"/>
    <w:rsid w:val="00DB09B9"/>
    <w:pPr>
      <w:numPr>
        <w:numId w:val="7"/>
      </w:numPr>
    </w:pPr>
  </w:style>
  <w:style w:type="paragraph" w:styleId="ListNumber5">
    <w:name w:val="List Number 5"/>
    <w:basedOn w:val="List5"/>
    <w:rsid w:val="00DB09B9"/>
    <w:pPr>
      <w:numPr>
        <w:numId w:val="8"/>
      </w:numPr>
    </w:pPr>
  </w:style>
  <w:style w:type="paragraph" w:styleId="BlockText">
    <w:name w:val="Block Text"/>
    <w:basedOn w:val="Normal"/>
    <w:rsid w:val="00DB09B9"/>
    <w:pPr>
      <w:spacing w:after="120"/>
      <w:ind w:left="1440" w:right="1440"/>
    </w:pPr>
  </w:style>
  <w:style w:type="character" w:customStyle="1" w:styleId="Subscript">
    <w:name w:val="Subscript"/>
    <w:basedOn w:val="DefaultParagraphFont"/>
    <w:rsid w:val="00DB09B9"/>
    <w:rPr>
      <w:sz w:val="16"/>
      <w:vertAlign w:val="subscript"/>
    </w:rPr>
  </w:style>
  <w:style w:type="character" w:customStyle="1" w:styleId="Superscript">
    <w:name w:val="Superscript"/>
    <w:basedOn w:val="DefaultParagraphFont"/>
    <w:rsid w:val="00DB09B9"/>
    <w:rPr>
      <w:sz w:val="16"/>
      <w:vertAlign w:val="superscript"/>
    </w:rPr>
  </w:style>
  <w:style w:type="character" w:customStyle="1" w:styleId="Symbols">
    <w:name w:val="Symbols"/>
    <w:basedOn w:val="DefaultParagraphFont"/>
    <w:rsid w:val="00DB09B9"/>
    <w:rPr>
      <w:rFonts w:ascii="Symbol" w:hAnsi="Symbol"/>
    </w:rPr>
  </w:style>
  <w:style w:type="character" w:customStyle="1" w:styleId="MenuOptions">
    <w:name w:val="Menu Options"/>
    <w:basedOn w:val="DefaultParagraphFont"/>
    <w:rsid w:val="00DB09B9"/>
    <w:rPr>
      <w:rFonts w:ascii="Arial Narrow" w:hAnsi="Arial Narrow"/>
      <w:smallCaps/>
    </w:rPr>
  </w:style>
  <w:style w:type="character" w:customStyle="1" w:styleId="Buttons">
    <w:name w:val="Buttons"/>
    <w:basedOn w:val="DefaultParagraphFont"/>
    <w:rsid w:val="00DB09B9"/>
    <w:rPr>
      <w:b/>
    </w:rPr>
  </w:style>
  <w:style w:type="character" w:customStyle="1" w:styleId="Underlined">
    <w:name w:val="Underlined"/>
    <w:basedOn w:val="DefaultParagraphFont"/>
    <w:rsid w:val="00DB09B9"/>
    <w:rPr>
      <w:u w:val="single"/>
    </w:rPr>
  </w:style>
  <w:style w:type="paragraph" w:customStyle="1" w:styleId="TableBodyTextRight">
    <w:name w:val="Table Body Text Right"/>
    <w:basedOn w:val="TableBodyText"/>
    <w:rsid w:val="00DB09B9"/>
    <w:pPr>
      <w:widowControl w:val="0"/>
      <w:autoSpaceDE w:val="0"/>
      <w:autoSpaceDN w:val="0"/>
      <w:adjustRightInd w:val="0"/>
      <w:jc w:val="right"/>
    </w:pPr>
    <w:rPr>
      <w:rFonts w:cs="Arial"/>
      <w:szCs w:val="18"/>
    </w:rPr>
  </w:style>
  <w:style w:type="paragraph" w:customStyle="1" w:styleId="CopyrightText">
    <w:name w:val="Copyright Text"/>
    <w:basedOn w:val="BodyText"/>
    <w:rsid w:val="00DB09B9"/>
    <w:rPr>
      <w:sz w:val="18"/>
    </w:rPr>
  </w:style>
  <w:style w:type="paragraph" w:customStyle="1" w:styleId="BodySmallRight">
    <w:name w:val="Body Small Right"/>
    <w:basedOn w:val="BodyTextRight"/>
    <w:rsid w:val="00DB09B9"/>
    <w:rPr>
      <w:sz w:val="18"/>
      <w:szCs w:val="18"/>
    </w:rPr>
  </w:style>
  <w:style w:type="paragraph" w:customStyle="1" w:styleId="MarginEdition">
    <w:name w:val="Margin Edition"/>
    <w:basedOn w:val="MarginNote"/>
    <w:rsid w:val="00DB09B9"/>
    <w:pPr>
      <w:spacing w:before="0" w:after="0"/>
    </w:pPr>
    <w:rPr>
      <w:rFonts w:ascii="Times New Roman" w:hAnsi="Times New Roman"/>
      <w:color w:val="999999"/>
    </w:rPr>
  </w:style>
  <w:style w:type="paragraph" w:customStyle="1" w:styleId="Spacer">
    <w:name w:val="Spacer"/>
    <w:basedOn w:val="Normal"/>
    <w:rsid w:val="00DB09B9"/>
    <w:rPr>
      <w:sz w:val="2"/>
      <w:szCs w:val="2"/>
    </w:rPr>
  </w:style>
  <w:style w:type="character" w:customStyle="1" w:styleId="Small">
    <w:name w:val="Small"/>
    <w:basedOn w:val="DefaultParagraphFont"/>
    <w:rsid w:val="00DB09B9"/>
    <w:rPr>
      <w:sz w:val="16"/>
    </w:rPr>
  </w:style>
  <w:style w:type="paragraph" w:customStyle="1" w:styleId="WideTable">
    <w:name w:val="Wide Table"/>
    <w:basedOn w:val="Normal"/>
    <w:rsid w:val="00DB09B9"/>
    <w:pPr>
      <w:ind w:left="-1418"/>
    </w:pPr>
    <w:rPr>
      <w:sz w:val="2"/>
      <w:szCs w:val="2"/>
    </w:rPr>
  </w:style>
  <w:style w:type="character" w:styleId="PageNumber">
    <w:name w:val="page number"/>
    <w:basedOn w:val="DefaultParagraphFont"/>
    <w:rsid w:val="00DB09B9"/>
  </w:style>
  <w:style w:type="paragraph" w:styleId="Quote">
    <w:name w:val="Quote"/>
    <w:basedOn w:val="Heading1"/>
    <w:link w:val="QuoteChar"/>
    <w:qFormat/>
    <w:rsid w:val="00DB09B9"/>
    <w:rPr>
      <w:b w:val="0"/>
      <w:sz w:val="72"/>
      <w:szCs w:val="72"/>
      <w:lang w:val="en-NZ"/>
    </w:rPr>
  </w:style>
  <w:style w:type="character" w:customStyle="1" w:styleId="QuoteChar">
    <w:name w:val="Quote Char"/>
    <w:basedOn w:val="DefaultParagraphFont"/>
    <w:link w:val="Quote"/>
    <w:rsid w:val="00DB0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9B9"/>
    <w:pPr>
      <w:pageBreakBefore/>
    </w:pPr>
  </w:style>
  <w:style w:type="paragraph" w:customStyle="1" w:styleId="Border">
    <w:name w:val="Border"/>
    <w:basedOn w:val="Normal"/>
    <w:qFormat/>
    <w:rsid w:val="00DB0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9B9"/>
    <w:rPr>
      <w:b/>
      <w:bCs/>
      <w:i/>
      <w:iCs/>
      <w:color w:val="auto"/>
    </w:rPr>
  </w:style>
  <w:style w:type="paragraph" w:styleId="IntenseQuote">
    <w:name w:val="Intense Quote"/>
    <w:basedOn w:val="Normal"/>
    <w:next w:val="Normal"/>
    <w:link w:val="IntenseQuoteChar"/>
    <w:uiPriority w:val="30"/>
    <w:qFormat/>
    <w:rsid w:val="00DB0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9B9"/>
    <w:rPr>
      <w:smallCaps/>
      <w:color w:val="auto"/>
      <w:u w:val="single"/>
    </w:rPr>
  </w:style>
  <w:style w:type="character" w:styleId="IntenseReference">
    <w:name w:val="Intense Reference"/>
    <w:basedOn w:val="DefaultParagraphFont"/>
    <w:uiPriority w:val="32"/>
    <w:qFormat/>
    <w:rsid w:val="00DB09B9"/>
    <w:rPr>
      <w:b/>
      <w:bCs/>
      <w:smallCaps/>
      <w:color w:val="auto"/>
      <w:spacing w:val="5"/>
      <w:u w:val="single"/>
    </w:rPr>
  </w:style>
  <w:style w:type="paragraph" w:customStyle="1" w:styleId="2ColumnHeading">
    <w:name w:val="2Column Heading"/>
    <w:basedOn w:val="BodyText"/>
    <w:qFormat/>
    <w:rsid w:val="00DB09B9"/>
    <w:pPr>
      <w:spacing w:after="60"/>
      <w:ind w:left="-2268"/>
    </w:pPr>
    <w:rPr>
      <w:b/>
    </w:rPr>
  </w:style>
  <w:style w:type="paragraph" w:customStyle="1" w:styleId="Heading1TOC">
    <w:name w:val="Heading1 TOC"/>
    <w:basedOn w:val="Normal"/>
    <w:qFormat/>
    <w:rsid w:val="00DB09B9"/>
    <w:pPr>
      <w:spacing w:before="240" w:after="120"/>
    </w:pPr>
    <w:rPr>
      <w:rFonts w:ascii="Times New Roman" w:hAnsi="Times New Roman"/>
      <w:b/>
      <w:sz w:val="32"/>
    </w:rPr>
  </w:style>
  <w:style w:type="paragraph" w:customStyle="1" w:styleId="Heading2TOC">
    <w:name w:val="Heading2 TOC"/>
    <w:basedOn w:val="Normal"/>
    <w:qFormat/>
    <w:rsid w:val="00DB09B9"/>
    <w:pPr>
      <w:spacing w:before="240" w:after="60"/>
    </w:pPr>
    <w:rPr>
      <w:rFonts w:ascii="Times New Roman" w:hAnsi="Times New Roman"/>
      <w:b/>
      <w:sz w:val="28"/>
    </w:rPr>
  </w:style>
  <w:style w:type="character" w:customStyle="1" w:styleId="Underline">
    <w:name w:val="Underline"/>
    <w:basedOn w:val="DefaultParagraphFont"/>
    <w:qFormat/>
    <w:rsid w:val="00DB09B9"/>
    <w:rPr>
      <w:u w:val="single"/>
    </w:rPr>
  </w:style>
  <w:style w:type="character" w:customStyle="1" w:styleId="BoldandItalics">
    <w:name w:val="Bold and Italics"/>
    <w:qFormat/>
    <w:rsid w:val="00DB09B9"/>
    <w:rPr>
      <w:b/>
      <w:i/>
      <w:u w:val="none"/>
    </w:rPr>
  </w:style>
  <w:style w:type="paragraph" w:styleId="BalloonText">
    <w:name w:val="Balloon Text"/>
    <w:basedOn w:val="Normal"/>
    <w:link w:val="BalloonTextChar"/>
    <w:rsid w:val="00DB09B9"/>
    <w:rPr>
      <w:rFonts w:ascii="Tahoma" w:hAnsi="Tahoma" w:cs="Tahoma"/>
      <w:sz w:val="16"/>
      <w:szCs w:val="16"/>
    </w:rPr>
  </w:style>
  <w:style w:type="character" w:customStyle="1" w:styleId="BalloonTextChar">
    <w:name w:val="Balloon Text Char"/>
    <w:basedOn w:val="DefaultParagraphFont"/>
    <w:link w:val="BalloonText"/>
    <w:rsid w:val="00DB0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9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0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9B9"/>
    <w:rPr>
      <w:b/>
      <w:color w:val="660033"/>
      <w:spacing w:val="0"/>
    </w:rPr>
  </w:style>
  <w:style w:type="paragraph" w:customStyle="1" w:styleId="Nameditemlist">
    <w:name w:val="Named item list"/>
    <w:basedOn w:val="BodyText"/>
    <w:qFormat/>
    <w:rsid w:val="00DB09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2748</Words>
  <Characters>17205</Characters>
  <Application>Microsoft Office Word</Application>
  <DocSecurity>0</DocSecurity>
  <Lines>698</Lines>
  <Paragraphs>284</Paragraphs>
  <ScaleCrop>false</ScaleCrop>
  <Company>Author-it Software Corporation Ltd.</Company>
  <LinksUpToDate>false</LinksUpToDate>
  <CharactersWithSpaces>19766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UETTDRVC32A Use specialised plant to cut vegetation above ground level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2012-10-01T04:32:00Z</dcterms:created>
  <dcterms:modified xsi:type="dcterms:W3CDTF">2012-10-01T04:32:00Z</dcterms:modified>
</cp:coreProperties>
</file>