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498" w:rsidP="00BB7498">
      <w:pPr>
        <w:pStyle w:val="Title"/>
      </w:pPr>
      <w:r>
        <w:fldChar w:fldCharType="begin"/>
      </w:r>
      <w:r>
        <w:instrText xml:space="preserve"> TITLE   \* MERGEFORMAT </w:instrText>
      </w:r>
      <w:r>
        <w:fldChar w:fldCharType="separate"/>
      </w:r>
      <w:r>
        <w:t>UETTDRVC30A Coordinate vegetation control operations</w:t>
      </w:r>
      <w:r>
        <w:fldChar w:fldCharType="end"/>
      </w:r>
    </w:p>
    <w:p w:rsidR="00BB7498" w:rsidP="00BB7498">
      <w:pPr>
        <w:pStyle w:val="Version"/>
        <w:sectPr w:rsidSect="00B973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3F1" w:rsidP="00B973F1">
      <w:pPr>
        <w:pStyle w:val="SuperHeading"/>
      </w:pPr>
      <w:r w:rsidRPr="00B973F1">
        <w:t>UETTDRVC30A Coordinate vegetation control operations</w:t>
      </w:r>
    </w:p>
    <w:p w:rsidR="00000000" w:rsidRPr="00B973F1" w:rsidP="00B973F1">
      <w:pPr>
        <w:pStyle w:val="Heading1"/>
      </w:pPr>
      <w:bookmarkStart w:id="1" w:name="O_457594"/>
      <w:bookmarkEnd w:id="1"/>
      <w:r w:rsidRPr="00B973F1">
        <w:t>Modification History</w:t>
      </w:r>
    </w:p>
    <w:p w:rsidR="00000000" w:rsidRPr="00B973F1" w:rsidP="00B973F1">
      <w:pPr>
        <w:pStyle w:val="BodyText"/>
      </w:pPr>
      <w:r w:rsidRPr="00B973F1">
        <w:t>Not applicable.</w:t>
      </w:r>
    </w:p>
    <w:p w:rsidR="00000000" w:rsidRPr="00B973F1" w:rsidP="00B973F1">
      <w:pPr>
        <w:pStyle w:val="AllowPageBreak"/>
      </w:pPr>
    </w:p>
    <w:p w:rsidR="00000000" w:rsidRPr="00B973F1" w:rsidP="00B973F1">
      <w:pPr>
        <w:pStyle w:val="Heading1"/>
      </w:pPr>
      <w:bookmarkStart w:id="2" w:name="O_457592"/>
      <w:bookmarkEnd w:id="2"/>
      <w:r w:rsidRPr="00B973F1">
        <w:t>Unit Descriptor</w:t>
      </w:r>
    </w:p>
    <w:tbl>
      <w:tblPr>
        <w:tblW w:w="0" w:type="auto"/>
        <w:tblLayout w:type="fixed"/>
        <w:tblCellMar>
          <w:left w:w="62" w:type="dxa"/>
          <w:right w:w="62" w:type="dxa"/>
        </w:tblCellMar>
        <w:tblLook w:val="0000"/>
      </w:tblPr>
      <w:tblGrid>
        <w:gridCol w:w="2700"/>
        <w:gridCol w:w="5760"/>
      </w:tblGrid>
      <w:tr w:rsidTr="00BB74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1)</w:t>
            </w:r>
            <w:r w:rsidRPr="00B973F1">
              <w:t xml:space="preserve"> </w:t>
            </w:r>
            <w:r w:rsidRPr="00B973F1">
              <w:rPr>
                <w:rStyle w:val="SpecialBold"/>
              </w:rPr>
              <w:t>Scope:</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73F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1.1) Descriptor</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t>This Competency Standard Unit covers the coordination and implementation of continuous vegetation control and takes into account, arboreal regeneration, environmental issues and liaison and consultation procedures with, appropriate government agencies, pro</w:t>
            </w:r>
            <w:r w:rsidRPr="00B973F1">
              <w:t>perty owners and environmental groups. It also encompasses conducting and/or contributing to public education processes and legislation issues.</w:t>
            </w:r>
          </w:p>
        </w:tc>
      </w:tr>
    </w:tbl>
    <w:p w:rsidR="00000000" w:rsidRPr="00B973F1" w:rsidP="00B973F1">
      <w:pPr>
        <w:pStyle w:val="BodyText"/>
      </w:pPr>
    </w:p>
    <w:p w:rsidR="00000000" w:rsidRPr="00B973F1" w:rsidP="00B973F1">
      <w:pPr>
        <w:pStyle w:val="AllowPageBreak"/>
      </w:pPr>
    </w:p>
    <w:p w:rsidR="00000000" w:rsidRPr="00B973F1" w:rsidP="00B973F1">
      <w:pPr>
        <w:pStyle w:val="Heading1"/>
      </w:pPr>
      <w:bookmarkStart w:id="3" w:name="O_457581"/>
      <w:bookmarkEnd w:id="3"/>
      <w:r w:rsidRPr="00B973F1">
        <w:t>Application of the Unit</w:t>
      </w:r>
    </w:p>
    <w:tbl>
      <w:tblPr>
        <w:tblW w:w="0" w:type="auto"/>
        <w:tblLayout w:type="fixed"/>
        <w:tblCellMar>
          <w:left w:w="62" w:type="dxa"/>
          <w:right w:w="62" w:type="dxa"/>
        </w:tblCellMar>
        <w:tblLook w:val="0000"/>
      </w:tblPr>
      <w:tblGrid>
        <w:gridCol w:w="2672"/>
        <w:gridCol w:w="5699"/>
      </w:tblGrid>
      <w:tr w:rsidTr="00BB749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2)</w:t>
            </w:r>
          </w:p>
        </w:tc>
      </w:tr>
      <w:tr w:rsidTr="00BB749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t>This competency standards unit shall apply to Transmission, Distribution, Rail Traction, Telecommunications and Vegetation Management Control industry sectors.</w:t>
            </w:r>
          </w:p>
        </w:tc>
      </w:tr>
    </w:tbl>
    <w:p w:rsidR="00000000" w:rsidRPr="00B973F1" w:rsidP="00B973F1">
      <w:pPr>
        <w:pStyle w:val="BodyText"/>
      </w:pPr>
    </w:p>
    <w:p w:rsidR="00000000" w:rsidRPr="00B973F1" w:rsidP="00B973F1">
      <w:pPr>
        <w:pStyle w:val="AllowPageBreak"/>
      </w:pPr>
    </w:p>
    <w:p w:rsidR="00000000" w:rsidRPr="00B973F1" w:rsidP="00B973F1">
      <w:pPr>
        <w:pStyle w:val="Heading1"/>
      </w:pPr>
      <w:bookmarkStart w:id="4" w:name="O_457588"/>
      <w:bookmarkEnd w:id="4"/>
      <w:r w:rsidRPr="00B973F1">
        <w:t>Licensing/Regulatory Information</w:t>
      </w:r>
    </w:p>
    <w:tbl>
      <w:tblPr>
        <w:tblW w:w="0" w:type="auto"/>
        <w:tblLayout w:type="fixed"/>
        <w:tblCellMar>
          <w:left w:w="62" w:type="dxa"/>
          <w:right w:w="62" w:type="dxa"/>
        </w:tblCellMar>
        <w:tblLook w:val="0000"/>
      </w:tblPr>
      <w:tblGrid>
        <w:gridCol w:w="2700"/>
        <w:gridCol w:w="5760"/>
      </w:tblGrid>
      <w:tr w:rsidTr="00BB74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 xml:space="preserve">3) </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t>The skills and kno</w:t>
            </w:r>
            <w:r w:rsidRPr="00B973F1">
              <w:t>wledge described in this unit may only be practiced under the regulations pertaining to each State and Territory for the safe planning for the removal of vegetation around live powerlines up to the live work zone including near live electrical apparatus, a</w:t>
            </w:r>
            <w:r w:rsidRPr="00B973F1">
              <w:t>nd regulations that directly relate to Occupational Health and Safety and/or contracts of training where they apply.</w:t>
            </w:r>
          </w:p>
        </w:tc>
      </w:tr>
    </w:tbl>
    <w:p w:rsidR="00000000" w:rsidRPr="00B973F1" w:rsidP="00B973F1">
      <w:pPr>
        <w:pStyle w:val="BodyText"/>
      </w:pPr>
    </w:p>
    <w:p w:rsidR="00000000" w:rsidRPr="00B973F1" w:rsidP="00B973F1">
      <w:pPr>
        <w:pStyle w:val="AllowPageBreak"/>
      </w:pPr>
    </w:p>
    <w:p w:rsidR="00000000" w:rsidRPr="00B973F1" w:rsidP="00B973F1">
      <w:pPr>
        <w:pStyle w:val="Heading1"/>
      </w:pPr>
      <w:bookmarkStart w:id="5" w:name="O_457589"/>
      <w:bookmarkEnd w:id="5"/>
      <w:r w:rsidRPr="00B973F1">
        <w:t>Pre-Requisites</w:t>
      </w:r>
    </w:p>
    <w:tbl>
      <w:tblPr>
        <w:tblW w:w="0" w:type="auto"/>
        <w:tblLayout w:type="fixed"/>
        <w:tblCellMar>
          <w:left w:w="62" w:type="dxa"/>
          <w:right w:w="62" w:type="dxa"/>
        </w:tblCellMar>
        <w:tblLook w:val="0000"/>
      </w:tblPr>
      <w:tblGrid>
        <w:gridCol w:w="2700"/>
        <w:gridCol w:w="1800"/>
        <w:gridCol w:w="3960"/>
      </w:tblGrid>
      <w:tr w:rsidTr="00BB74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 xml:space="preserve">4) </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4.1)</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t>Granting of competency in this unit shall be made only after competency in the following unit(s) has/have been confirmed.</w:t>
            </w:r>
          </w:p>
          <w:p w:rsidR="00000000" w:rsidRPr="00B973F1" w:rsidP="00B973F1">
            <w:pPr>
              <w:pStyle w:val="BodyText"/>
            </w:pPr>
            <w:r w:rsidRPr="00B973F1">
              <w:t xml:space="preserve">Where pre-requisite pathways have been identified. All competencies in the Common Unit Group must be have been completed plus all the </w:t>
            </w:r>
            <w:r w:rsidRPr="00B973F1">
              <w:t>competencies in one (1) of the identified Pathway Unit Group(s):</w:t>
            </w:r>
          </w:p>
          <w:p w:rsidR="00000000" w:rsidP="00B973F1">
            <w:pPr>
              <w:pStyle w:val="BodyText"/>
              <w:rPr>
                <w:lang w:val="en-NZ"/>
              </w:rPr>
            </w:pPr>
            <w:r w:rsidRPr="00B973F1">
              <w:t>Common Unit Group</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Unit Code</w:t>
            </w:r>
          </w:p>
        </w:tc>
        <w:tc>
          <w:tcPr>
            <w:tcW w:w="396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Unit Title</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973F1">
            <w:pPr>
              <w:pStyle w:val="BodyText"/>
              <w:rPr>
                <w:lang w:val="en-NZ"/>
              </w:rPr>
            </w:pPr>
            <w:r w:rsidRPr="00B973F1">
              <w:t>UEENEEE101A</w:t>
            </w:r>
          </w:p>
        </w:tc>
        <w:tc>
          <w:tcPr>
            <w:tcW w:w="3960" w:type="dxa"/>
            <w:tcBorders>
              <w:top w:val="nil"/>
              <w:left w:val="nil"/>
              <w:bottom w:val="nil"/>
              <w:right w:val="nil"/>
            </w:tcBorders>
            <w:tcMar>
              <w:top w:w="0" w:type="dxa"/>
              <w:left w:w="62" w:type="dxa"/>
              <w:bottom w:w="0" w:type="dxa"/>
              <w:right w:w="62" w:type="dxa"/>
            </w:tcMar>
            <w:vAlign w:val="center"/>
          </w:tcPr>
          <w:p w:rsidR="00000000" w:rsidP="00B973F1">
            <w:pPr>
              <w:pStyle w:val="BodyText"/>
              <w:rPr>
                <w:lang w:val="en-NZ"/>
              </w:rPr>
            </w:pPr>
            <w:r w:rsidRPr="00B973F1">
              <w:t>Apply Occupational Health and Safety regulations, codes and practices in the workplace</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973F1">
            <w:pPr>
              <w:pStyle w:val="BodyText"/>
              <w:rPr>
                <w:lang w:val="en-NZ"/>
              </w:rPr>
            </w:pPr>
            <w:r w:rsidRPr="00B973F1">
              <w:t>UETTDREL11A</w:t>
            </w:r>
          </w:p>
        </w:tc>
        <w:tc>
          <w:tcPr>
            <w:tcW w:w="3960" w:type="dxa"/>
            <w:tcBorders>
              <w:top w:val="nil"/>
              <w:left w:val="nil"/>
              <w:bottom w:val="nil"/>
              <w:right w:val="nil"/>
            </w:tcBorders>
            <w:tcMar>
              <w:top w:w="0" w:type="dxa"/>
              <w:left w:w="62" w:type="dxa"/>
              <w:bottom w:w="0" w:type="dxa"/>
              <w:right w:w="62" w:type="dxa"/>
            </w:tcMar>
            <w:vAlign w:val="center"/>
          </w:tcPr>
          <w:p w:rsidR="00000000" w:rsidP="00B973F1">
            <w:pPr>
              <w:pStyle w:val="BodyText"/>
              <w:rPr>
                <w:lang w:val="en-NZ"/>
              </w:rPr>
            </w:pPr>
            <w:r w:rsidRPr="00B973F1">
              <w:t xml:space="preserve">Apply sustainable energy and environmental procedures </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973F1">
            <w:pPr>
              <w:pStyle w:val="BodyText"/>
              <w:rPr>
                <w:lang w:val="en-NZ"/>
              </w:rPr>
            </w:pPr>
            <w:r w:rsidRPr="00B973F1">
              <w:t>UETTDREL16A</w:t>
            </w:r>
          </w:p>
        </w:tc>
        <w:tc>
          <w:tcPr>
            <w:tcW w:w="3960" w:type="dxa"/>
            <w:tcBorders>
              <w:top w:val="nil"/>
              <w:left w:val="nil"/>
              <w:bottom w:val="nil"/>
              <w:right w:val="nil"/>
            </w:tcBorders>
            <w:tcMar>
              <w:top w:w="0" w:type="dxa"/>
              <w:left w:w="62" w:type="dxa"/>
              <w:bottom w:w="0" w:type="dxa"/>
              <w:right w:w="62" w:type="dxa"/>
            </w:tcMar>
            <w:vAlign w:val="center"/>
          </w:tcPr>
          <w:p w:rsidR="00000000" w:rsidP="00B973F1">
            <w:pPr>
              <w:pStyle w:val="BodyText"/>
              <w:rPr>
                <w:lang w:val="en-NZ"/>
              </w:rPr>
            </w:pPr>
            <w:r w:rsidRPr="00B973F1">
              <w:t xml:space="preserve">Working safely near live electrical apparatus </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973F1">
            <w:pPr>
              <w:pStyle w:val="BodyText"/>
              <w:rPr>
                <w:lang w:val="en-NZ"/>
              </w:rPr>
            </w:pPr>
            <w:r w:rsidRPr="00B973F1">
              <w:t>UETTDRIS62A</w:t>
            </w:r>
          </w:p>
        </w:tc>
        <w:tc>
          <w:tcPr>
            <w:tcW w:w="3960" w:type="dxa"/>
            <w:tcBorders>
              <w:top w:val="nil"/>
              <w:left w:val="nil"/>
              <w:bottom w:val="nil"/>
              <w:right w:val="nil"/>
            </w:tcBorders>
            <w:tcMar>
              <w:top w:w="0" w:type="dxa"/>
              <w:left w:w="62" w:type="dxa"/>
              <w:bottom w:w="0" w:type="dxa"/>
              <w:right w:w="62" w:type="dxa"/>
            </w:tcMar>
            <w:vAlign w:val="center"/>
          </w:tcPr>
          <w:p w:rsidR="00000000" w:rsidP="00B973F1">
            <w:pPr>
              <w:pStyle w:val="BodyText"/>
              <w:rPr>
                <w:lang w:val="en-NZ"/>
              </w:rPr>
            </w:pPr>
            <w:r w:rsidRPr="00B973F1">
              <w:t>Implement and monitor the organisation’s OHS policies, programs and procedures</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973F1">
            <w:pPr>
              <w:pStyle w:val="BodyText"/>
              <w:rPr>
                <w:lang w:val="en-NZ"/>
              </w:rPr>
            </w:pPr>
            <w:r w:rsidRPr="00B973F1">
              <w:t>UETTDRIS63A</w:t>
            </w:r>
          </w:p>
        </w:tc>
        <w:tc>
          <w:tcPr>
            <w:tcW w:w="3960" w:type="dxa"/>
            <w:tcBorders>
              <w:top w:val="nil"/>
              <w:left w:val="nil"/>
              <w:bottom w:val="nil"/>
              <w:right w:val="nil"/>
            </w:tcBorders>
            <w:tcMar>
              <w:top w:w="0" w:type="dxa"/>
              <w:left w:w="62" w:type="dxa"/>
              <w:bottom w:w="0" w:type="dxa"/>
              <w:right w:w="62" w:type="dxa"/>
            </w:tcMar>
            <w:vAlign w:val="center"/>
          </w:tcPr>
          <w:p w:rsidR="00000000" w:rsidRPr="00B973F1" w:rsidP="00B973F1">
            <w:pPr>
              <w:pStyle w:val="BodyText"/>
            </w:pPr>
            <w:r w:rsidRPr="00B973F1">
              <w:t>Implement and monitor sustainable</w:t>
            </w:r>
            <w:r w:rsidRPr="00B973F1">
              <w:t xml:space="preserve"> and environmental energy management policies and procedures</w:t>
            </w:r>
          </w:p>
        </w:tc>
      </w:tr>
    </w:tbl>
    <w:p w:rsidR="00000000" w:rsidRPr="00B973F1" w:rsidP="00B973F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B749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 xml:space="preserve">4.2) </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 xml:space="preserve">Participants are best equipped to achieve this unit if they have reading, writing and numeracy skills indicated by the following scales. Description </w:t>
            </w:r>
            <w:r w:rsidRPr="00B973F1">
              <w:t>of each scale is given in Volume 2, Part 3 “Literacy and Numeracy”</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Reading</w:t>
            </w:r>
          </w:p>
        </w:tc>
        <w:tc>
          <w:tcPr>
            <w:tcW w:w="81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4</w:t>
            </w:r>
          </w:p>
        </w:tc>
        <w:tc>
          <w:tcPr>
            <w:tcW w:w="99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Writing</w:t>
            </w:r>
          </w:p>
        </w:tc>
        <w:tc>
          <w:tcPr>
            <w:tcW w:w="90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4</w:t>
            </w:r>
          </w:p>
        </w:tc>
        <w:tc>
          <w:tcPr>
            <w:tcW w:w="126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Numeracy</w:t>
            </w:r>
          </w:p>
        </w:tc>
        <w:tc>
          <w:tcPr>
            <w:tcW w:w="72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t>4</w:t>
            </w:r>
          </w:p>
        </w:tc>
      </w:tr>
    </w:tbl>
    <w:p w:rsidR="00000000" w:rsidRPr="00B973F1" w:rsidP="00B973F1">
      <w:pPr>
        <w:pStyle w:val="BodyText"/>
      </w:pPr>
    </w:p>
    <w:p w:rsidR="00000000" w:rsidRPr="00B973F1" w:rsidP="00B973F1">
      <w:pPr>
        <w:pStyle w:val="AllowPageBreak"/>
      </w:pPr>
    </w:p>
    <w:p w:rsidR="00000000" w:rsidRPr="00B973F1" w:rsidP="00B973F1">
      <w:pPr>
        <w:pStyle w:val="Heading1"/>
      </w:pPr>
      <w:bookmarkStart w:id="6" w:name="O_457585"/>
      <w:bookmarkEnd w:id="6"/>
      <w:r w:rsidRPr="00B973F1">
        <w:t>Employability Skills Information</w:t>
      </w:r>
    </w:p>
    <w:tbl>
      <w:tblPr>
        <w:tblW w:w="0" w:type="auto"/>
        <w:tblLayout w:type="fixed"/>
        <w:tblCellMar>
          <w:left w:w="62" w:type="dxa"/>
          <w:right w:w="62" w:type="dxa"/>
        </w:tblCellMar>
        <w:tblLook w:val="0000"/>
      </w:tblPr>
      <w:tblGrid>
        <w:gridCol w:w="2700"/>
        <w:gridCol w:w="5760"/>
      </w:tblGrid>
      <w:tr w:rsidTr="00BB74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 xml:space="preserve">5) </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973F1">
              <w:t>requirements.</w:t>
            </w:r>
          </w:p>
        </w:tc>
      </w:tr>
    </w:tbl>
    <w:p w:rsidR="00000000" w:rsidRPr="00B973F1" w:rsidP="00B973F1">
      <w:pPr>
        <w:pStyle w:val="BodyText"/>
      </w:pPr>
    </w:p>
    <w:p w:rsidR="00000000" w:rsidRPr="00B973F1" w:rsidP="00B973F1">
      <w:pPr>
        <w:pStyle w:val="AllowPageBreak"/>
      </w:pPr>
    </w:p>
    <w:p w:rsidR="00000000" w:rsidRPr="00B973F1" w:rsidP="00B973F1">
      <w:pPr>
        <w:pStyle w:val="Heading1"/>
      </w:pPr>
      <w:bookmarkStart w:id="7" w:name="O_457584"/>
      <w:bookmarkEnd w:id="7"/>
      <w:r w:rsidRPr="00B973F1">
        <w:t>Elements and Performance Criteria Pre-Content</w:t>
      </w:r>
    </w:p>
    <w:tbl>
      <w:tblPr>
        <w:tblW w:w="0" w:type="auto"/>
        <w:tblLayout w:type="fixed"/>
        <w:tblCellMar>
          <w:left w:w="62" w:type="dxa"/>
          <w:right w:w="62" w:type="dxa"/>
        </w:tblCellMar>
        <w:tblLook w:val="0000"/>
      </w:tblPr>
      <w:tblGrid>
        <w:gridCol w:w="2700"/>
        <w:gridCol w:w="5760"/>
      </w:tblGrid>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6)</w:t>
            </w:r>
            <w:r w:rsidRPr="00B973F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t>Performance Criteria describe the required performance needed to demonstrate achievement of the element. Assessment of performance is to be consistent with the Evidence Guide.</w:t>
            </w:r>
          </w:p>
        </w:tc>
      </w:tr>
    </w:tbl>
    <w:p w:rsidR="00000000" w:rsidRPr="00B973F1" w:rsidP="00B973F1">
      <w:pPr>
        <w:pStyle w:val="BodyText"/>
      </w:pPr>
    </w:p>
    <w:p w:rsidR="00000000" w:rsidRPr="00B973F1" w:rsidP="00B973F1">
      <w:pPr>
        <w:pStyle w:val="AllowPageBreak"/>
      </w:pPr>
    </w:p>
    <w:p w:rsidR="00000000" w:rsidRPr="00B973F1" w:rsidP="00B973F1">
      <w:pPr>
        <w:pStyle w:val="Heading1"/>
      </w:pPr>
      <w:bookmarkStart w:id="8" w:name="O_457583"/>
      <w:bookmarkEnd w:id="8"/>
      <w:r w:rsidRPr="00B973F1">
        <w:t>Elements and Performance Criteria</w:t>
      </w:r>
    </w:p>
    <w:tbl>
      <w:tblPr>
        <w:tblW w:w="0" w:type="auto"/>
        <w:tblLayout w:type="fixed"/>
        <w:tblCellMar>
          <w:left w:w="62" w:type="dxa"/>
          <w:right w:w="62" w:type="dxa"/>
        </w:tblCellMar>
        <w:tblLook w:val="0000"/>
      </w:tblPr>
      <w:tblGrid>
        <w:gridCol w:w="408"/>
        <w:gridCol w:w="2292"/>
        <w:gridCol w:w="847"/>
        <w:gridCol w:w="4913"/>
      </w:tblGrid>
      <w:tr w:rsidTr="00BB749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PERFORMANCE CRITER</w:t>
            </w:r>
            <w:r w:rsidRPr="00B973F1">
              <w:rPr>
                <w:rStyle w:val="SpecialBold"/>
              </w:rPr>
              <w:t>IA</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1</w:t>
            </w:r>
          </w:p>
        </w:tc>
        <w:tc>
          <w:tcPr>
            <w:tcW w:w="2292"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Prepare/plan to coordinate vegetation control work</w:t>
            </w: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1.1</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 xml:space="preserve">Works schedule(s), including drawings, plans, requirements, established procedures, and material lists, are obtained, analysed, if necessary, </w:t>
            </w:r>
            <w:r w:rsidRPr="00B973F1">
              <w:t>by site inspection and the extent of the preparation of the work determined for planning and coordination.</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1.2</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Work is prioritised and sequenced for the most efficient and effective outcome following consultation with others for completion within accept</w:t>
            </w:r>
            <w:r w:rsidRPr="00B973F1">
              <w:t>able timeframes, to a quality standard and in accordance with established procedures.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1.3</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Risk control measures are identified, prioritised and evaluated against the work schedule.</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1.4</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Relevant requirements and established procedures for the work are to all personnel and identified for all work sites.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1.5</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Hazards are identified, OHS risks assessed and control measures are prioritised, implemented and monitored including emergency exit</w:t>
            </w:r>
            <w:r w:rsidRPr="00B973F1">
              <w:t>s kept clear, to ensure safe systems of work are followed and according to established procedures.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1.6</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Relevant work permits are secured to coordinate the performance of work according to requirements and/or established procedures.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1.7</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Resources incl</w:t>
            </w:r>
            <w:r w:rsidRPr="00B973F1">
              <w:t>uding personnel, equipment, tools and personal protective equipment required for the job are identified, scheduled and coordinated and confirmed in a safe and technical working order.</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1.8</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Clients/Customers are pr</w:t>
            </w:r>
            <w:r w:rsidRPr="00B973F1">
              <w:t>ovided with possible solutions and/or options within the scope, acceptable cost and requirements.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1.9</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Liaison and communication issues with other/authorised personnel, authorities, clients and land owners are resolved and activities coordinated to carry</w:t>
            </w:r>
            <w:r w:rsidRPr="00B973F1">
              <w:t xml:space="preserve"> out work.</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1.10</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Personnel participating in the work, including plant operators and contractors, are fully briefed and respective responsibilities coordinated and authorised where applicable in accordance with established procedures.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1.11</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Site is prep</w:t>
            </w:r>
            <w:r w:rsidRPr="00B973F1">
              <w:t>ared according to the work schedule and to minimise risk and damage to property, commerce, and individuals in accordance with established procedures.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1.12</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Positioning of road signs, barriers and warning devices is planned in accordance with requirements.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2</w:t>
            </w:r>
          </w:p>
        </w:tc>
        <w:tc>
          <w:tcPr>
            <w:tcW w:w="2292"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Carry out the coordination of vegetation control work</w:t>
            </w: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2.1</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OHS and sustainable energy principles and practices to reduce the incidents of accidents and mi</w:t>
            </w:r>
            <w:r w:rsidRPr="00B973F1">
              <w:t>nimise waste are monitored and actioned in accordance with requirements and/or established procedures.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2.2</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First Aid, Pole Top Rescue and other related work procedures are performed according to requirements and/or established procedures.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2.3</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Lifting</w:t>
            </w:r>
            <w:r w:rsidRPr="00B973F1">
              <w:t>, climbing, working aloft, and use of power tools/equipment, techniques and practices are safely exercised according to requirements.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2.4</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Hazard warnings and safety signs are recognised and hazards and assessed OHS risks are reported to the immediate au</w:t>
            </w:r>
            <w:r w:rsidRPr="00B973F1">
              <w:t>thorised persons for directions according to established procedures.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2.5</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Remedial actions are taken to overcome any shortfalls encountered in the work schedule according to requirements and/or established procedures.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2.6</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Coordination of vegetation control work is carried out, in accordance with the work schedule and requirements and/or established procedures.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2.7</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Essential knowledge and associated skills are applied in the safe coordination of vegetation control work to</w:t>
            </w:r>
            <w:r w:rsidRPr="00B973F1">
              <w:t xml:space="preserve"> ensure completion in an agreed timeframe and, to quality standards with a minimum of waste according to requirements.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2.8</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Solutions to non-routine problems are identified and actioned using acquired essential knowledge and associated skills according t</w:t>
            </w:r>
            <w:r w:rsidRPr="00B973F1">
              <w:t>o requirements.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2.9</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Ongoing checks of quality of the work are undertaken in accordance with requirements and established procedures to ensure a quality like outcome is achieved for the client/customer and to a community/industry standard.</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3</w:t>
            </w:r>
          </w:p>
        </w:tc>
        <w:tc>
          <w:tcPr>
            <w:tcW w:w="2292"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Complete the coordination of vegetation control work</w:t>
            </w: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3.1</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Work undertaken is checked against works schedule for conformance with requirements, anomalies reported and solutions identified in accordance with established procedures.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3.2</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Accidents and/or inj</w:t>
            </w:r>
            <w:r w:rsidRPr="00B973F1">
              <w:t>uries are reported and followed up in accordance with requirements/established procedures.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3.3</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Work site is rehabilitated, cleaned up and confirmed safe in accordance with established procedures.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3.4</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Tools, equipment and any surplus resources and mat</w:t>
            </w:r>
            <w:r w:rsidRPr="00B973F1">
              <w:t>erials are, where appropriate, cleaned, checked and returned to storage in accordance with established procedures.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3.5</w:t>
            </w:r>
          </w:p>
        </w:tc>
        <w:tc>
          <w:tcPr>
            <w:tcW w:w="4913"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Relevant work permit(s) are signed off and are returned to service and advised to client/customer in accordance with requirements.</w:t>
            </w:r>
          </w:p>
        </w:tc>
      </w:tr>
      <w:tr w:rsidTr="00BB7498">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t>3.6</w:t>
            </w:r>
          </w:p>
        </w:tc>
        <w:tc>
          <w:tcPr>
            <w:tcW w:w="4913"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t>Works completion records, reports, as installed /modified drawing(s) and/or documentation and information are confirmed, processed and appropriate personnel notified.</w:t>
            </w:r>
          </w:p>
        </w:tc>
      </w:tr>
    </w:tbl>
    <w:p w:rsidR="00000000" w:rsidRPr="00B973F1" w:rsidP="00B973F1">
      <w:pPr>
        <w:pStyle w:val="BodyText"/>
      </w:pPr>
    </w:p>
    <w:p w:rsidR="00000000" w:rsidRPr="00B973F1" w:rsidP="00B973F1">
      <w:pPr>
        <w:pStyle w:val="AllowPageBreak"/>
      </w:pPr>
    </w:p>
    <w:p w:rsidR="00000000" w:rsidRPr="00B973F1" w:rsidP="00B973F1">
      <w:pPr>
        <w:pStyle w:val="Heading1"/>
      </w:pPr>
      <w:bookmarkStart w:id="9" w:name="O_457591"/>
      <w:bookmarkEnd w:id="9"/>
      <w:r w:rsidRPr="00B973F1">
        <w:t>Required Skills and Knowledge</w:t>
      </w:r>
    </w:p>
    <w:tbl>
      <w:tblPr>
        <w:tblW w:w="0" w:type="auto"/>
        <w:tblLayout w:type="fixed"/>
        <w:tblCellMar>
          <w:left w:w="62" w:type="dxa"/>
          <w:right w:w="62" w:type="dxa"/>
        </w:tblCellMar>
        <w:tblLook w:val="0000"/>
      </w:tblPr>
      <w:tblGrid>
        <w:gridCol w:w="8460"/>
      </w:tblGrid>
      <w:tr w:rsidTr="00BB749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REQUIRED SKILLS AND KNOWLEDGE</w:t>
            </w:r>
          </w:p>
        </w:tc>
      </w:tr>
      <w:tr w:rsidTr="00BB7498">
        <w:tblPrEx>
          <w:tblW w:w="0" w:type="auto"/>
          <w:tblLayout w:type="fixed"/>
          <w:tblCellMar>
            <w:left w:w="62" w:type="dxa"/>
            <w:right w:w="62" w:type="dxa"/>
          </w:tblCellMar>
          <w:tblLook w:val="0000"/>
        </w:tblPrEx>
        <w:trPr>
          <w:trHeight w:val="2529"/>
        </w:trPr>
        <w:tc>
          <w:tcPr>
            <w:tcW w:w="846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8)</w:t>
            </w:r>
            <w:r w:rsidRPr="00B973F1">
              <w:t xml:space="preserve"> Essential Knowledge and Associated Skills (EKAS): This describes the essential skills and knowledge and their level, required for this unit.</w:t>
            </w:r>
          </w:p>
          <w:p w:rsidR="00000000" w:rsidRPr="00B973F1" w:rsidP="00B973F1">
            <w:pPr>
              <w:pStyle w:val="BodyText"/>
            </w:pPr>
            <w:r w:rsidRPr="00B973F1">
              <w:t xml:space="preserve">Evidence shall show that knowledge has been acquired of coordinating vegetation control work. </w:t>
            </w:r>
          </w:p>
          <w:p w:rsidR="00000000" w:rsidRPr="00B973F1" w:rsidP="00B973F1">
            <w:pPr>
              <w:pStyle w:val="BodyText"/>
            </w:pPr>
            <w:r w:rsidRPr="00B973F1">
              <w:t>All knowledge and s</w:t>
            </w:r>
            <w:r w:rsidRPr="00B973F1">
              <w:t>kills detailed in this unit should be contextualised to current industry practices and technologies.</w:t>
            </w:r>
          </w:p>
          <w:p w:rsidR="00000000" w:rsidRPr="00B973F1" w:rsidP="00B973F1">
            <w:pPr>
              <w:pStyle w:val="BodyText"/>
            </w:pPr>
            <w:r w:rsidRPr="00B973F1">
              <w:t xml:space="preserve">KS01-TVC30A </w:t>
            </w:r>
            <w:r w:rsidRPr="00B973F1">
              <w:tab/>
              <w:t>ESI vegetation control operation coordination</w:t>
            </w:r>
          </w:p>
          <w:p w:rsidR="00000000" w:rsidRPr="00B973F1" w:rsidP="00B973F1">
            <w:pPr>
              <w:pStyle w:val="BodyText"/>
            </w:pPr>
            <w:r w:rsidRPr="00B973F1">
              <w:t xml:space="preserve">Evidence shall show an understanding of vegetation control operations coordination to an extent </w:t>
            </w:r>
            <w:r w:rsidRPr="00B973F1">
              <w:t>indicated by the following aspects:</w:t>
            </w:r>
          </w:p>
          <w:p w:rsidR="00000000" w:rsidRPr="00B973F1" w:rsidP="00B973F1">
            <w:pPr>
              <w:pStyle w:val="BodyText"/>
            </w:pPr>
            <w:r w:rsidRPr="00B973F1">
              <w:t>T1</w:t>
            </w:r>
            <w:r w:rsidRPr="00B973F1">
              <w:tab/>
              <w:t>Principles of high voltage encompassing:</w:t>
            </w:r>
          </w:p>
          <w:p w:rsidR="00000000" w:rsidRPr="00B973F1" w:rsidP="00B973F1">
            <w:pPr>
              <w:pStyle w:val="ListBullet"/>
            </w:pPr>
            <w:r w:rsidRPr="00B973F1">
              <w:t>Commonwealth/State/Territory legislation, Standards, codes, Commonwealth/State/Territory legislation, supply authority regulations and or enterprise requirements associated wi</w:t>
            </w:r>
            <w:r w:rsidRPr="00B973F1">
              <w:t>th working on or near High Voltage</w:t>
            </w:r>
          </w:p>
          <w:p w:rsidR="00000000" w:rsidRPr="00B973F1" w:rsidP="00B973F1">
            <w:pPr>
              <w:pStyle w:val="ListBullet"/>
            </w:pPr>
            <w:r w:rsidRPr="00B973F1">
              <w:t>Electrical and electrostatic principles related to high voltage lines - relationship of current, voltage and resistance as related to transmission lines, relationship of phase voltage and respective line voltages.</w:t>
            </w:r>
          </w:p>
          <w:p w:rsidR="00000000" w:rsidRPr="00B973F1" w:rsidP="00B973F1">
            <w:pPr>
              <w:pStyle w:val="ListBullet"/>
            </w:pPr>
            <w:r w:rsidRPr="00B973F1">
              <w:t>Product</w:t>
            </w:r>
            <w:r w:rsidRPr="00B973F1">
              <w:t>ion of an electric field – units, effect of distance, potential of an object within the field and the effect of distances to the potential.</w:t>
            </w:r>
          </w:p>
          <w:p w:rsidR="00000000" w:rsidRPr="00B973F1" w:rsidP="00B973F1">
            <w:pPr>
              <w:pStyle w:val="ListBullet"/>
            </w:pPr>
            <w:r w:rsidRPr="00B973F1">
              <w:t>HV insulators - construction of a disc insulator, construction of a polymeric insulator, effects of an electrical fi</w:t>
            </w:r>
            <w:r w:rsidRPr="00B973F1">
              <w:t>eld on disc insulators, identification of the number of disc insulators needed for a single line voltage, performance of a failed disc insulator on the line and the system.</w:t>
            </w:r>
          </w:p>
          <w:p w:rsidR="00000000" w:rsidRPr="00B973F1" w:rsidP="00B973F1">
            <w:pPr>
              <w:pStyle w:val="ListBullet"/>
            </w:pPr>
            <w:r w:rsidRPr="00B973F1">
              <w:t xml:space="preserve">Determining the minimum allowable number of discs per string for each line voltage </w:t>
            </w:r>
            <w:r w:rsidRPr="00B973F1">
              <w:t>in the system before bare-hand work is to proceed</w:t>
            </w:r>
          </w:p>
          <w:p w:rsidR="00000000" w:rsidRPr="00B973F1" w:rsidP="00B973F1">
            <w:pPr>
              <w:pStyle w:val="ListBullet"/>
            </w:pPr>
            <w:r w:rsidRPr="00B973F1">
              <w:t>Techniques in detecting a failed disc in a string</w:t>
            </w:r>
          </w:p>
          <w:p w:rsidR="00000000" w:rsidRPr="00B973F1" w:rsidP="00B973F1">
            <w:pPr>
              <w:pStyle w:val="ListBullet"/>
            </w:pPr>
            <w:r w:rsidRPr="00B973F1">
              <w:t>Techniques in using appropriate tools and equipment to test a string</w:t>
            </w:r>
          </w:p>
          <w:p w:rsidR="00000000" w:rsidRPr="00B973F1" w:rsidP="00B973F1">
            <w:pPr>
              <w:pStyle w:val="ListBullet"/>
            </w:pPr>
            <w:r w:rsidRPr="00B973F1">
              <w:t>Methods of recording data</w:t>
            </w:r>
          </w:p>
          <w:p w:rsidR="00000000" w:rsidRPr="00B973F1" w:rsidP="00B973F1">
            <w:pPr>
              <w:pStyle w:val="ListBullet"/>
            </w:pPr>
            <w:r w:rsidRPr="00B973F1">
              <w:t>Effects of electrostatic induction on the human body - relati</w:t>
            </w:r>
            <w:r w:rsidRPr="00B973F1">
              <w:t>onship of the resistance of a human body to different levels of current and voltage, relationship of a human body to an electric field, effects of electrostatic induction on bare-hand work.</w:t>
            </w:r>
          </w:p>
          <w:p w:rsidR="00000000" w:rsidRPr="00B973F1" w:rsidP="00B973F1">
            <w:pPr>
              <w:pStyle w:val="ListBullet"/>
            </w:pPr>
            <w:r w:rsidRPr="00B973F1">
              <w:t>Application of Faraday’</w:t>
            </w:r>
            <w:r w:rsidRPr="00B973F1">
              <w:t>s cage - effects of a body, advantages, description of the Faraday’s cage used by bare-hand live-line workers</w:t>
            </w:r>
          </w:p>
          <w:p w:rsidR="00000000" w:rsidRPr="00B973F1" w:rsidP="00B973F1">
            <w:pPr>
              <w:pStyle w:val="ListBullet"/>
            </w:pPr>
            <w:r w:rsidRPr="00B973F1">
              <w:t>Safety precautions working on or near High Voltage electrical apparatus - safe approach distances from live line, identification of OHS hazards, a</w:t>
            </w:r>
            <w:r w:rsidRPr="00B973F1">
              <w:t>ssessing and controlling risks, types, selection, maintenance, storage and uses of personnel protective equipment, permit to work systems and isolation procedures.</w:t>
            </w:r>
          </w:p>
          <w:p w:rsidR="00000000" w:rsidRPr="00B973F1" w:rsidP="00B973F1">
            <w:pPr>
              <w:pStyle w:val="ListBullet"/>
            </w:pPr>
            <w:r w:rsidRPr="00B973F1">
              <w:t>Types and function of specialised live working equipment</w:t>
            </w:r>
          </w:p>
          <w:p w:rsidR="00000000" w:rsidRPr="00B973F1" w:rsidP="00B973F1">
            <w:pPr>
              <w:pStyle w:val="ListBullet"/>
            </w:pPr>
            <w:r w:rsidRPr="00B973F1">
              <w:t>Safe working policies, procedures a</w:t>
            </w:r>
            <w:r w:rsidRPr="00B973F1">
              <w:t>nd practices when using and operating specialised equipment</w:t>
            </w:r>
          </w:p>
          <w:p w:rsidR="00000000" w:rsidRPr="00B973F1" w:rsidP="00B973F1">
            <w:pPr>
              <w:pStyle w:val="ListBullet"/>
            </w:pPr>
            <w:r w:rsidRPr="00B973F1">
              <w:t>Methods of using specialised equipment</w:t>
            </w:r>
          </w:p>
          <w:p w:rsidR="00000000" w:rsidRPr="00B973F1" w:rsidP="00B973F1">
            <w:pPr>
              <w:pStyle w:val="ListBullet"/>
            </w:pPr>
            <w:r w:rsidRPr="00B973F1">
              <w:t>Emergency response and rescue including First Aid etc</w:t>
            </w:r>
          </w:p>
          <w:p w:rsidR="00000000" w:rsidRPr="00B973F1" w:rsidP="00B973F1">
            <w:pPr>
              <w:pStyle w:val="ListBullet"/>
            </w:pPr>
            <w:r w:rsidRPr="00B973F1">
              <w:t>Effects of lighting and switching surges on performance off string insulators - health effects to worke</w:t>
            </w:r>
            <w:r w:rsidRPr="00B973F1">
              <w:t>rs.</w:t>
            </w:r>
          </w:p>
          <w:p w:rsidR="00000000" w:rsidRPr="00B973F1" w:rsidP="00B973F1">
            <w:pPr>
              <w:pStyle w:val="ListBullet"/>
            </w:pPr>
            <w:r w:rsidRPr="00B973F1">
              <w:t>Methods used to alleviate surges on transmission lines</w:t>
            </w:r>
          </w:p>
          <w:p w:rsidR="00000000" w:rsidRPr="00B973F1" w:rsidP="00B973F1">
            <w:pPr>
              <w:pStyle w:val="ListBullet"/>
            </w:pPr>
            <w:r w:rsidRPr="00B973F1">
              <w:t>Magnetic field - difference between magnetic fields and electrostatic fields, source of magnetic field, techniques in locating, measuring and analysing known sources of magnetic fields, reasons for</w:t>
            </w:r>
            <w:r w:rsidRPr="00B973F1">
              <w:t xml:space="preserve"> monitoring magnetic field exposure, techniques used to monitor magnetic fields.</w:t>
            </w:r>
          </w:p>
          <w:p w:rsidR="00000000" w:rsidRPr="00B973F1" w:rsidP="00B973F1">
            <w:pPr>
              <w:pStyle w:val="BodyText"/>
            </w:pPr>
            <w:r w:rsidRPr="00B973F1">
              <w:t>T2</w:t>
            </w:r>
            <w:r w:rsidRPr="00B973F1">
              <w:tab/>
              <w:t>Ecological principles for vegetation control encompassing:</w:t>
            </w:r>
          </w:p>
          <w:p w:rsidR="00000000" w:rsidRPr="00B973F1" w:rsidP="00B973F1">
            <w:pPr>
              <w:pStyle w:val="ListBullet"/>
            </w:pPr>
            <w:r w:rsidRPr="00B973F1">
              <w:t>Ecological principles - interdependence of plants, animals, the soil and the environment, environment, habitats,</w:t>
            </w:r>
            <w:r w:rsidRPr="00B973F1">
              <w:t xml:space="preserve"> the food chain.</w:t>
            </w:r>
          </w:p>
          <w:p w:rsidR="00000000" w:rsidRPr="00B973F1" w:rsidP="00B973F1">
            <w:pPr>
              <w:pStyle w:val="ListBullet"/>
            </w:pPr>
            <w:r w:rsidRPr="00B973F1">
              <w:t>Soil and erosion control principles - soil types, simple tests, types of erosion, theory of erosion prevention and control, land degradation control, functions of trees in the environment.</w:t>
            </w:r>
          </w:p>
          <w:p w:rsidR="00000000" w:rsidRPr="00B973F1" w:rsidP="00B973F1">
            <w:pPr>
              <w:pStyle w:val="ListBullet"/>
            </w:pPr>
            <w:r w:rsidRPr="00B973F1">
              <w:t>Basic anatomy and physiology - plant morphology, i</w:t>
            </w:r>
            <w:r w:rsidRPr="00B973F1">
              <w:t>nternal anatomy, growth patterns and habits, simple physiology.</w:t>
            </w:r>
          </w:p>
          <w:p w:rsidR="00000000" w:rsidRPr="00B973F1" w:rsidP="00B973F1">
            <w:pPr>
              <w:pStyle w:val="ListBullet"/>
            </w:pPr>
            <w:r w:rsidRPr="00B973F1">
              <w:t>Tree hazard assessment encompassing: - symptoms of stress in trees, diagnosing tree problems, assessments for line clearance, personal hazards, the tree’s response to wounding and decay, theor</w:t>
            </w:r>
            <w:r w:rsidRPr="00B973F1">
              <w:t>y of compartmentalization, tree stability (damage to root systems due to excavation)</w:t>
            </w:r>
          </w:p>
          <w:p w:rsidR="00000000" w:rsidRPr="00B973F1" w:rsidP="00B973F1">
            <w:pPr>
              <w:pStyle w:val="ListBullet"/>
            </w:pPr>
            <w:r w:rsidRPr="00B973F1">
              <w:t>Principles of pruning</w:t>
            </w:r>
          </w:p>
          <w:p w:rsidR="00000000" w:rsidRPr="00B973F1" w:rsidP="00B973F1">
            <w:pPr>
              <w:pStyle w:val="ListBullet"/>
            </w:pPr>
            <w:r w:rsidRPr="00B973F1">
              <w:t>Branch collars</w:t>
            </w:r>
          </w:p>
          <w:p w:rsidR="00000000" w:rsidRPr="00B973F1" w:rsidP="00B973F1">
            <w:pPr>
              <w:pStyle w:val="BodyText"/>
            </w:pPr>
            <w:r w:rsidRPr="00B973F1">
              <w:t>T3</w:t>
            </w:r>
            <w:r w:rsidRPr="00B973F1">
              <w:tab/>
              <w:t>Control of vegetation encompassing:</w:t>
            </w:r>
          </w:p>
          <w:p w:rsidR="00000000" w:rsidRPr="00B973F1" w:rsidP="00B973F1">
            <w:pPr>
              <w:pStyle w:val="ListBullet"/>
            </w:pPr>
            <w:r w:rsidRPr="00B973F1">
              <w:t>Standards, codes, legislation, supply authority regulations and or enterprise requirements inc</w:t>
            </w:r>
            <w:r w:rsidRPr="00B973F1">
              <w:t xml:space="preserve">luding relevant certification and licensing applicable to the control of vegetation - clearance zones and approach distances from overhead power lines, legislation associated with easement access and maintenance, appropriate personal protection equipment, </w:t>
            </w:r>
            <w:r w:rsidRPr="00B973F1">
              <w:t>equipment maintenance and safety precautions.</w:t>
            </w:r>
          </w:p>
          <w:p w:rsidR="00000000" w:rsidRPr="00B973F1" w:rsidP="00B973F1">
            <w:pPr>
              <w:pStyle w:val="ListBullet"/>
            </w:pPr>
            <w:r w:rsidRPr="00B973F1">
              <w:t>Tree climbing and pruning - chainsaw safety and maintenance, basic cross-cutting techniques, simple felling, use of EWPs, safe climbing with ropes and harnesses, use of chainsaws in the tree, cutting techniques</w:t>
            </w:r>
            <w:r w:rsidRPr="00B973F1">
              <w:t>, roping techniques, chemical control of foliage and the required safety techniques, practical work on site with a range of trees.</w:t>
            </w:r>
          </w:p>
          <w:p w:rsidR="00000000" w:rsidRPr="00B973F1" w:rsidP="00B973F1">
            <w:pPr>
              <w:pStyle w:val="ListBullet"/>
            </w:pPr>
            <w:r w:rsidRPr="00B973F1">
              <w:t xml:space="preserve">Easement management - legislation relating to easement access and maintenance, use of chemicals and herbicides and provision </w:t>
            </w:r>
            <w:r w:rsidRPr="00B973F1">
              <w:t>of MSDSs for those substances, use of machinery and plant, access tracks.</w:t>
            </w:r>
          </w:p>
          <w:p w:rsidR="00000000" w:rsidRPr="00B973F1" w:rsidP="00B973F1">
            <w:pPr>
              <w:pStyle w:val="BodyText"/>
            </w:pPr>
            <w:r w:rsidRPr="00B973F1">
              <w:t>T4</w:t>
            </w:r>
            <w:r w:rsidRPr="00B973F1">
              <w:tab/>
              <w:t>Working safely up to the defined “safe working zone” near energised electrical apparatus (inc. electrical powerlines) for non-electrical worker encompassing:</w:t>
            </w:r>
          </w:p>
          <w:p w:rsidR="00000000" w:rsidRPr="00B973F1" w:rsidP="00B973F1">
            <w:pPr>
              <w:pStyle w:val="ListBullet"/>
            </w:pPr>
            <w:r w:rsidRPr="00B973F1">
              <w:t xml:space="preserve">Standards, guidelines/codes of practice, State/Territory/local government legislation, supply authority regulations and or enterprise requirements including relevant certification and licensing, applicable to working safely up to the defined “safe working </w:t>
            </w:r>
            <w:r w:rsidRPr="00B973F1">
              <w:t>zone” near energised electrical apparatus (inc. electrical powerlines) for non-electrical worker</w:t>
            </w:r>
          </w:p>
          <w:p w:rsidR="00000000" w:rsidRPr="00B973F1" w:rsidP="00B973F1">
            <w:pPr>
              <w:pStyle w:val="ListBullet"/>
            </w:pPr>
            <w:r w:rsidRPr="00B973F1">
              <w:t>Definitions of terminologies - ‘safe working zone’ ‘risk assessment’, ‘safe approach distances zones’, ‘safe working distances’.’ work permits’, access authori</w:t>
            </w:r>
            <w:r w:rsidRPr="00B973F1">
              <w:t>sation permits’, ‘Technical standards’ ‘isolation procedures’ and compliance requirements’</w:t>
            </w:r>
          </w:p>
          <w:p w:rsidR="00000000" w:rsidRPr="00B973F1" w:rsidP="00B973F1">
            <w:pPr>
              <w:pStyle w:val="ListBullet"/>
            </w:pPr>
            <w:r w:rsidRPr="00B973F1">
              <w:t>OHS policies and procedures for working safely - emergency response and First Aid procedures such as CPR, roles and responsibilities of employers, employees and othe</w:t>
            </w:r>
            <w:r w:rsidRPr="00B973F1">
              <w:t>r parties under OHS legislation, personal protective equipment, identifying hazards, assessing and controlling OHS risks, first aid procedures, duties of a safety observer, working at heights/confined spaces, permit to work systems and isolation procedures</w:t>
            </w:r>
            <w:r w:rsidRPr="00B973F1">
              <w:t>, safe application of different types of tools and equipment, operation of mobile plant and machinery (e.g. EWP) near live electrical apparatus.</w:t>
            </w:r>
          </w:p>
          <w:p w:rsidR="00000000" w:rsidRPr="00B973F1" w:rsidP="00B973F1">
            <w:pPr>
              <w:pStyle w:val="ListBullet"/>
            </w:pPr>
            <w:r w:rsidRPr="00B973F1">
              <w:t>Electricity supply infrastructure assets and voltages</w:t>
            </w:r>
          </w:p>
          <w:p w:rsidR="00000000" w:rsidRPr="00B973F1" w:rsidP="00B973F1">
            <w:pPr>
              <w:pStyle w:val="ListBullet"/>
            </w:pPr>
            <w:r w:rsidRPr="00B973F1">
              <w:t xml:space="preserve">Techniques and precautions in undertaking different work </w:t>
            </w:r>
            <w:r w:rsidRPr="00B973F1">
              <w:t>functions and working safely up to the defined “safe working zone” near energised electrical apparatus (inc. electrical powerlines) for non-electrical worker - work functions that may be performed include, vegetation control, scaffolding, rigging, painting</w:t>
            </w:r>
            <w:r w:rsidRPr="00B973F1">
              <w:t>, and/or any other activity that requires working safely near live electrical apparatus by a non-electrical worker.</w:t>
            </w:r>
          </w:p>
          <w:p w:rsidR="00000000" w:rsidRPr="00B973F1" w:rsidP="00B973F1">
            <w:pPr>
              <w:pStyle w:val="BodyText"/>
            </w:pPr>
            <w:r w:rsidRPr="00B973F1">
              <w:t>T5</w:t>
            </w:r>
            <w:r w:rsidRPr="00B973F1">
              <w:tab/>
              <w:t>Co-ordination of vegetation control inspection programs encompassing:</w:t>
            </w:r>
          </w:p>
          <w:p w:rsidR="00000000" w:rsidRPr="00B973F1" w:rsidP="00B973F1">
            <w:pPr>
              <w:pStyle w:val="ListBullet"/>
            </w:pPr>
            <w:r w:rsidRPr="00B973F1">
              <w:t>Commonwealth/State/Territory/local government legislation/regulati</w:t>
            </w:r>
            <w:r w:rsidRPr="00B973F1">
              <w:t>ons, Standards, codes, supply authority regulations and or enterprise requirements including relevant certification and licensing applicable to co-ordinating the inspection of vegetation control: - clearance zones and approach distances from overhead power</w:t>
            </w:r>
            <w:r w:rsidRPr="00B973F1">
              <w:t xml:space="preserve"> lines, legislation associated with easement access and maintenance, use and operation of plant and equipment such as ’EWPs, chainsaws/pole saws, stump grinders.</w:t>
            </w:r>
          </w:p>
          <w:p w:rsidR="00000000" w:rsidRPr="00B973F1" w:rsidP="00B973F1">
            <w:pPr>
              <w:pStyle w:val="ListBullet"/>
            </w:pPr>
            <w:r w:rsidRPr="00B973F1">
              <w:t>Appropriate personal protection equipment</w:t>
            </w:r>
          </w:p>
          <w:p w:rsidR="00000000" w:rsidRPr="00B973F1" w:rsidP="00B973F1">
            <w:pPr>
              <w:pStyle w:val="ListBullet"/>
            </w:pPr>
            <w:r w:rsidRPr="00B973F1">
              <w:t>Equipment maintenance and safety precautions</w:t>
            </w:r>
          </w:p>
          <w:p w:rsidR="00000000" w:rsidRPr="00B973F1" w:rsidP="00B973F1">
            <w:pPr>
              <w:pStyle w:val="ListBullet"/>
            </w:pPr>
            <w:r w:rsidRPr="00B973F1">
              <w:t>Endange</w:t>
            </w:r>
            <w:r w:rsidRPr="00B973F1">
              <w:t>red plants/animals/insects</w:t>
            </w:r>
          </w:p>
          <w:p w:rsidR="00000000" w:rsidRPr="00B973F1" w:rsidP="00B973F1">
            <w:pPr>
              <w:pStyle w:val="ListBullet"/>
            </w:pPr>
            <w:r w:rsidRPr="00B973F1">
              <w:t>Soil erosion</w:t>
            </w:r>
          </w:p>
          <w:p w:rsidR="00000000" w:rsidRPr="00B973F1" w:rsidP="00B973F1">
            <w:pPr>
              <w:pStyle w:val="ListBullet"/>
            </w:pPr>
            <w:r w:rsidRPr="00B973F1">
              <w:t>Chemical treatment</w:t>
            </w:r>
          </w:p>
          <w:p w:rsidR="00000000" w:rsidRPr="00B973F1" w:rsidP="00B973F1">
            <w:pPr>
              <w:pStyle w:val="ListBullet"/>
            </w:pPr>
            <w:r w:rsidRPr="00B973F1">
              <w:t>Provision of manufacturers and suppliers information such as material safety data sheets (MSDSs)</w:t>
            </w:r>
          </w:p>
          <w:p w:rsidR="00000000" w:rsidRPr="00B973F1" w:rsidP="00B973F1">
            <w:pPr>
              <w:pStyle w:val="ListBullet"/>
            </w:pPr>
            <w:r w:rsidRPr="00B973F1">
              <w:t>Traffic management control plan</w:t>
            </w:r>
          </w:p>
          <w:p w:rsidR="00000000" w:rsidRPr="00B973F1" w:rsidP="00B973F1">
            <w:pPr>
              <w:pStyle w:val="ListBullet"/>
            </w:pPr>
            <w:r w:rsidRPr="00B973F1">
              <w:t>Alternative engineering solutions for vegetation management</w:t>
            </w:r>
          </w:p>
          <w:p w:rsidR="00000000" w:rsidRPr="00B973F1" w:rsidP="00B973F1">
            <w:pPr>
              <w:pStyle w:val="ListBullet"/>
            </w:pPr>
            <w:r w:rsidRPr="00B973F1">
              <w:t>Emergenc</w:t>
            </w:r>
            <w:r w:rsidRPr="00B973F1">
              <w:t>y response and First Aid procedures</w:t>
            </w:r>
          </w:p>
          <w:p w:rsidR="00000000" w:rsidRPr="00B973F1" w:rsidP="00B973F1">
            <w:pPr>
              <w:pStyle w:val="ListBullet"/>
            </w:pPr>
            <w:r w:rsidRPr="00B973F1">
              <w:t>Techniques in the inspection of vegetation to determine action required - diagnosing tree problems and systems of stress in trees, identification of fall zone, identification of OHS hazards, assessing and controlling ris</w:t>
            </w:r>
            <w:r w:rsidRPr="00B973F1">
              <w:t>ks, safety policies, procedures and precautions, responsibilities and protocols for team members, procedures for obtaining electrical access authorities, procedures for coordination of operations.</w:t>
            </w:r>
          </w:p>
          <w:p w:rsidR="00000000" w:rsidRPr="00B973F1" w:rsidP="00B973F1">
            <w:pPr>
              <w:pStyle w:val="ListBullet"/>
            </w:pPr>
            <w:r w:rsidRPr="00B973F1">
              <w:t>Techniques in determining the resources required for a part</w:t>
            </w:r>
            <w:r w:rsidRPr="00B973F1">
              <w:t>icular vegetation control project</w:t>
            </w:r>
          </w:p>
          <w:p w:rsidR="00000000" w:rsidRPr="00B973F1" w:rsidP="00B973F1">
            <w:pPr>
              <w:pStyle w:val="ListBullet"/>
            </w:pPr>
            <w:r w:rsidRPr="00B973F1">
              <w:t>Techniques in determining the condition of the tools and equipment needed for a particular vegetation control project</w:t>
            </w:r>
          </w:p>
          <w:p w:rsidR="00000000" w:rsidRPr="00B973F1" w:rsidP="00B973F1">
            <w:pPr>
              <w:pStyle w:val="ListBullet"/>
            </w:pPr>
            <w:r w:rsidRPr="00B973F1">
              <w:t>Techniques in determining the duration and cost of the vegetation control project</w:t>
            </w:r>
          </w:p>
          <w:p w:rsidR="00000000" w:rsidRPr="00B973F1" w:rsidP="00B973F1">
            <w:pPr>
              <w:pStyle w:val="ListBullet"/>
            </w:pPr>
            <w:r w:rsidRPr="00B973F1">
              <w:t>Techniques in relaying information to team members - safe precautions and procedures, clearances zones and approach distances, proper selection, maintenance, use and storage of personal protective equipment, procedures regarding safe use of equipment inclu</w:t>
            </w:r>
            <w:r w:rsidRPr="00B973F1">
              <w:t>ding pre-operational checks for serviceability, procedures in the safe transporting, use, storage and disposal of chemicals.</w:t>
            </w:r>
          </w:p>
          <w:p w:rsidR="00000000" w:rsidRPr="00B973F1" w:rsidP="00B973F1">
            <w:pPr>
              <w:pStyle w:val="ListBullet"/>
            </w:pPr>
            <w:r w:rsidRPr="00B973F1">
              <w:t>Procedures for removal of vegetation</w:t>
            </w:r>
          </w:p>
          <w:p w:rsidR="00000000" w:rsidRPr="00B973F1" w:rsidP="00B973F1">
            <w:pPr>
              <w:pStyle w:val="ListBullet"/>
            </w:pPr>
            <w:r w:rsidRPr="00B973F1">
              <w:t>Techniques in record keeping of data.</w:t>
            </w:r>
          </w:p>
        </w:tc>
      </w:tr>
    </w:tbl>
    <w:p w:rsidR="00000000" w:rsidRPr="00B973F1" w:rsidP="00B973F1">
      <w:pPr>
        <w:pStyle w:val="BodyText"/>
      </w:pPr>
    </w:p>
    <w:p w:rsidR="00000000" w:rsidRPr="00B973F1" w:rsidP="00B973F1">
      <w:pPr>
        <w:pStyle w:val="AllowPageBreak"/>
      </w:pPr>
    </w:p>
    <w:p w:rsidR="00000000" w:rsidRPr="00B973F1" w:rsidP="00B973F1">
      <w:pPr>
        <w:pStyle w:val="Heading1"/>
      </w:pPr>
      <w:bookmarkStart w:id="10" w:name="O_457586"/>
      <w:bookmarkEnd w:id="10"/>
      <w:r w:rsidRPr="00B973F1">
        <w:t>Evidence Guide</w:t>
      </w:r>
    </w:p>
    <w:tbl>
      <w:tblPr>
        <w:tblW w:w="0" w:type="auto"/>
        <w:tblLayout w:type="fixed"/>
        <w:tblCellMar>
          <w:left w:w="62" w:type="dxa"/>
          <w:right w:w="62" w:type="dxa"/>
        </w:tblCellMar>
        <w:tblLook w:val="0000"/>
      </w:tblPr>
      <w:tblGrid>
        <w:gridCol w:w="8460"/>
      </w:tblGrid>
      <w:tr w:rsidTr="00BB749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EVIDENCE GUIDE</w:t>
            </w:r>
          </w:p>
        </w:tc>
      </w:tr>
      <w:tr w:rsidTr="00BB749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9)</w:t>
            </w:r>
            <w:r w:rsidRPr="00B973F1">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B973F1" w:rsidP="00B973F1">
            <w:pPr>
              <w:pStyle w:val="BodyText"/>
            </w:pPr>
            <w:r w:rsidRPr="00B973F1">
              <w:t>The Evidence Guide form</w:t>
            </w:r>
            <w:r w:rsidRPr="00B973F1">
              <w:t>s an integral part of this Competency Standard Unit and shall be used in conjunction with all component parts of this unit and, performed in accordance with the Assessment Guidelines of this Training Package.</w:t>
            </w:r>
          </w:p>
        </w:tc>
      </w:tr>
    </w:tbl>
    <w:p w:rsidR="00000000" w:rsidRPr="00B973F1" w:rsidP="00B973F1">
      <w:pPr>
        <w:pStyle w:val="BodyText"/>
      </w:pPr>
    </w:p>
    <w:tbl>
      <w:tblPr>
        <w:tblW w:w="0" w:type="auto"/>
        <w:tblLayout w:type="fixed"/>
        <w:tblCellMar>
          <w:left w:w="62" w:type="dxa"/>
          <w:right w:w="62" w:type="dxa"/>
        </w:tblCellMar>
        <w:tblLook w:val="0000"/>
      </w:tblPr>
      <w:tblGrid>
        <w:gridCol w:w="1890"/>
        <w:gridCol w:w="6570"/>
      </w:tblGrid>
      <w:tr w:rsidTr="00BB74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9.1)</w:t>
            </w:r>
          </w:p>
        </w:tc>
      </w:tr>
      <w:tr w:rsidTr="00BB74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t>Longitudinal co</w:t>
            </w:r>
            <w:r w:rsidRPr="00B973F1">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B973F1">
              <w:t>It is the Industry’s preferred model for apprenticeships. However, where summative (or final) assessment is used it is to include the application of the competency in the normal work environment or, at a minimum, the application of the competency in a real</w:t>
            </w:r>
            <w:r w:rsidRPr="00B973F1">
              <w:t>istically simulated work environment. It is recognised that, in some circumstances, assessment in part or full can occur outside the workplace. However, it must be in accord with Industry and, Regulatory policy in this regard.</w:t>
            </w:r>
          </w:p>
          <w:p w:rsidR="00000000" w:rsidRPr="00B973F1" w:rsidP="00B973F1">
            <w:pPr>
              <w:pStyle w:val="BodyText"/>
            </w:pPr>
            <w:r w:rsidRPr="00B973F1">
              <w:t>Methods chosen for a particul</w:t>
            </w:r>
            <w:r w:rsidRPr="00B973F1">
              <w:t>ar assessment will be influenced by various factors. These include the extent of the assessment, the most effective locations for the assessment activities to take place, access to physical resources, additional safety measures that may be required and the</w:t>
            </w:r>
            <w:r w:rsidRPr="00B973F1">
              <w:t xml:space="preserve"> critical nature of the competencies being assessed.</w:t>
            </w:r>
          </w:p>
          <w:p w:rsidR="00000000" w:rsidRPr="00B973F1" w:rsidP="00B973F1">
            <w:pPr>
              <w:pStyle w:val="BodyText"/>
            </w:pPr>
            <w:r w:rsidRPr="00B973F1">
              <w:t xml:space="preserve">The critical safety nature of working with electricity, electrical equipment, gas or any other hazardous substance/material carries risk in deeming a person competent. Hence, sources of evidence need to </w:t>
            </w:r>
            <w:r w:rsidRPr="00B973F1">
              <w:t>be ‘rich’ in nature so as to minimise error in judgment.</w:t>
            </w:r>
          </w:p>
          <w:p w:rsidR="00000000" w:rsidRPr="00B973F1" w:rsidP="00B973F1">
            <w:pPr>
              <w:pStyle w:val="BodyText"/>
            </w:pPr>
            <w:r w:rsidRPr="00B973F1">
              <w:t>Activities associated with normal every day work have a bearing on the decision as to how much and how detailed the data gathered will contribute to its ‘richness’</w:t>
            </w:r>
            <w:r w:rsidRPr="00B973F1">
              <w:t>. Some skills are more critical to safety and operational requirements while the same skills may be more or less frequently practiced. These points are raised for the assessors to consider when choosing an assessment method and developing assessment instru</w:t>
            </w:r>
            <w:r w:rsidRPr="00B973F1">
              <w:t>ments. Sample assessment instruments are included for Assessors in the Assessment Guidelines of this Training Package.</w:t>
            </w:r>
          </w:p>
        </w:tc>
      </w:tr>
    </w:tbl>
    <w:p w:rsidR="00000000" w:rsidRPr="00B973F1" w:rsidP="00B973F1">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BB74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9.2)</w:t>
            </w:r>
          </w:p>
        </w:tc>
      </w:tr>
      <w:tr w:rsidTr="00BB74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t>Before the critical aspects of evidence are cons</w:t>
            </w:r>
            <w:r w:rsidRPr="00B973F1">
              <w:t>idered all prerequisites shall be met.</w:t>
            </w:r>
          </w:p>
          <w:p w:rsidR="00000000" w:rsidRPr="00B973F1" w:rsidP="00B973F1">
            <w:pPr>
              <w:pStyle w:val="BodyText"/>
            </w:pPr>
            <w:r w:rsidRPr="00B973F1">
              <w:t>Evidence for competence in this unit shall be considered holistically. Each Element and associated Performance Criteria shall be demonstrated on at least two occasions in accordance with the “Assessment Guidelines – U</w:t>
            </w:r>
            <w:r w:rsidRPr="00B973F1">
              <w:t>ET12”. Evidence shall also comprise:</w:t>
            </w:r>
          </w:p>
          <w:p w:rsidR="00000000" w:rsidRPr="00B973F1" w:rsidP="00B973F1">
            <w:pPr>
              <w:pStyle w:val="ListBullet"/>
            </w:pPr>
            <w:r w:rsidRPr="00B973F1">
              <w:t xml:space="preserve">A representative body of Performance Criteria demonstrated within the timeframes typically expected of the discipline, work function and industrial environment. In particular this shall incorporate evidence that shows </w:t>
            </w:r>
            <w:r w:rsidRPr="00B973F1">
              <w:t>a candidate is able to:</w:t>
            </w:r>
          </w:p>
          <w:p w:rsidR="00000000" w:rsidRPr="00B973F1" w:rsidP="00B973F1">
            <w:pPr>
              <w:pStyle w:val="ListBullet2"/>
            </w:pPr>
            <w:r w:rsidRPr="00B973F1">
              <w:t>Implement Occupational Health and Safety workplace procedures and practices including the use of risk control measures as specified in the Performance Criteria and range; and</w:t>
            </w:r>
          </w:p>
          <w:p w:rsidR="00000000" w:rsidRPr="00B973F1" w:rsidP="00B973F1">
            <w:pPr>
              <w:pStyle w:val="ListBullet2"/>
            </w:pPr>
            <w:r w:rsidRPr="00B973F1">
              <w:t>Apply sustainable energy principles and practices as specified in the Performance Criteria and range; and</w:t>
            </w:r>
          </w:p>
          <w:p w:rsidR="00000000" w:rsidRPr="00B973F1" w:rsidP="00B973F1">
            <w:pPr>
              <w:pStyle w:val="ListBullet2"/>
            </w:pPr>
            <w:r w:rsidRPr="00B973F1">
              <w:t>Demonstrate an understanding of the essential knowledge and associated skills as described in this unit to such an extent that the learner’s performan</w:t>
            </w:r>
            <w:r w:rsidRPr="00B973F1">
              <w:t>ce outcome is reported in accordance with the preferred approach; namely a percentile graded result, where required by the regulated environment; and</w:t>
            </w:r>
          </w:p>
          <w:p w:rsidR="00000000" w:rsidRPr="00B973F1" w:rsidP="00B973F1">
            <w:pPr>
              <w:pStyle w:val="ListBullet2"/>
            </w:pPr>
            <w:r w:rsidRPr="00B973F1">
              <w:t>Demonstrate an appropriate level of employability skills; and</w:t>
            </w:r>
          </w:p>
          <w:p w:rsidR="00000000" w:rsidRPr="00B973F1" w:rsidP="00B973F1">
            <w:pPr>
              <w:pStyle w:val="ListBullet"/>
            </w:pPr>
            <w:r w:rsidRPr="00B973F1">
              <w:t>Conduct work observing the relevant Anti Di</w:t>
            </w:r>
            <w:r w:rsidRPr="00B973F1">
              <w:t>scrimination legislation, regulations, policies and workplace procedures; and</w:t>
            </w:r>
          </w:p>
          <w:p w:rsidR="00000000" w:rsidP="00B973F1">
            <w:pPr>
              <w:pStyle w:val="ListBullet2"/>
              <w:rPr>
                <w:lang w:val="en-NZ"/>
              </w:rPr>
            </w:pPr>
            <w:r w:rsidRPr="00B973F1">
              <w:t>Demonstrated performance across a representative range of contexts from the prescribed items below:</w:t>
            </w:r>
          </w:p>
        </w:tc>
      </w:tr>
      <w:tr w:rsidTr="00BB74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973F1">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3F1">
            <w:pPr>
              <w:pStyle w:val="BodyText"/>
              <w:rPr>
                <w:lang w:val="en-NZ"/>
              </w:rPr>
            </w:pPr>
            <w:r w:rsidRPr="00B973F1">
              <w:rPr>
                <w:rStyle w:val="SpecialBold"/>
              </w:rPr>
              <w:t>Range of tools/equipment/materials/procedures/workplaces/other variables</w:t>
            </w:r>
          </w:p>
        </w:tc>
      </w:tr>
      <w:tr w:rsidTr="00BB74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973F1">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3F1" w:rsidP="00B973F1">
            <w:pPr>
              <w:pStyle w:val="BodyText"/>
            </w:pPr>
            <w:r w:rsidRPr="00B973F1">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3F1" w:rsidP="00B973F1">
            <w:pPr>
              <w:pStyle w:val="BodyText"/>
            </w:pPr>
            <w:r w:rsidRPr="00B973F1">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3F1">
            <w:pPr>
              <w:pStyle w:val="BodyText"/>
              <w:rPr>
                <w:lang w:val="en-NZ"/>
              </w:rPr>
            </w:pPr>
            <w:r w:rsidRPr="00B973F1">
              <w:rPr>
                <w:rStyle w:val="SpecialBold"/>
              </w:rPr>
              <w:t>Item List</w:t>
            </w:r>
          </w:p>
        </w:tc>
      </w:tr>
      <w:tr w:rsidTr="00BB74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3F1">
            <w:pPr>
              <w:pStyle w:val="BodyText"/>
              <w:rPr>
                <w:lang w:val="en-NZ"/>
              </w:rPr>
            </w:pPr>
            <w:r w:rsidRPr="00B973F1">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3F1">
            <w:pPr>
              <w:pStyle w:val="BodyText"/>
              <w:rPr>
                <w:lang w:val="en-NZ"/>
              </w:rPr>
            </w:pPr>
            <w:r w:rsidRPr="00B973F1">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3F1" w:rsidP="00B973F1">
            <w:pPr>
              <w:pStyle w:val="BodyText"/>
            </w:pPr>
            <w:r w:rsidRPr="00B973F1">
              <w:t>Hand clearing</w:t>
            </w:r>
          </w:p>
          <w:p w:rsidR="00000000" w:rsidRPr="00B973F1" w:rsidP="00B973F1">
            <w:pPr>
              <w:pStyle w:val="BodyText"/>
            </w:pPr>
            <w:r w:rsidRPr="00B973F1">
              <w:t>Machinery assisted clearing</w:t>
            </w:r>
          </w:p>
          <w:p w:rsidR="00000000" w:rsidRPr="00B973F1" w:rsidP="00B973F1">
            <w:pPr>
              <w:pStyle w:val="BodyText"/>
            </w:pPr>
            <w:r w:rsidRPr="00B973F1">
              <w:t>Growth retardants</w:t>
            </w:r>
          </w:p>
          <w:p w:rsidR="00000000" w:rsidRPr="00B973F1" w:rsidP="00B973F1">
            <w:pPr>
              <w:pStyle w:val="BodyText"/>
            </w:pPr>
            <w:r w:rsidRPr="00B973F1">
              <w:t xml:space="preserve">Fire clearing, </w:t>
            </w:r>
          </w:p>
          <w:p w:rsidR="00000000" w:rsidP="00B973F1">
            <w:pPr>
              <w:pStyle w:val="BodyText"/>
              <w:rPr>
                <w:lang w:val="en-NZ"/>
              </w:rPr>
            </w:pPr>
            <w:r w:rsidRPr="00B973F1">
              <w:t>Herbicidal clearing</w:t>
            </w:r>
          </w:p>
        </w:tc>
      </w:tr>
      <w:tr w:rsidTr="00BB74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3F1">
            <w:pPr>
              <w:pStyle w:val="BodyText"/>
              <w:rPr>
                <w:lang w:val="en-NZ"/>
              </w:rPr>
            </w:pPr>
            <w:r w:rsidRPr="00B973F1">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3F1">
            <w:pPr>
              <w:pStyle w:val="BodyText"/>
              <w:rPr>
                <w:lang w:val="en-NZ"/>
              </w:rPr>
            </w:pPr>
            <w:r w:rsidRPr="00B973F1">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3F1" w:rsidP="00B973F1">
            <w:pPr>
              <w:pStyle w:val="BodyText"/>
            </w:pPr>
            <w:r w:rsidRPr="00B973F1">
              <w:t>Ladder</w:t>
            </w:r>
          </w:p>
          <w:p w:rsidR="00000000" w:rsidRPr="00B973F1" w:rsidP="00B973F1">
            <w:pPr>
              <w:pStyle w:val="BodyText"/>
            </w:pPr>
            <w:r w:rsidRPr="00B973F1">
              <w:t>EWP</w:t>
            </w:r>
          </w:p>
          <w:p w:rsidR="00000000" w:rsidRPr="00B973F1" w:rsidP="00B973F1">
            <w:pPr>
              <w:pStyle w:val="BodyText"/>
            </w:pPr>
            <w:r w:rsidRPr="00B973F1">
              <w:t>Tree</w:t>
            </w:r>
          </w:p>
          <w:p w:rsidR="00000000" w:rsidP="00B973F1">
            <w:pPr>
              <w:pStyle w:val="BodyText"/>
              <w:rPr>
                <w:lang w:val="en-NZ"/>
              </w:rPr>
            </w:pPr>
            <w:r w:rsidRPr="00B973F1">
              <w:t>Ground</w:t>
            </w:r>
          </w:p>
        </w:tc>
      </w:tr>
      <w:tr w:rsidTr="00BB74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3F1">
            <w:pPr>
              <w:pStyle w:val="BodyText"/>
              <w:rPr>
                <w:lang w:val="en-NZ"/>
              </w:rPr>
            </w:pPr>
            <w:r w:rsidRPr="00B973F1">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3F1">
            <w:pPr>
              <w:pStyle w:val="BodyText"/>
              <w:rPr>
                <w:lang w:val="en-NZ"/>
              </w:rPr>
            </w:pPr>
            <w:r w:rsidRPr="00B973F1">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3F1" w:rsidP="00B973F1">
            <w:pPr>
              <w:pStyle w:val="BodyText"/>
            </w:pPr>
            <w:r w:rsidRPr="00B973F1">
              <w:t>Personnel aspects</w:t>
            </w:r>
          </w:p>
          <w:p w:rsidR="00000000" w:rsidRPr="00B973F1" w:rsidP="00B973F1">
            <w:pPr>
              <w:pStyle w:val="BodyText"/>
            </w:pPr>
            <w:r w:rsidRPr="00B973F1">
              <w:t>Material aspects</w:t>
            </w:r>
          </w:p>
          <w:p w:rsidR="00000000" w:rsidP="00B973F1">
            <w:pPr>
              <w:pStyle w:val="BodyText"/>
              <w:rPr>
                <w:lang w:val="en-NZ"/>
              </w:rPr>
            </w:pPr>
            <w:r w:rsidRPr="00B973F1">
              <w:t>Financial aspects</w:t>
            </w:r>
          </w:p>
        </w:tc>
      </w:tr>
      <w:tr w:rsidTr="00BB74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3F1">
            <w:pPr>
              <w:pStyle w:val="BodyText"/>
              <w:rPr>
                <w:lang w:val="en-NZ"/>
              </w:rPr>
            </w:pPr>
            <w:r w:rsidRPr="00B973F1">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3F1">
            <w:pPr>
              <w:pStyle w:val="BodyText"/>
              <w:rPr>
                <w:lang w:val="en-NZ"/>
              </w:rPr>
            </w:pPr>
            <w:r w:rsidRPr="00B973F1">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3F1" w:rsidP="00B973F1">
            <w:pPr>
              <w:pStyle w:val="BodyText"/>
            </w:pPr>
            <w:r w:rsidRPr="00B973F1">
              <w:t xml:space="preserve">Dealing with an unplanned event by drawing on essential </w:t>
            </w:r>
            <w:r w:rsidRPr="00B973F1">
              <w:t>knowledge and associated skills to provide appropriate solutions incorporated in the holistic assessment with the above listed items.</w:t>
            </w:r>
          </w:p>
        </w:tc>
      </w:tr>
    </w:tbl>
    <w:p w:rsidR="00000000" w:rsidRPr="00B973F1" w:rsidP="00B973F1">
      <w:pPr>
        <w:pStyle w:val="BodyText"/>
      </w:pPr>
    </w:p>
    <w:tbl>
      <w:tblPr>
        <w:tblW w:w="0" w:type="auto"/>
        <w:tblLayout w:type="fixed"/>
        <w:tblCellMar>
          <w:left w:w="62" w:type="dxa"/>
          <w:right w:w="62" w:type="dxa"/>
        </w:tblCellMar>
        <w:tblLook w:val="0000"/>
      </w:tblPr>
      <w:tblGrid>
        <w:gridCol w:w="1890"/>
        <w:gridCol w:w="6570"/>
      </w:tblGrid>
      <w:tr w:rsidTr="00BB749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9.3)</w:t>
            </w:r>
          </w:p>
        </w:tc>
      </w:tr>
      <w:tr w:rsidTr="00BB749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t>This unit should be assessed as it relates to normal work practice using procedures, information and resources typical of a workplace. This should include:</w:t>
            </w:r>
          </w:p>
          <w:p w:rsidR="00000000" w:rsidRPr="00B973F1" w:rsidP="00B973F1">
            <w:pPr>
              <w:pStyle w:val="ListBullet"/>
            </w:pPr>
            <w:r w:rsidRPr="00B973F1">
              <w:t>OHS policy and work procedures and instructions.</w:t>
            </w:r>
          </w:p>
          <w:p w:rsidR="00000000" w:rsidRPr="00B973F1" w:rsidP="00B973F1">
            <w:pPr>
              <w:pStyle w:val="ListBullet"/>
            </w:pPr>
            <w:r w:rsidRPr="00B973F1">
              <w:t>Suitable work environment, facilities, equipment a</w:t>
            </w:r>
            <w:r w:rsidRPr="00B973F1">
              <w:t>nd materials to undertake actual coordination of vegetation control.</w:t>
            </w:r>
          </w:p>
          <w:p w:rsidR="00000000" w:rsidRPr="00B973F1" w:rsidP="00B973F1">
            <w:pPr>
              <w:pStyle w:val="BodyText"/>
            </w:pPr>
            <w:r w:rsidRPr="00B973F1">
              <w:t>In addition to the resources listed above, in Context of and specific resources for assessment, evidence should show demonstrated competency working at realistic heights above ground i.e.</w:t>
            </w:r>
            <w:r w:rsidRPr="00B973F1">
              <w:t xml:space="preserve"> above 3 metres, in limited spaces, with different structural/construction types and method and in a variety of environments.</w:t>
            </w:r>
          </w:p>
        </w:tc>
      </w:tr>
    </w:tbl>
    <w:p w:rsidR="00000000" w:rsidRPr="00B973F1" w:rsidP="00B973F1">
      <w:pPr>
        <w:pStyle w:val="BodyText"/>
      </w:pPr>
    </w:p>
    <w:tbl>
      <w:tblPr>
        <w:tblW w:w="0" w:type="auto"/>
        <w:tblLayout w:type="fixed"/>
        <w:tblCellMar>
          <w:left w:w="62" w:type="dxa"/>
          <w:right w:w="62" w:type="dxa"/>
        </w:tblCellMar>
        <w:tblLook w:val="0000"/>
      </w:tblPr>
      <w:tblGrid>
        <w:gridCol w:w="1890"/>
        <w:gridCol w:w="6570"/>
      </w:tblGrid>
      <w:tr w:rsidTr="00BB74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9.4)</w:t>
            </w:r>
          </w:p>
        </w:tc>
      </w:tr>
      <w:tr w:rsidTr="00BB74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t>This Competency Standard Unit shall be assessed by methods given in Volume 1, Part 3 “</w:t>
            </w:r>
            <w:r w:rsidRPr="00B973F1">
              <w:t>Assessment Guidelines”.</w:t>
            </w:r>
          </w:p>
          <w:p w:rsidR="00000000" w:rsidRPr="00B973F1" w:rsidP="00B973F1">
            <w:pPr>
              <w:pStyle w:val="BodyText"/>
            </w:pPr>
            <w:r w:rsidRPr="00B973F1">
              <w:t>Note:</w:t>
            </w:r>
          </w:p>
          <w:p w:rsidR="00000000" w:rsidRPr="00B973F1" w:rsidP="00B973F1">
            <w:pPr>
              <w:pStyle w:val="BodyText"/>
            </w:pPr>
            <w:r w:rsidRPr="00B973F1">
              <w:t xml:space="preserve">Competent performance with inherent safe working practices is expected in the Transmission, Distribution and Rail Traction Industry. This requires that the specified essential knowledge and associated skills are assessed in a </w:t>
            </w:r>
            <w:r w:rsidRPr="00B973F1">
              <w:t>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B973F1" w:rsidP="00B973F1">
      <w:pPr>
        <w:pStyle w:val="BodyText"/>
      </w:pPr>
    </w:p>
    <w:tbl>
      <w:tblPr>
        <w:tblW w:w="0" w:type="auto"/>
        <w:tblLayout w:type="fixed"/>
        <w:tblCellMar>
          <w:left w:w="62" w:type="dxa"/>
          <w:right w:w="62" w:type="dxa"/>
        </w:tblCellMar>
        <w:tblLook w:val="0000"/>
      </w:tblPr>
      <w:tblGrid>
        <w:gridCol w:w="1890"/>
        <w:gridCol w:w="6570"/>
      </w:tblGrid>
      <w:tr w:rsidTr="00BB74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Concurrent as</w:t>
            </w:r>
            <w:r w:rsidRPr="00B973F1">
              <w:rPr>
                <w:rStyle w:val="SpecialBold"/>
              </w:rPr>
              <w:t>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9.5)</w:t>
            </w:r>
          </w:p>
        </w:tc>
      </w:tr>
      <w:tr w:rsidTr="00BB74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t>There are no concurrent assessment recommendations for this unit.</w:t>
            </w:r>
          </w:p>
        </w:tc>
      </w:tr>
    </w:tbl>
    <w:p w:rsidR="00000000" w:rsidRPr="00B973F1" w:rsidP="00B973F1">
      <w:pPr>
        <w:pStyle w:val="BodyText"/>
      </w:pPr>
    </w:p>
    <w:p w:rsidR="00000000" w:rsidRPr="00B973F1" w:rsidP="00B973F1">
      <w:pPr>
        <w:pStyle w:val="AllowPageBreak"/>
      </w:pPr>
    </w:p>
    <w:p w:rsidR="00000000" w:rsidRPr="00B973F1" w:rsidP="00B973F1">
      <w:pPr>
        <w:pStyle w:val="Heading1"/>
      </w:pPr>
      <w:bookmarkStart w:id="11" w:name="O_457590"/>
      <w:bookmarkEnd w:id="11"/>
      <w:r w:rsidRPr="00B973F1">
        <w:t>Range Statement</w:t>
      </w:r>
    </w:p>
    <w:tbl>
      <w:tblPr>
        <w:tblW w:w="0" w:type="auto"/>
        <w:tblLayout w:type="fixed"/>
        <w:tblCellMar>
          <w:left w:w="62" w:type="dxa"/>
          <w:right w:w="62" w:type="dxa"/>
        </w:tblCellMar>
        <w:tblLook w:val="0000"/>
      </w:tblPr>
      <w:tblGrid>
        <w:gridCol w:w="8460"/>
      </w:tblGrid>
      <w:tr w:rsidTr="00BB749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RANGE STATEMENT</w:t>
            </w:r>
          </w:p>
        </w:tc>
      </w:tr>
      <w:tr w:rsidTr="00BB749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10)</w:t>
            </w:r>
            <w:r w:rsidRPr="00B973F1">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B973F1" w:rsidP="00B973F1">
            <w:pPr>
              <w:pStyle w:val="BodyText"/>
            </w:pPr>
            <w:r w:rsidRPr="00B973F1">
              <w:t xml:space="preserve">This Competency Standard Unit </w:t>
            </w:r>
            <w:r w:rsidRPr="00B973F1">
              <w:t>shall be demonstrated in relation to the coordination of vegetation control work and may include the following:</w:t>
            </w:r>
          </w:p>
          <w:p w:rsidR="00000000" w:rsidRPr="00B973F1" w:rsidP="00B973F1">
            <w:pPr>
              <w:pStyle w:val="BodyText"/>
            </w:pPr>
            <w:r w:rsidRPr="00B973F1">
              <w:t>Coordinating vegetation control measures which may include hand clearing, growth retardants, machinery-assisted clearing and herbicidal clearing</w:t>
            </w:r>
            <w:r w:rsidRPr="00B973F1">
              <w:t>.</w:t>
            </w:r>
          </w:p>
          <w:p w:rsidR="00000000" w:rsidRPr="00B973F1" w:rsidP="00B973F1">
            <w:pPr>
              <w:pStyle w:val="BodyText"/>
            </w:pPr>
            <w:r w:rsidRPr="00B973F1">
              <w:t>Coordinating work, which may be conducted from a ladder, an elevating work platform, a tree or on the ground under minimal supervision.</w:t>
            </w:r>
          </w:p>
          <w:p w:rsidR="00000000" w:rsidRPr="00B973F1" w:rsidP="00B973F1">
            <w:pPr>
              <w:pStyle w:val="BodyText"/>
            </w:pPr>
            <w:r w:rsidRPr="00B973F1">
              <w:t>The following constants and variables included in the Element/Performance Criteria in this unit are fully described in</w:t>
            </w:r>
            <w:r w:rsidRPr="00B973F1">
              <w:t xml:space="preserve"> the Definitions Section 1 of this volume and form an integral part of the Range Statement of this unit:</w:t>
            </w:r>
          </w:p>
          <w:p w:rsidR="00000000" w:rsidRPr="00B973F1" w:rsidP="00B973F1">
            <w:pPr>
              <w:pStyle w:val="ListBullet3"/>
            </w:pPr>
            <w:r w:rsidRPr="00B973F1">
              <w:t>Appropriate and relevant persons (see Personnel)</w:t>
            </w:r>
          </w:p>
          <w:p w:rsidR="00000000" w:rsidRPr="00B973F1" w:rsidP="00B973F1">
            <w:pPr>
              <w:pStyle w:val="ListBullet3"/>
            </w:pPr>
            <w:r w:rsidRPr="00B973F1">
              <w:t>Appropriate authorities</w:t>
            </w:r>
          </w:p>
          <w:p w:rsidR="00000000" w:rsidRPr="00B973F1" w:rsidP="00B973F1">
            <w:pPr>
              <w:pStyle w:val="ListBullet3"/>
            </w:pPr>
            <w:r w:rsidRPr="00B973F1">
              <w:t>Appropriate work platform</w:t>
            </w:r>
          </w:p>
          <w:p w:rsidR="00000000" w:rsidRPr="00B973F1" w:rsidP="00B973F1">
            <w:pPr>
              <w:pStyle w:val="ListBullet3"/>
            </w:pPr>
            <w:r w:rsidRPr="00B973F1">
              <w:t>Assessing risk</w:t>
            </w:r>
          </w:p>
          <w:p w:rsidR="00000000" w:rsidRPr="00B973F1" w:rsidP="00B973F1">
            <w:pPr>
              <w:pStyle w:val="ListBullet3"/>
            </w:pPr>
            <w:r w:rsidRPr="00B973F1">
              <w:t>Assessment</w:t>
            </w:r>
          </w:p>
          <w:p w:rsidR="00000000" w:rsidRPr="00B973F1" w:rsidP="00B973F1">
            <w:pPr>
              <w:pStyle w:val="ListBullet3"/>
            </w:pPr>
            <w:r w:rsidRPr="00B973F1">
              <w:t>Authorisation</w:t>
            </w:r>
          </w:p>
          <w:p w:rsidR="00000000" w:rsidRPr="00B973F1" w:rsidP="00B973F1">
            <w:pPr>
              <w:pStyle w:val="ListBullet3"/>
            </w:pPr>
            <w:r w:rsidRPr="00B973F1">
              <w:t>Diagnostic,</w:t>
            </w:r>
            <w:r w:rsidRPr="00B973F1">
              <w:t xml:space="preserve"> testing and restoration</w:t>
            </w:r>
          </w:p>
          <w:p w:rsidR="00000000" w:rsidRPr="00B973F1" w:rsidP="00B973F1">
            <w:pPr>
              <w:pStyle w:val="ListBullet3"/>
            </w:pPr>
            <w:r w:rsidRPr="00B973F1">
              <w:t>Documenting detail work events, record keeping and or storage of information</w:t>
            </w:r>
          </w:p>
          <w:p w:rsidR="00000000" w:rsidRPr="00B973F1" w:rsidP="00B973F1">
            <w:pPr>
              <w:pStyle w:val="ListBullet3"/>
            </w:pPr>
            <w:r w:rsidRPr="00B973F1">
              <w:t>Drawings and specifications</w:t>
            </w:r>
          </w:p>
          <w:p w:rsidR="00000000" w:rsidRPr="00B973F1" w:rsidP="00B973F1">
            <w:pPr>
              <w:pStyle w:val="ListBullet3"/>
            </w:pPr>
            <w:r w:rsidRPr="00B973F1">
              <w:t>Emergency</w:t>
            </w:r>
          </w:p>
          <w:p w:rsidR="00000000" w:rsidRPr="00B973F1" w:rsidP="00B973F1">
            <w:pPr>
              <w:pStyle w:val="ListBullet3"/>
            </w:pPr>
            <w:r w:rsidRPr="00B973F1">
              <w:t>Environmental and sustainable energy procedures</w:t>
            </w:r>
          </w:p>
          <w:p w:rsidR="00000000" w:rsidRPr="00B973F1" w:rsidP="00B973F1">
            <w:pPr>
              <w:pStyle w:val="ListBullet3"/>
            </w:pPr>
            <w:r w:rsidRPr="00B973F1">
              <w:t>Environmental legislation</w:t>
            </w:r>
          </w:p>
          <w:p w:rsidR="00000000" w:rsidRPr="00B973F1" w:rsidP="00B973F1">
            <w:pPr>
              <w:pStyle w:val="ListBullet3"/>
            </w:pPr>
            <w:r w:rsidRPr="00B973F1">
              <w:t>Environmental management documentation</w:t>
            </w:r>
          </w:p>
          <w:p w:rsidR="00000000" w:rsidRPr="00B973F1" w:rsidP="00B973F1">
            <w:pPr>
              <w:pStyle w:val="ListBullet3"/>
            </w:pPr>
            <w:r w:rsidRPr="00B973F1">
              <w:t>Established procedures</w:t>
            </w:r>
          </w:p>
          <w:p w:rsidR="00000000" w:rsidRPr="00B973F1" w:rsidP="00B973F1">
            <w:pPr>
              <w:pStyle w:val="ListBullet3"/>
            </w:pPr>
            <w:r w:rsidRPr="00B973F1">
              <w:t>Fall prevention</w:t>
            </w:r>
          </w:p>
          <w:p w:rsidR="00000000" w:rsidRPr="00B973F1" w:rsidP="00B973F1">
            <w:pPr>
              <w:pStyle w:val="ListBullet3"/>
            </w:pPr>
            <w:r w:rsidRPr="00B973F1">
              <w:t>Hazards</w:t>
            </w:r>
          </w:p>
          <w:p w:rsidR="00000000" w:rsidRPr="00B973F1" w:rsidP="00B973F1">
            <w:pPr>
              <w:pStyle w:val="ListBullet3"/>
            </w:pPr>
            <w:r w:rsidRPr="00B973F1">
              <w:t>Identifying hazards</w:t>
            </w:r>
          </w:p>
          <w:p w:rsidR="00000000" w:rsidRPr="00B973F1" w:rsidP="00B973F1">
            <w:pPr>
              <w:pStyle w:val="ListBullet3"/>
            </w:pPr>
            <w:r w:rsidRPr="00B973F1">
              <w:t>Inspect</w:t>
            </w:r>
          </w:p>
          <w:p w:rsidR="00000000" w:rsidRPr="00B973F1" w:rsidP="00B973F1">
            <w:pPr>
              <w:pStyle w:val="ListBullet3"/>
            </w:pPr>
            <w:r w:rsidRPr="00B973F1">
              <w:t>Legislation</w:t>
            </w:r>
          </w:p>
          <w:p w:rsidR="00000000" w:rsidRPr="00B973F1" w:rsidP="00B973F1">
            <w:pPr>
              <w:pStyle w:val="ListBullet3"/>
            </w:pPr>
            <w:r w:rsidRPr="00B973F1">
              <w:t>MSDS</w:t>
            </w:r>
          </w:p>
          <w:p w:rsidR="00000000" w:rsidRPr="00B973F1" w:rsidP="00B973F1">
            <w:pPr>
              <w:pStyle w:val="ListBullet3"/>
            </w:pPr>
            <w:r w:rsidRPr="00B973F1">
              <w:t>Notification</w:t>
            </w:r>
          </w:p>
          <w:p w:rsidR="00000000" w:rsidRPr="00B973F1" w:rsidP="00B973F1">
            <w:pPr>
              <w:pStyle w:val="ListBullet3"/>
            </w:pPr>
            <w:r w:rsidRPr="00B973F1">
              <w:t>OHS practices</w:t>
            </w:r>
          </w:p>
          <w:p w:rsidR="00000000" w:rsidRPr="00B973F1" w:rsidP="00B973F1">
            <w:pPr>
              <w:pStyle w:val="ListBullet3"/>
            </w:pPr>
            <w:r w:rsidRPr="00B973F1">
              <w:t>OHS issues</w:t>
            </w:r>
          </w:p>
          <w:p w:rsidR="00000000" w:rsidRPr="00B973F1" w:rsidP="00B973F1">
            <w:pPr>
              <w:pStyle w:val="ListBullet3"/>
            </w:pPr>
            <w:r w:rsidRPr="00B973F1">
              <w:t>Permits and/or permits to work</w:t>
            </w:r>
          </w:p>
          <w:p w:rsidR="00000000" w:rsidRPr="00B973F1" w:rsidP="00B973F1">
            <w:pPr>
              <w:pStyle w:val="ListBullet3"/>
            </w:pPr>
            <w:r w:rsidRPr="00B973F1">
              <w:t>Personnel</w:t>
            </w:r>
          </w:p>
          <w:p w:rsidR="00000000" w:rsidRPr="00B973F1" w:rsidP="00B973F1">
            <w:pPr>
              <w:pStyle w:val="ListBullet3"/>
            </w:pPr>
            <w:r w:rsidRPr="00B973F1">
              <w:t>Quality assurance systems</w:t>
            </w:r>
          </w:p>
          <w:p w:rsidR="00000000" w:rsidRPr="00B973F1" w:rsidP="00B973F1">
            <w:pPr>
              <w:pStyle w:val="ListBullet3"/>
            </w:pPr>
            <w:r w:rsidRPr="00B973F1">
              <w:t>Requirements</w:t>
            </w:r>
          </w:p>
          <w:p w:rsidR="00000000" w:rsidRPr="00B973F1" w:rsidP="00B973F1">
            <w:pPr>
              <w:pStyle w:val="ListBullet3"/>
            </w:pPr>
            <w:r w:rsidRPr="00B973F1">
              <w:t>Testing procedures</w:t>
            </w:r>
          </w:p>
          <w:p w:rsidR="00000000" w:rsidRPr="00B973F1" w:rsidP="00B973F1">
            <w:pPr>
              <w:pStyle w:val="ListBullet3"/>
            </w:pPr>
            <w:r w:rsidRPr="00B973F1">
              <w:t>Work clearance systems</w:t>
            </w:r>
          </w:p>
        </w:tc>
      </w:tr>
    </w:tbl>
    <w:p w:rsidR="00000000" w:rsidRPr="00B973F1" w:rsidP="00B973F1">
      <w:pPr>
        <w:pStyle w:val="BodyText"/>
      </w:pPr>
    </w:p>
    <w:p w:rsidR="00000000" w:rsidRPr="00B973F1" w:rsidP="00B973F1">
      <w:pPr>
        <w:pStyle w:val="AllowPageBreak"/>
      </w:pPr>
    </w:p>
    <w:p w:rsidR="00000000" w:rsidRPr="00B973F1" w:rsidP="00B973F1">
      <w:pPr>
        <w:pStyle w:val="Heading1"/>
      </w:pPr>
      <w:bookmarkStart w:id="12" w:name="O_457593"/>
      <w:bookmarkEnd w:id="12"/>
      <w:r w:rsidRPr="00B973F1">
        <w:t>Unit Sector(s)</w:t>
      </w:r>
    </w:p>
    <w:p w:rsidR="00000000" w:rsidRPr="00B973F1" w:rsidP="00B973F1">
      <w:pPr>
        <w:pStyle w:val="BodyText"/>
      </w:pPr>
      <w:r w:rsidRPr="00B973F1">
        <w:t>Not applicable.</w:t>
      </w:r>
    </w:p>
    <w:p w:rsidR="00000000" w:rsidRPr="00B973F1" w:rsidP="00B973F1">
      <w:pPr>
        <w:pStyle w:val="AllowPageBreak"/>
      </w:pPr>
    </w:p>
    <w:p w:rsidR="00000000" w:rsidRPr="00B973F1" w:rsidP="00B973F1">
      <w:pPr>
        <w:pStyle w:val="Heading1"/>
      </w:pPr>
      <w:bookmarkStart w:id="13" w:name="O_457582"/>
      <w:bookmarkEnd w:id="13"/>
      <w:r w:rsidRPr="00B973F1">
        <w:t>Competency Field</w:t>
      </w:r>
    </w:p>
    <w:tbl>
      <w:tblPr>
        <w:tblW w:w="0" w:type="auto"/>
        <w:tblLayout w:type="fixed"/>
        <w:tblCellMar>
          <w:left w:w="62" w:type="dxa"/>
          <w:right w:w="62" w:type="dxa"/>
        </w:tblCellMar>
        <w:tblLook w:val="0000"/>
      </w:tblPr>
      <w:tblGrid>
        <w:gridCol w:w="2700"/>
        <w:gridCol w:w="5760"/>
      </w:tblGrid>
      <w:tr w:rsidTr="00BB74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73F1">
            <w:pPr>
              <w:pStyle w:val="BodyText"/>
              <w:rPr>
                <w:lang w:val="en-NZ"/>
              </w:rPr>
            </w:pPr>
            <w:r w:rsidRPr="00B973F1">
              <w:rPr>
                <w:rStyle w:val="SpecialBold"/>
              </w:rPr>
              <w:t xml:space="preserve">11) </w:t>
            </w:r>
          </w:p>
        </w:tc>
      </w:tr>
      <w:tr w:rsidTr="00BB7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73F1" w:rsidP="00B973F1">
            <w:pPr>
              <w:pStyle w:val="BodyText"/>
            </w:pPr>
            <w:r w:rsidRPr="00B973F1">
              <w:t>Vegetation Units</w:t>
            </w:r>
          </w:p>
        </w:tc>
      </w:tr>
    </w:tbl>
    <w:p w:rsidR="00000000" w:rsidRPr="00B973F1" w:rsidP="00B973F1">
      <w:pPr>
        <w:pStyle w:val="BodyText"/>
      </w:pPr>
    </w:p>
    <w:p w:rsidR="00000000" w:rsidRPr="00B973F1" w:rsidP="00B973F1"/>
    <w:sectPr w:rsidSect="00B973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3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498" w:rsidP="00BB7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3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98" w:rsidP="00B973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B7498" w:rsidP="00B973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B7498" w:rsidP="00B973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3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498" w:rsidP="00BB74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3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98" w:rsidP="00B973F1">
    <w:pPr>
      <w:pStyle w:val="Header"/>
      <w:framePr w:wrap="around"/>
    </w:pPr>
    <w:r>
      <w:fldChar w:fldCharType="begin"/>
    </w:r>
    <w:r>
      <w:instrText xml:space="preserve"> TITLE   \* MERGEFORMAT </w:instrText>
    </w:r>
    <w:r>
      <w:fldChar w:fldCharType="separate"/>
    </w:r>
    <w:r>
      <w:t>UETTDRVC30A Coordinate vegetation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7498" w:rsidP="00B973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82F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4EA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D87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3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73F1"/>
    <w:pPr>
      <w:spacing w:before="360" w:after="60"/>
      <w:outlineLvl w:val="0"/>
    </w:pPr>
    <w:rPr>
      <w:sz w:val="32"/>
    </w:rPr>
  </w:style>
  <w:style w:type="paragraph" w:styleId="Heading2">
    <w:name w:val="heading 2"/>
    <w:basedOn w:val="HeadingBase"/>
    <w:next w:val="BodyText"/>
    <w:link w:val="Heading2Char"/>
    <w:qFormat/>
    <w:rsid w:val="00B973F1"/>
    <w:pPr>
      <w:keepLines/>
      <w:spacing w:before="240" w:after="120"/>
      <w:outlineLvl w:val="1"/>
    </w:pPr>
    <w:rPr>
      <w:sz w:val="28"/>
      <w:szCs w:val="40"/>
    </w:rPr>
  </w:style>
  <w:style w:type="paragraph" w:styleId="Heading3">
    <w:name w:val="heading 3"/>
    <w:basedOn w:val="HeadingBase"/>
    <w:next w:val="BodyText"/>
    <w:link w:val="Heading3Char"/>
    <w:qFormat/>
    <w:rsid w:val="00B973F1"/>
    <w:pPr>
      <w:spacing w:before="180" w:after="120"/>
      <w:outlineLvl w:val="2"/>
    </w:pPr>
    <w:rPr>
      <w:spacing w:val="-10"/>
      <w:kern w:val="32"/>
    </w:rPr>
  </w:style>
  <w:style w:type="paragraph" w:styleId="Heading4">
    <w:name w:val="heading 4"/>
    <w:basedOn w:val="HeadingBase"/>
    <w:next w:val="BodyText"/>
    <w:link w:val="Heading4Char"/>
    <w:qFormat/>
    <w:rsid w:val="00B973F1"/>
    <w:pPr>
      <w:spacing w:before="160" w:after="120"/>
      <w:outlineLvl w:val="3"/>
    </w:pPr>
    <w:rPr>
      <w:sz w:val="22"/>
    </w:rPr>
  </w:style>
  <w:style w:type="paragraph" w:styleId="Heading5">
    <w:name w:val="heading 5"/>
    <w:basedOn w:val="HeadingBase"/>
    <w:next w:val="Normal"/>
    <w:link w:val="Heading5Char"/>
    <w:qFormat/>
    <w:rsid w:val="00B973F1"/>
    <w:pPr>
      <w:spacing w:before="80"/>
      <w:outlineLvl w:val="4"/>
    </w:pPr>
    <w:rPr>
      <w:color w:val="918585"/>
      <w:sz w:val="20"/>
    </w:rPr>
  </w:style>
  <w:style w:type="paragraph" w:styleId="Heading6">
    <w:name w:val="heading 6"/>
    <w:basedOn w:val="HeadingBase"/>
    <w:next w:val="Normal"/>
    <w:link w:val="Heading6Char"/>
    <w:qFormat/>
    <w:rsid w:val="00B973F1"/>
    <w:pPr>
      <w:spacing w:before="60"/>
      <w:outlineLvl w:val="5"/>
    </w:pPr>
    <w:rPr>
      <w:color w:val="918585"/>
      <w:sz w:val="20"/>
    </w:rPr>
  </w:style>
  <w:style w:type="paragraph" w:styleId="Heading7">
    <w:name w:val="heading 7"/>
    <w:basedOn w:val="Normal"/>
    <w:next w:val="Normal"/>
    <w:link w:val="Heading7Char"/>
    <w:qFormat/>
    <w:rsid w:val="00B973F1"/>
    <w:pPr>
      <w:ind w:left="720"/>
      <w:outlineLvl w:val="6"/>
    </w:pPr>
    <w:rPr>
      <w:i/>
    </w:rPr>
  </w:style>
  <w:style w:type="paragraph" w:styleId="Heading8">
    <w:name w:val="heading 8"/>
    <w:basedOn w:val="Normal"/>
    <w:next w:val="Normal"/>
    <w:link w:val="Heading8Char"/>
    <w:qFormat/>
    <w:rsid w:val="00B973F1"/>
    <w:pPr>
      <w:ind w:left="720"/>
      <w:outlineLvl w:val="7"/>
    </w:pPr>
    <w:rPr>
      <w:i/>
    </w:rPr>
  </w:style>
  <w:style w:type="paragraph" w:styleId="Heading9">
    <w:name w:val="heading 9"/>
    <w:basedOn w:val="Normal"/>
    <w:next w:val="Normal"/>
    <w:link w:val="Heading9Char"/>
    <w:qFormat/>
    <w:rsid w:val="00B973F1"/>
    <w:pPr>
      <w:ind w:left="720"/>
      <w:outlineLvl w:val="8"/>
    </w:pPr>
    <w:rPr>
      <w:i/>
    </w:rPr>
  </w:style>
  <w:style w:type="character" w:default="1" w:styleId="DefaultParagraphFont">
    <w:name w:val="Default Paragraph Font"/>
    <w:uiPriority w:val="1"/>
    <w:unhideWhenUsed/>
    <w:rsid w:val="00B973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3F1"/>
  </w:style>
  <w:style w:type="character" w:customStyle="1" w:styleId="Heading1Char">
    <w:name w:val="Heading 1 Char"/>
    <w:basedOn w:val="DefaultParagraphFont"/>
    <w:link w:val="Heading1"/>
    <w:rsid w:val="00B973F1"/>
    <w:rPr>
      <w:rFonts w:ascii="Times New Roman" w:eastAsia="Times New Roman" w:hAnsi="Times New Roman" w:cs="Times New Roman"/>
      <w:b/>
      <w:sz w:val="32"/>
      <w:szCs w:val="20"/>
      <w:lang w:eastAsia="en-US"/>
    </w:rPr>
  </w:style>
  <w:style w:type="paragraph" w:styleId="BodyText">
    <w:name w:val="Body Text"/>
    <w:basedOn w:val="Normal"/>
    <w:link w:val="BodyTextChar"/>
    <w:rsid w:val="00B973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73F1"/>
    <w:rPr>
      <w:rFonts w:ascii="Times New Roman" w:eastAsia="Times New Roman" w:hAnsi="Times New Roman" w:cs="Times New Roman"/>
      <w:sz w:val="24"/>
      <w:lang w:val="en-US" w:eastAsia="en-US"/>
    </w:rPr>
  </w:style>
  <w:style w:type="paragraph" w:styleId="Footer">
    <w:name w:val="footer"/>
    <w:basedOn w:val="Normal"/>
    <w:link w:val="FooterChar"/>
    <w:rsid w:val="00B973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3F1"/>
    <w:rPr>
      <w:rFonts w:ascii="Times New Roman" w:eastAsia="Times New Roman" w:hAnsi="Times New Roman" w:cs="Times New Roman"/>
      <w:sz w:val="16"/>
      <w:lang w:val="en-US" w:eastAsia="en-US"/>
    </w:rPr>
  </w:style>
  <w:style w:type="paragraph" w:styleId="ListBullet">
    <w:name w:val="List Bullet"/>
    <w:basedOn w:val="List"/>
    <w:rsid w:val="00B973F1"/>
    <w:pPr>
      <w:numPr>
        <w:numId w:val="14"/>
      </w:numPr>
      <w:tabs>
        <w:tab w:val="clear" w:pos="340"/>
      </w:tabs>
      <w:spacing w:before="40" w:after="40"/>
    </w:pPr>
  </w:style>
  <w:style w:type="character" w:customStyle="1" w:styleId="SpecialBold">
    <w:name w:val="Special Bold"/>
    <w:basedOn w:val="DefaultParagraphFont"/>
    <w:rsid w:val="00B973F1"/>
    <w:rPr>
      <w:b/>
      <w:spacing w:val="0"/>
    </w:rPr>
  </w:style>
  <w:style w:type="paragraph" w:styleId="ListBullet2">
    <w:name w:val="List Bullet 2"/>
    <w:basedOn w:val="List2"/>
    <w:rsid w:val="00B973F1"/>
    <w:pPr>
      <w:numPr>
        <w:numId w:val="15"/>
      </w:numPr>
      <w:tabs>
        <w:tab w:val="clear" w:pos="680"/>
      </w:tabs>
    </w:pPr>
  </w:style>
  <w:style w:type="paragraph" w:styleId="Header">
    <w:name w:val="header"/>
    <w:basedOn w:val="Normal"/>
    <w:link w:val="HeaderChar"/>
    <w:rsid w:val="00B973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3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73F1"/>
    <w:pPr>
      <w:spacing w:before="240" w:after="120"/>
      <w:outlineLvl w:val="0"/>
    </w:pPr>
    <w:rPr>
      <w:rFonts w:ascii="Times New Roman" w:hAnsi="Times New Roman"/>
      <w:b/>
      <w:sz w:val="28"/>
    </w:rPr>
  </w:style>
  <w:style w:type="paragraph" w:customStyle="1" w:styleId="AllowPageBreak">
    <w:name w:val="AllowPageBreak"/>
    <w:rsid w:val="00B973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73F1"/>
    <w:pPr>
      <w:numPr>
        <w:numId w:val="3"/>
      </w:numPr>
      <w:tabs>
        <w:tab w:val="clear" w:pos="1021"/>
      </w:tabs>
      <w:ind w:left="1037" w:hanging="357"/>
    </w:pPr>
  </w:style>
  <w:style w:type="character" w:customStyle="1" w:styleId="Heading2Char">
    <w:name w:val="Heading 2 Char"/>
    <w:basedOn w:val="DefaultParagraphFont"/>
    <w:link w:val="Heading2"/>
    <w:rsid w:val="00B973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3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3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3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3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3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73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73F1"/>
    <w:rPr>
      <w:rFonts w:ascii="Courier New" w:eastAsia="Times New Roman" w:hAnsi="Courier New" w:cs="Times New Roman"/>
      <w:i/>
      <w:szCs w:val="20"/>
      <w:lang w:val="en-US" w:eastAsia="en-US"/>
    </w:rPr>
  </w:style>
  <w:style w:type="paragraph" w:customStyle="1" w:styleId="HeadingBase">
    <w:name w:val="Heading Base"/>
    <w:rsid w:val="00B973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3F1"/>
    <w:pPr>
      <w:tabs>
        <w:tab w:val="right" w:leader="dot" w:pos="9072"/>
      </w:tabs>
      <w:ind w:left="567"/>
    </w:pPr>
    <w:rPr>
      <w:szCs w:val="22"/>
    </w:rPr>
  </w:style>
  <w:style w:type="paragraph" w:customStyle="1" w:styleId="TOCBase">
    <w:name w:val="TOC Base"/>
    <w:rsid w:val="00B973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3F1"/>
    <w:pPr>
      <w:tabs>
        <w:tab w:val="right" w:leader="dot" w:pos="9072"/>
      </w:tabs>
      <w:spacing w:before="40" w:after="40"/>
      <w:ind w:left="284"/>
    </w:pPr>
    <w:rPr>
      <w:rFonts w:ascii="Times New Roman" w:hAnsi="Times New Roman"/>
    </w:rPr>
  </w:style>
  <w:style w:type="paragraph" w:styleId="TOC1">
    <w:name w:val="toc 1"/>
    <w:basedOn w:val="TOCBase"/>
    <w:next w:val="Normal"/>
    <w:rsid w:val="00B973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73F1"/>
    <w:pPr>
      <w:spacing w:before="5040"/>
      <w:jc w:val="center"/>
    </w:pPr>
    <w:rPr>
      <w:sz w:val="48"/>
      <w:szCs w:val="72"/>
      <w:lang w:val="en-US"/>
    </w:rPr>
  </w:style>
  <w:style w:type="character" w:customStyle="1" w:styleId="TitleChar">
    <w:name w:val="Title Char"/>
    <w:basedOn w:val="DefaultParagraphFont"/>
    <w:link w:val="Title"/>
    <w:rsid w:val="00B973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3F1"/>
    <w:pPr>
      <w:tabs>
        <w:tab w:val="left" w:pos="3600"/>
        <w:tab w:val="left" w:pos="3958"/>
      </w:tabs>
    </w:pPr>
  </w:style>
  <w:style w:type="paragraph" w:styleId="List">
    <w:name w:val="List"/>
    <w:basedOn w:val="BodyText"/>
    <w:next w:val="BodyText"/>
    <w:rsid w:val="00B973F1"/>
    <w:pPr>
      <w:tabs>
        <w:tab w:val="left" w:pos="340"/>
      </w:tabs>
      <w:spacing w:before="60" w:after="60"/>
      <w:ind w:left="340" w:hanging="340"/>
    </w:pPr>
  </w:style>
  <w:style w:type="paragraph" w:customStyle="1" w:styleId="Note">
    <w:name w:val="Note"/>
    <w:basedOn w:val="BodyText"/>
    <w:rsid w:val="00B973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73F1"/>
    <w:pPr>
      <w:framePr w:wrap="auto" w:hAnchor="text" w:y="6049"/>
    </w:pPr>
    <w:rPr>
      <w:color w:val="000000"/>
      <w:sz w:val="40"/>
    </w:rPr>
  </w:style>
  <w:style w:type="paragraph" w:customStyle="1" w:styleId="TOCTitle">
    <w:name w:val="TOCTitle"/>
    <w:basedOn w:val="Heading1"/>
    <w:rsid w:val="00B973F1"/>
    <w:pPr>
      <w:spacing w:after="240"/>
      <w:jc w:val="center"/>
      <w:outlineLvl w:val="9"/>
    </w:pPr>
    <w:rPr>
      <w:caps/>
    </w:rPr>
  </w:style>
  <w:style w:type="paragraph" w:customStyle="1" w:styleId="Version">
    <w:name w:val="Version"/>
    <w:rsid w:val="00B973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3F1"/>
    <w:pPr>
      <w:keepNext w:val="0"/>
      <w:tabs>
        <w:tab w:val="right" w:pos="4176"/>
      </w:tabs>
      <w:ind w:left="198" w:hanging="198"/>
    </w:pPr>
    <w:rPr>
      <w:rFonts w:ascii="Garamond" w:hAnsi="Garamond"/>
    </w:rPr>
  </w:style>
  <w:style w:type="paragraph" w:styleId="IndexHeading">
    <w:name w:val="index heading"/>
    <w:basedOn w:val="Normal"/>
    <w:next w:val="Index1"/>
    <w:semiHidden/>
    <w:rsid w:val="00B973F1"/>
    <w:pPr>
      <w:spacing w:before="120" w:after="120"/>
    </w:pPr>
    <w:rPr>
      <w:rFonts w:ascii="Arial" w:hAnsi="Arial"/>
      <w:b/>
      <w:color w:val="918585"/>
      <w:sz w:val="24"/>
    </w:rPr>
  </w:style>
  <w:style w:type="paragraph" w:customStyle="1" w:styleId="Chapter">
    <w:name w:val="Chapter"/>
    <w:basedOn w:val="Normal"/>
    <w:rsid w:val="00B973F1"/>
    <w:pPr>
      <w:spacing w:before="240"/>
    </w:pPr>
    <w:rPr>
      <w:rFonts w:ascii="Times New Roman" w:hAnsi="Times New Roman"/>
      <w:smallCaps/>
      <w:spacing w:val="80"/>
      <w:sz w:val="28"/>
    </w:rPr>
  </w:style>
  <w:style w:type="paragraph" w:customStyle="1" w:styleId="InChapter">
    <w:name w:val="InChapter"/>
    <w:basedOn w:val="Heading3"/>
    <w:rsid w:val="00B973F1"/>
    <w:pPr>
      <w:spacing w:after="240"/>
      <w:outlineLvl w:val="9"/>
    </w:pPr>
    <w:rPr>
      <w:noProof/>
    </w:rPr>
  </w:style>
  <w:style w:type="paragraph" w:styleId="Index2">
    <w:name w:val="index 2"/>
    <w:basedOn w:val="Normal"/>
    <w:next w:val="Normal"/>
    <w:semiHidden/>
    <w:rsid w:val="00B973F1"/>
    <w:pPr>
      <w:tabs>
        <w:tab w:val="right" w:pos="4176"/>
      </w:tabs>
      <w:ind w:left="568" w:hanging="284"/>
    </w:pPr>
    <w:rPr>
      <w:rFonts w:ascii="Garamond" w:hAnsi="Garamond"/>
    </w:rPr>
  </w:style>
  <w:style w:type="paragraph" w:customStyle="1" w:styleId="Byline">
    <w:name w:val="Byline"/>
    <w:rsid w:val="00B973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3F1"/>
    <w:pPr>
      <w:tabs>
        <w:tab w:val="clear" w:pos="3600"/>
        <w:tab w:val="clear" w:pos="3958"/>
      </w:tabs>
      <w:jc w:val="right"/>
    </w:pPr>
  </w:style>
  <w:style w:type="character" w:styleId="Emphasis">
    <w:name w:val="Emphasis"/>
    <w:basedOn w:val="DefaultParagraphFont"/>
    <w:qFormat/>
    <w:rsid w:val="00B973F1"/>
    <w:rPr>
      <w:i/>
    </w:rPr>
  </w:style>
  <w:style w:type="paragraph" w:styleId="Caption">
    <w:name w:val="caption"/>
    <w:basedOn w:val="BodyText"/>
    <w:next w:val="Normal"/>
    <w:qFormat/>
    <w:rsid w:val="00B973F1"/>
    <w:pPr>
      <w:framePr w:w="2268" w:hSpace="181" w:vSpace="181" w:wrap="around" w:vAnchor="text" w:hAnchor="page" w:x="1135" w:y="285" w:anchorLock="1"/>
    </w:pPr>
    <w:rPr>
      <w:i/>
    </w:rPr>
  </w:style>
  <w:style w:type="paragraph" w:customStyle="1" w:styleId="MiniTOCTitle">
    <w:name w:val="MiniTOCTitle"/>
    <w:basedOn w:val="Heading4"/>
    <w:rsid w:val="00B973F1"/>
    <w:pPr>
      <w:spacing w:before="240"/>
      <w:outlineLvl w:val="9"/>
    </w:pPr>
    <w:rPr>
      <w:noProof/>
      <w:sz w:val="24"/>
    </w:rPr>
  </w:style>
  <w:style w:type="paragraph" w:customStyle="1" w:styleId="MiniTOCItem">
    <w:name w:val="MiniTOCItem"/>
    <w:basedOn w:val="ListBullet"/>
    <w:rsid w:val="00B973F1"/>
    <w:pPr>
      <w:numPr>
        <w:numId w:val="0"/>
      </w:numPr>
      <w:tabs>
        <w:tab w:val="right" w:leader="dot" w:pos="6521"/>
      </w:tabs>
      <w:spacing w:before="0" w:after="0"/>
    </w:pPr>
  </w:style>
  <w:style w:type="paragraph" w:customStyle="1" w:styleId="TOFTitle">
    <w:name w:val="TOFTitle"/>
    <w:basedOn w:val="TOCTitle"/>
    <w:rsid w:val="00B973F1"/>
  </w:style>
  <w:style w:type="paragraph" w:styleId="TableofFigures">
    <w:name w:val="table of figures"/>
    <w:basedOn w:val="Normal"/>
    <w:next w:val="Normal"/>
    <w:semiHidden/>
    <w:rsid w:val="00B973F1"/>
    <w:pPr>
      <w:tabs>
        <w:tab w:val="right" w:leader="dot" w:pos="9072"/>
      </w:tabs>
      <w:ind w:left="970" w:hanging="403"/>
    </w:pPr>
    <w:rPr>
      <w:rFonts w:ascii="Times New Roman" w:hAnsi="Times New Roman"/>
      <w:b/>
    </w:rPr>
  </w:style>
  <w:style w:type="paragraph" w:styleId="ListNumber">
    <w:name w:val="List Number"/>
    <w:basedOn w:val="List"/>
    <w:rsid w:val="00B973F1"/>
    <w:pPr>
      <w:numPr>
        <w:numId w:val="12"/>
      </w:numPr>
    </w:pPr>
  </w:style>
  <w:style w:type="character" w:customStyle="1" w:styleId="WingdingSymbols">
    <w:name w:val="Wingding Symbols"/>
    <w:rsid w:val="00B973F1"/>
    <w:rPr>
      <w:rFonts w:ascii="Wingdings" w:hAnsi="Wingdings"/>
    </w:rPr>
  </w:style>
  <w:style w:type="paragraph" w:customStyle="1" w:styleId="TableHeading">
    <w:name w:val="Table Heading"/>
    <w:basedOn w:val="HeadingBase"/>
    <w:rsid w:val="00B973F1"/>
    <w:pPr>
      <w:keepLines/>
      <w:pBdr>
        <w:bottom w:val="single" w:sz="6" w:space="1" w:color="918585"/>
      </w:pBdr>
      <w:spacing w:before="240"/>
    </w:pPr>
  </w:style>
  <w:style w:type="character" w:customStyle="1" w:styleId="HotSpot">
    <w:name w:val="HotSpot"/>
    <w:rsid w:val="00B973F1"/>
    <w:rPr>
      <w:color w:val="0033CC"/>
      <w:u w:val="none"/>
    </w:rPr>
  </w:style>
  <w:style w:type="paragraph" w:customStyle="1" w:styleId="BodyTextRight">
    <w:name w:val="Body Text Right"/>
    <w:basedOn w:val="BodyText"/>
    <w:rsid w:val="00B973F1"/>
    <w:pPr>
      <w:spacing w:before="0" w:after="0"/>
      <w:jc w:val="right"/>
    </w:pPr>
  </w:style>
  <w:style w:type="paragraph" w:styleId="Index3">
    <w:name w:val="index 3"/>
    <w:basedOn w:val="ListNumber2"/>
    <w:next w:val="Normal"/>
    <w:semiHidden/>
    <w:rsid w:val="00B973F1"/>
    <w:pPr>
      <w:numPr>
        <w:numId w:val="0"/>
      </w:numPr>
      <w:tabs>
        <w:tab w:val="right" w:leader="dot" w:pos="4176"/>
      </w:tabs>
    </w:pPr>
  </w:style>
  <w:style w:type="paragraph" w:styleId="ListNumber2">
    <w:name w:val="List Number 2"/>
    <w:basedOn w:val="List2"/>
    <w:rsid w:val="00B973F1"/>
    <w:pPr>
      <w:numPr>
        <w:numId w:val="11"/>
      </w:numPr>
      <w:tabs>
        <w:tab w:val="clear" w:pos="1060"/>
      </w:tabs>
    </w:pPr>
  </w:style>
  <w:style w:type="paragraph" w:customStyle="1" w:styleId="MarginNote">
    <w:name w:val="Margin Note"/>
    <w:basedOn w:val="BodyText"/>
    <w:rsid w:val="00B973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3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3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73F1"/>
    <w:rPr>
      <w:sz w:val="32"/>
    </w:rPr>
  </w:style>
  <w:style w:type="paragraph" w:customStyle="1" w:styleId="HeadingProcedure">
    <w:name w:val="Heading Procedure"/>
    <w:basedOn w:val="HeadingBase"/>
    <w:next w:val="Normal"/>
    <w:rsid w:val="00B973F1"/>
    <w:pPr>
      <w:tabs>
        <w:tab w:val="left" w:pos="0"/>
      </w:tabs>
      <w:spacing w:before="120" w:after="60"/>
    </w:pPr>
    <w:rPr>
      <w:i/>
      <w:color w:val="918585"/>
      <w:sz w:val="22"/>
    </w:rPr>
  </w:style>
  <w:style w:type="paragraph" w:customStyle="1" w:styleId="TableBodyText">
    <w:name w:val="Table Body Text"/>
    <w:basedOn w:val="BodyText"/>
    <w:rsid w:val="00B973F1"/>
    <w:pPr>
      <w:spacing w:before="60" w:after="60"/>
    </w:pPr>
  </w:style>
  <w:style w:type="paragraph" w:styleId="ListContinue">
    <w:name w:val="List Continue"/>
    <w:basedOn w:val="List"/>
    <w:rsid w:val="00B973F1"/>
    <w:pPr>
      <w:ind w:firstLine="0"/>
    </w:pPr>
  </w:style>
  <w:style w:type="paragraph" w:customStyle="1" w:styleId="ListNote">
    <w:name w:val="List Note"/>
    <w:basedOn w:val="List"/>
    <w:rsid w:val="00B973F1"/>
    <w:pPr>
      <w:pBdr>
        <w:top w:val="single" w:sz="6" w:space="2" w:color="918585"/>
        <w:bottom w:val="single" w:sz="6" w:space="2" w:color="918585"/>
      </w:pBdr>
      <w:tabs>
        <w:tab w:val="left" w:pos="1021"/>
      </w:tabs>
      <w:ind w:firstLine="0"/>
    </w:pPr>
  </w:style>
  <w:style w:type="paragraph" w:customStyle="1" w:styleId="Warning">
    <w:name w:val="Warning"/>
    <w:basedOn w:val="BodyText"/>
    <w:rsid w:val="00B973F1"/>
    <w:pPr>
      <w:shd w:val="clear" w:color="auto" w:fill="D9D9D9"/>
      <w:tabs>
        <w:tab w:val="left" w:pos="992"/>
      </w:tabs>
      <w:ind w:left="119" w:right="119"/>
    </w:pPr>
    <w:rPr>
      <w:sz w:val="20"/>
    </w:rPr>
  </w:style>
  <w:style w:type="paragraph" w:customStyle="1" w:styleId="MarginIcons">
    <w:name w:val="Margin Icons"/>
    <w:basedOn w:val="BodyText"/>
    <w:rsid w:val="00B973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3F1"/>
    <w:rPr>
      <w:rFonts w:ascii="Courier New" w:hAnsi="Courier New"/>
    </w:rPr>
  </w:style>
  <w:style w:type="paragraph" w:customStyle="1" w:styleId="NoteBullet">
    <w:name w:val="Note Bullet"/>
    <w:basedOn w:val="Note"/>
    <w:rsid w:val="00B973F1"/>
    <w:pPr>
      <w:tabs>
        <w:tab w:val="clear" w:pos="680"/>
      </w:tabs>
      <w:spacing w:before="60" w:after="60"/>
    </w:pPr>
  </w:style>
  <w:style w:type="paragraph" w:customStyle="1" w:styleId="SubHeading2">
    <w:name w:val="SubHeading2"/>
    <w:basedOn w:val="HeadingBase"/>
    <w:rsid w:val="00B973F1"/>
    <w:pPr>
      <w:spacing w:before="240" w:after="60"/>
    </w:pPr>
    <w:rPr>
      <w:sz w:val="20"/>
    </w:rPr>
  </w:style>
  <w:style w:type="paragraph" w:customStyle="1" w:styleId="SubHeading1">
    <w:name w:val="SubHeading1"/>
    <w:basedOn w:val="HeadingBase"/>
    <w:rsid w:val="00B973F1"/>
    <w:pPr>
      <w:spacing w:before="240" w:after="60"/>
    </w:pPr>
    <w:rPr>
      <w:color w:val="918585"/>
      <w:sz w:val="22"/>
    </w:rPr>
  </w:style>
  <w:style w:type="paragraph" w:customStyle="1" w:styleId="SideHeading">
    <w:name w:val="Side Heading"/>
    <w:basedOn w:val="HeadingBase"/>
    <w:rsid w:val="00B973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3F1"/>
    <w:pPr>
      <w:numPr>
        <w:numId w:val="13"/>
      </w:numPr>
    </w:pPr>
  </w:style>
  <w:style w:type="paragraph" w:styleId="PlainText">
    <w:name w:val="Plain Text"/>
    <w:basedOn w:val="Normal"/>
    <w:link w:val="PlainTextChar"/>
    <w:rsid w:val="00B973F1"/>
    <w:rPr>
      <w:sz w:val="20"/>
    </w:rPr>
  </w:style>
  <w:style w:type="character" w:customStyle="1" w:styleId="PlainTextChar">
    <w:name w:val="Plain Text Char"/>
    <w:basedOn w:val="DefaultParagraphFont"/>
    <w:link w:val="PlainText"/>
    <w:rsid w:val="00B973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73F1"/>
    <w:rPr>
      <w:b/>
      <w:smallCaps/>
    </w:rPr>
  </w:style>
  <w:style w:type="paragraph" w:customStyle="1" w:styleId="TableListNumber">
    <w:name w:val="Table List Number"/>
    <w:basedOn w:val="ListNumber"/>
    <w:rsid w:val="00B973F1"/>
    <w:pPr>
      <w:numPr>
        <w:numId w:val="0"/>
      </w:numPr>
    </w:pPr>
  </w:style>
  <w:style w:type="paragraph" w:styleId="TOC4">
    <w:name w:val="toc 4"/>
    <w:basedOn w:val="TOCBase"/>
    <w:next w:val="Normal"/>
    <w:semiHidden/>
    <w:rsid w:val="00B973F1"/>
    <w:pPr>
      <w:tabs>
        <w:tab w:val="right" w:leader="dot" w:pos="9071"/>
      </w:tabs>
      <w:ind w:left="1701"/>
    </w:pPr>
  </w:style>
  <w:style w:type="paragraph" w:customStyle="1" w:styleId="ListAlpha">
    <w:name w:val="List Alpha"/>
    <w:basedOn w:val="List"/>
    <w:rsid w:val="00B973F1"/>
    <w:pPr>
      <w:numPr>
        <w:numId w:val="10"/>
      </w:numPr>
    </w:pPr>
  </w:style>
  <w:style w:type="paragraph" w:customStyle="1" w:styleId="ListAlpha2">
    <w:name w:val="List Alpha 2"/>
    <w:basedOn w:val="List2"/>
    <w:rsid w:val="00B973F1"/>
    <w:pPr>
      <w:numPr>
        <w:numId w:val="9"/>
      </w:numPr>
    </w:pPr>
  </w:style>
  <w:style w:type="paragraph" w:styleId="List2">
    <w:name w:val="List 2"/>
    <w:basedOn w:val="BodyText"/>
    <w:rsid w:val="00B973F1"/>
    <w:pPr>
      <w:tabs>
        <w:tab w:val="left" w:pos="680"/>
      </w:tabs>
      <w:spacing w:before="60" w:after="60"/>
      <w:ind w:left="680" w:hanging="340"/>
    </w:pPr>
  </w:style>
  <w:style w:type="paragraph" w:styleId="List3">
    <w:name w:val="List 3"/>
    <w:basedOn w:val="BodyText"/>
    <w:rsid w:val="00B973F1"/>
    <w:pPr>
      <w:tabs>
        <w:tab w:val="left" w:pos="1021"/>
      </w:tabs>
      <w:spacing w:before="60" w:after="60"/>
      <w:ind w:left="1020" w:hanging="340"/>
    </w:pPr>
  </w:style>
  <w:style w:type="paragraph" w:styleId="List4">
    <w:name w:val="List 4"/>
    <w:basedOn w:val="BodyText"/>
    <w:rsid w:val="00B973F1"/>
    <w:pPr>
      <w:tabs>
        <w:tab w:val="left" w:pos="1361"/>
      </w:tabs>
      <w:spacing w:before="60" w:after="60"/>
      <w:ind w:left="1361" w:hanging="340"/>
    </w:pPr>
  </w:style>
  <w:style w:type="paragraph" w:styleId="List5">
    <w:name w:val="List 5"/>
    <w:basedOn w:val="BodyText"/>
    <w:rsid w:val="00B973F1"/>
    <w:pPr>
      <w:tabs>
        <w:tab w:val="left" w:pos="1701"/>
      </w:tabs>
      <w:spacing w:before="60" w:after="60"/>
      <w:ind w:left="1701" w:hanging="340"/>
    </w:pPr>
  </w:style>
  <w:style w:type="paragraph" w:styleId="ListBullet4">
    <w:name w:val="List Bullet 4"/>
    <w:basedOn w:val="List4"/>
    <w:rsid w:val="00B973F1"/>
    <w:pPr>
      <w:numPr>
        <w:numId w:val="4"/>
      </w:numPr>
    </w:pPr>
  </w:style>
  <w:style w:type="paragraph" w:styleId="ListBullet5">
    <w:name w:val="List Bullet 5"/>
    <w:basedOn w:val="List5"/>
    <w:rsid w:val="00B973F1"/>
    <w:pPr>
      <w:numPr>
        <w:numId w:val="5"/>
      </w:numPr>
    </w:pPr>
  </w:style>
  <w:style w:type="paragraph" w:styleId="ListContinue2">
    <w:name w:val="List Continue 2"/>
    <w:basedOn w:val="List2"/>
    <w:rsid w:val="00B973F1"/>
    <w:pPr>
      <w:ind w:firstLine="0"/>
    </w:pPr>
  </w:style>
  <w:style w:type="paragraph" w:styleId="ListContinue3">
    <w:name w:val="List Continue 3"/>
    <w:basedOn w:val="List3"/>
    <w:rsid w:val="00B973F1"/>
    <w:pPr>
      <w:ind w:left="1021" w:firstLine="0"/>
    </w:pPr>
  </w:style>
  <w:style w:type="paragraph" w:styleId="ListContinue4">
    <w:name w:val="List Continue 4"/>
    <w:basedOn w:val="List4"/>
    <w:rsid w:val="00B973F1"/>
    <w:pPr>
      <w:ind w:firstLine="0"/>
    </w:pPr>
  </w:style>
  <w:style w:type="paragraph" w:styleId="ListContinue5">
    <w:name w:val="List Continue 5"/>
    <w:basedOn w:val="List5"/>
    <w:rsid w:val="00B973F1"/>
    <w:pPr>
      <w:ind w:firstLine="0"/>
    </w:pPr>
  </w:style>
  <w:style w:type="paragraph" w:styleId="ListNumber3">
    <w:name w:val="List Number 3"/>
    <w:basedOn w:val="List3"/>
    <w:rsid w:val="00B973F1"/>
    <w:pPr>
      <w:numPr>
        <w:numId w:val="6"/>
      </w:numPr>
    </w:pPr>
  </w:style>
  <w:style w:type="paragraph" w:styleId="ListNumber4">
    <w:name w:val="List Number 4"/>
    <w:basedOn w:val="List4"/>
    <w:rsid w:val="00B973F1"/>
    <w:pPr>
      <w:numPr>
        <w:numId w:val="7"/>
      </w:numPr>
    </w:pPr>
  </w:style>
  <w:style w:type="paragraph" w:styleId="ListNumber5">
    <w:name w:val="List Number 5"/>
    <w:basedOn w:val="List5"/>
    <w:rsid w:val="00B973F1"/>
    <w:pPr>
      <w:numPr>
        <w:numId w:val="8"/>
      </w:numPr>
    </w:pPr>
  </w:style>
  <w:style w:type="paragraph" w:styleId="BlockText">
    <w:name w:val="Block Text"/>
    <w:basedOn w:val="Normal"/>
    <w:rsid w:val="00B973F1"/>
    <w:pPr>
      <w:spacing w:after="120"/>
      <w:ind w:left="1440" w:right="1440"/>
    </w:pPr>
  </w:style>
  <w:style w:type="character" w:customStyle="1" w:styleId="Subscript">
    <w:name w:val="Subscript"/>
    <w:basedOn w:val="DefaultParagraphFont"/>
    <w:rsid w:val="00B973F1"/>
    <w:rPr>
      <w:sz w:val="16"/>
      <w:vertAlign w:val="subscript"/>
    </w:rPr>
  </w:style>
  <w:style w:type="character" w:customStyle="1" w:styleId="Superscript">
    <w:name w:val="Superscript"/>
    <w:basedOn w:val="DefaultParagraphFont"/>
    <w:rsid w:val="00B973F1"/>
    <w:rPr>
      <w:sz w:val="16"/>
      <w:vertAlign w:val="superscript"/>
    </w:rPr>
  </w:style>
  <w:style w:type="character" w:customStyle="1" w:styleId="Symbols">
    <w:name w:val="Symbols"/>
    <w:basedOn w:val="DefaultParagraphFont"/>
    <w:rsid w:val="00B973F1"/>
    <w:rPr>
      <w:rFonts w:ascii="Symbol" w:hAnsi="Symbol"/>
    </w:rPr>
  </w:style>
  <w:style w:type="character" w:customStyle="1" w:styleId="MenuOptions">
    <w:name w:val="Menu Options"/>
    <w:basedOn w:val="DefaultParagraphFont"/>
    <w:rsid w:val="00B973F1"/>
    <w:rPr>
      <w:rFonts w:ascii="Arial Narrow" w:hAnsi="Arial Narrow"/>
      <w:smallCaps/>
    </w:rPr>
  </w:style>
  <w:style w:type="character" w:customStyle="1" w:styleId="Buttons">
    <w:name w:val="Buttons"/>
    <w:basedOn w:val="DefaultParagraphFont"/>
    <w:rsid w:val="00B973F1"/>
    <w:rPr>
      <w:b/>
    </w:rPr>
  </w:style>
  <w:style w:type="character" w:customStyle="1" w:styleId="Underlined">
    <w:name w:val="Underlined"/>
    <w:basedOn w:val="DefaultParagraphFont"/>
    <w:rsid w:val="00B973F1"/>
    <w:rPr>
      <w:u w:val="single"/>
    </w:rPr>
  </w:style>
  <w:style w:type="paragraph" w:customStyle="1" w:styleId="TableBodyTextRight">
    <w:name w:val="Table Body Text Right"/>
    <w:basedOn w:val="TableBodyText"/>
    <w:rsid w:val="00B973F1"/>
    <w:pPr>
      <w:widowControl w:val="0"/>
      <w:autoSpaceDE w:val="0"/>
      <w:autoSpaceDN w:val="0"/>
      <w:adjustRightInd w:val="0"/>
      <w:jc w:val="right"/>
    </w:pPr>
    <w:rPr>
      <w:rFonts w:cs="Arial"/>
      <w:szCs w:val="18"/>
    </w:rPr>
  </w:style>
  <w:style w:type="paragraph" w:customStyle="1" w:styleId="CopyrightText">
    <w:name w:val="Copyright Text"/>
    <w:basedOn w:val="BodyText"/>
    <w:rsid w:val="00B973F1"/>
    <w:rPr>
      <w:sz w:val="18"/>
    </w:rPr>
  </w:style>
  <w:style w:type="paragraph" w:customStyle="1" w:styleId="BodySmallRight">
    <w:name w:val="Body Small Right"/>
    <w:basedOn w:val="BodyTextRight"/>
    <w:rsid w:val="00B973F1"/>
    <w:rPr>
      <w:sz w:val="18"/>
      <w:szCs w:val="18"/>
    </w:rPr>
  </w:style>
  <w:style w:type="paragraph" w:customStyle="1" w:styleId="MarginEdition">
    <w:name w:val="Margin Edition"/>
    <w:basedOn w:val="MarginNote"/>
    <w:rsid w:val="00B973F1"/>
    <w:pPr>
      <w:spacing w:before="0" w:after="0"/>
    </w:pPr>
    <w:rPr>
      <w:rFonts w:ascii="Times New Roman" w:hAnsi="Times New Roman"/>
      <w:color w:val="999999"/>
    </w:rPr>
  </w:style>
  <w:style w:type="paragraph" w:customStyle="1" w:styleId="Spacer">
    <w:name w:val="Spacer"/>
    <w:basedOn w:val="Normal"/>
    <w:rsid w:val="00B973F1"/>
    <w:rPr>
      <w:sz w:val="2"/>
      <w:szCs w:val="2"/>
    </w:rPr>
  </w:style>
  <w:style w:type="character" w:customStyle="1" w:styleId="Small">
    <w:name w:val="Small"/>
    <w:basedOn w:val="DefaultParagraphFont"/>
    <w:rsid w:val="00B973F1"/>
    <w:rPr>
      <w:sz w:val="16"/>
    </w:rPr>
  </w:style>
  <w:style w:type="paragraph" w:customStyle="1" w:styleId="WideTable">
    <w:name w:val="Wide Table"/>
    <w:basedOn w:val="Normal"/>
    <w:rsid w:val="00B973F1"/>
    <w:pPr>
      <w:ind w:left="-1418"/>
    </w:pPr>
    <w:rPr>
      <w:sz w:val="2"/>
      <w:szCs w:val="2"/>
    </w:rPr>
  </w:style>
  <w:style w:type="character" w:styleId="PageNumber">
    <w:name w:val="page number"/>
    <w:basedOn w:val="DefaultParagraphFont"/>
    <w:rsid w:val="00B973F1"/>
  </w:style>
  <w:style w:type="paragraph" w:styleId="Quote">
    <w:name w:val="Quote"/>
    <w:basedOn w:val="Heading1"/>
    <w:link w:val="QuoteChar"/>
    <w:qFormat/>
    <w:rsid w:val="00B973F1"/>
    <w:rPr>
      <w:b w:val="0"/>
      <w:sz w:val="72"/>
      <w:szCs w:val="72"/>
      <w:lang w:val="en-NZ"/>
    </w:rPr>
  </w:style>
  <w:style w:type="character" w:customStyle="1" w:styleId="QuoteChar">
    <w:name w:val="Quote Char"/>
    <w:basedOn w:val="DefaultParagraphFont"/>
    <w:link w:val="Quote"/>
    <w:rsid w:val="00B973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3F1"/>
    <w:pPr>
      <w:pageBreakBefore/>
    </w:pPr>
  </w:style>
  <w:style w:type="paragraph" w:customStyle="1" w:styleId="Border">
    <w:name w:val="Border"/>
    <w:basedOn w:val="Normal"/>
    <w:qFormat/>
    <w:rsid w:val="00B973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3F1"/>
    <w:rPr>
      <w:b/>
      <w:bCs/>
      <w:i/>
      <w:iCs/>
      <w:color w:val="auto"/>
    </w:rPr>
  </w:style>
  <w:style w:type="paragraph" w:styleId="IntenseQuote">
    <w:name w:val="Intense Quote"/>
    <w:basedOn w:val="Normal"/>
    <w:next w:val="Normal"/>
    <w:link w:val="IntenseQuoteChar"/>
    <w:uiPriority w:val="30"/>
    <w:qFormat/>
    <w:rsid w:val="00B973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3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73F1"/>
    <w:rPr>
      <w:smallCaps/>
      <w:color w:val="auto"/>
      <w:u w:val="single"/>
    </w:rPr>
  </w:style>
  <w:style w:type="character" w:styleId="IntenseReference">
    <w:name w:val="Intense Reference"/>
    <w:basedOn w:val="DefaultParagraphFont"/>
    <w:uiPriority w:val="32"/>
    <w:qFormat/>
    <w:rsid w:val="00B973F1"/>
    <w:rPr>
      <w:b/>
      <w:bCs/>
      <w:smallCaps/>
      <w:color w:val="auto"/>
      <w:spacing w:val="5"/>
      <w:u w:val="single"/>
    </w:rPr>
  </w:style>
  <w:style w:type="paragraph" w:customStyle="1" w:styleId="2ColumnHeading">
    <w:name w:val="2Column Heading"/>
    <w:basedOn w:val="BodyText"/>
    <w:qFormat/>
    <w:rsid w:val="00B973F1"/>
    <w:pPr>
      <w:spacing w:after="60"/>
      <w:ind w:left="-2268"/>
    </w:pPr>
    <w:rPr>
      <w:b/>
    </w:rPr>
  </w:style>
  <w:style w:type="paragraph" w:customStyle="1" w:styleId="Heading1TOC">
    <w:name w:val="Heading1 TOC"/>
    <w:basedOn w:val="Normal"/>
    <w:qFormat/>
    <w:rsid w:val="00B973F1"/>
    <w:pPr>
      <w:spacing w:before="240" w:after="120"/>
    </w:pPr>
    <w:rPr>
      <w:rFonts w:ascii="Times New Roman" w:hAnsi="Times New Roman"/>
      <w:b/>
      <w:sz w:val="32"/>
    </w:rPr>
  </w:style>
  <w:style w:type="paragraph" w:customStyle="1" w:styleId="Heading2TOC">
    <w:name w:val="Heading2 TOC"/>
    <w:basedOn w:val="Normal"/>
    <w:qFormat/>
    <w:rsid w:val="00B973F1"/>
    <w:pPr>
      <w:spacing w:before="240" w:after="60"/>
    </w:pPr>
    <w:rPr>
      <w:rFonts w:ascii="Times New Roman" w:hAnsi="Times New Roman"/>
      <w:b/>
      <w:sz w:val="28"/>
    </w:rPr>
  </w:style>
  <w:style w:type="character" w:customStyle="1" w:styleId="Underline">
    <w:name w:val="Underline"/>
    <w:basedOn w:val="DefaultParagraphFont"/>
    <w:qFormat/>
    <w:rsid w:val="00B973F1"/>
    <w:rPr>
      <w:u w:val="single"/>
    </w:rPr>
  </w:style>
  <w:style w:type="character" w:customStyle="1" w:styleId="BoldandItalics">
    <w:name w:val="Bold and Italics"/>
    <w:qFormat/>
    <w:rsid w:val="00B973F1"/>
    <w:rPr>
      <w:b/>
      <w:i/>
      <w:u w:val="none"/>
    </w:rPr>
  </w:style>
  <w:style w:type="paragraph" w:styleId="BalloonText">
    <w:name w:val="Balloon Text"/>
    <w:basedOn w:val="Normal"/>
    <w:link w:val="BalloonTextChar"/>
    <w:rsid w:val="00B973F1"/>
    <w:rPr>
      <w:rFonts w:ascii="Tahoma" w:hAnsi="Tahoma" w:cs="Tahoma"/>
      <w:sz w:val="16"/>
      <w:szCs w:val="16"/>
    </w:rPr>
  </w:style>
  <w:style w:type="character" w:customStyle="1" w:styleId="BalloonTextChar">
    <w:name w:val="Balloon Text Char"/>
    <w:basedOn w:val="DefaultParagraphFont"/>
    <w:link w:val="BalloonText"/>
    <w:rsid w:val="00B973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73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73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3332</Words>
  <Characters>21015</Characters>
  <Application>Microsoft Office Word</Application>
  <DocSecurity>0</DocSecurity>
  <Lines>707</Lines>
  <Paragraphs>280</Paragraphs>
  <ScaleCrop>false</ScaleCrop>
  <Company>Author-it Software Corporation Ltd.</Company>
  <LinksUpToDate>false</LinksUpToDate>
  <CharactersWithSpaces>24165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UETTDRVC30A Coordinate vegetation control operations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2012-05-26T12:29:00Z</dcterms:created>
  <dcterms:modified xsi:type="dcterms:W3CDTF">2012-05-26T12:29:00Z</dcterms:modified>
</cp:coreProperties>
</file>