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2B48" w:rsidP="00222B48">
      <w:pPr>
        <w:pStyle w:val="Title"/>
      </w:pPr>
      <w:r>
        <w:fldChar w:fldCharType="begin"/>
      </w:r>
      <w:r>
        <w:instrText xml:space="preserve"> TITLE   \* MERGEFORMAT </w:instrText>
      </w:r>
      <w:r>
        <w:fldChar w:fldCharType="separate"/>
      </w:r>
      <w:r>
        <w:t>UETTDRVC26A Cut vegetation at ground level near live electrical apparatus</w:t>
      </w:r>
      <w:r>
        <w:fldChar w:fldCharType="end"/>
      </w:r>
    </w:p>
    <w:p w:rsidR="00222B48" w:rsidP="00222B48">
      <w:pPr>
        <w:pStyle w:val="Version"/>
        <w:sectPr w:rsidSect="00E63E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3ED1" w:rsidP="00E63ED1">
      <w:pPr>
        <w:pStyle w:val="SuperHeading"/>
      </w:pPr>
      <w:r w:rsidRPr="00E63ED1">
        <w:t>UETTDRVC26A Cut vegetation at ground level near live electrical apparatus</w:t>
      </w:r>
    </w:p>
    <w:p w:rsidR="00000000" w:rsidRPr="00E63ED1" w:rsidP="00E63ED1">
      <w:pPr>
        <w:pStyle w:val="Heading1"/>
      </w:pPr>
      <w:bookmarkStart w:id="1" w:name="O_457474"/>
      <w:bookmarkEnd w:id="1"/>
      <w:r w:rsidRPr="00E63ED1">
        <w:t>Modification History</w:t>
      </w:r>
    </w:p>
    <w:p w:rsidR="00000000" w:rsidRPr="00E63ED1" w:rsidP="00E63ED1">
      <w:pPr>
        <w:pStyle w:val="BodyText"/>
      </w:pPr>
      <w:r w:rsidRPr="00E63ED1">
        <w:t>Not applicable.</w:t>
      </w:r>
    </w:p>
    <w:p w:rsidR="00000000" w:rsidRPr="00E63ED1" w:rsidP="00E63ED1">
      <w:pPr>
        <w:pStyle w:val="AllowPageBreak"/>
      </w:pPr>
    </w:p>
    <w:p w:rsidR="00000000" w:rsidRPr="00E63ED1" w:rsidP="00E63ED1">
      <w:pPr>
        <w:pStyle w:val="Heading1"/>
      </w:pPr>
      <w:bookmarkStart w:id="2" w:name="O_457472"/>
      <w:bookmarkEnd w:id="2"/>
      <w:r w:rsidRPr="00E63ED1">
        <w:t>Unit Descriptor</w:t>
      </w:r>
    </w:p>
    <w:tbl>
      <w:tblPr>
        <w:tblW w:w="0" w:type="auto"/>
        <w:tblLayout w:type="fixed"/>
        <w:tblCellMar>
          <w:left w:w="62" w:type="dxa"/>
          <w:right w:w="62" w:type="dxa"/>
        </w:tblCellMar>
        <w:tblLook w:val="0000"/>
      </w:tblPr>
      <w:tblGrid>
        <w:gridCol w:w="2700"/>
        <w:gridCol w:w="5760"/>
      </w:tblGrid>
      <w:tr w:rsidTr="00222B4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63ED1" w:rsidP="00E63ED1">
            <w:pPr>
              <w:pStyle w:val="BodyText"/>
            </w:pPr>
            <w:r w:rsidRPr="00E63ED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rPr>
                <w:rStyle w:val="SpecialBold"/>
              </w:rPr>
              <w:t>1)</w:t>
            </w:r>
            <w:r w:rsidRPr="00E63ED1">
              <w:t xml:space="preserve"> </w:t>
            </w:r>
            <w:r w:rsidRPr="00E63ED1">
              <w:rPr>
                <w:rStyle w:val="SpecialBold"/>
              </w:rPr>
              <w:t>Scope:</w:t>
            </w:r>
          </w:p>
        </w:tc>
      </w:tr>
      <w:tr w:rsidTr="00222B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63ED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rPr>
                <w:rStyle w:val="SpecialBold"/>
              </w:rPr>
              <w:t>1.1) Descriptor</w:t>
            </w:r>
          </w:p>
        </w:tc>
      </w:tr>
      <w:tr w:rsidTr="00222B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63ED1" w:rsidP="00E63ED1">
            <w:pPr>
              <w:pStyle w:val="BodyText"/>
            </w:pPr>
            <w:r w:rsidRPr="00E63ED1">
              <w:t>This Competency Standard Unit covers cutting and/or pruning vegetation at ground level and removal of vegetation obstructions up to the live work zone as defined for both Instructed and Authorised Persons in the industry guidelines associated with live ele</w:t>
            </w:r>
            <w:r w:rsidRPr="00E63ED1">
              <w:t>ctrical apparatus using the established cutting plan relevant to the vegetation type. It encompasses the safe use of appropriate/specialised tools and equipment according to requirements and established procedures. It includes safely accessing trees to ins</w:t>
            </w:r>
            <w:r w:rsidRPr="00E63ED1">
              <w:t>tall restraints/slings, removing small trees in a safe manner and, clearing debris from the felling site to eliminate the occurrence of electrical incidents. It DOES NOT include entry of persons, mobile plant, equipment, and/or specialised tools into to th</w:t>
            </w:r>
            <w:r w:rsidRPr="00E63ED1">
              <w:t>e safe approach distance (SAD) as defined.</w:t>
            </w:r>
          </w:p>
          <w:p w:rsidR="00000000" w:rsidRPr="00E63ED1" w:rsidP="00E63ED1">
            <w:pPr>
              <w:pStyle w:val="BodyText"/>
            </w:pPr>
            <w:r w:rsidRPr="00E63ED1">
              <w:t>Also included is the preparation of risk assessment control measures that encompass job safety assessment. All work is in compliance with relevant State or Territory regulatory agencies/bodies, local government le</w:t>
            </w:r>
            <w:r w:rsidRPr="00E63ED1">
              <w:t>gislation, Industry bi-partite body– Guidelines/Codes of Practices or other related requirements for Safe work and access near live Electrical and Mechanical Apparatus.</w:t>
            </w:r>
          </w:p>
        </w:tc>
      </w:tr>
    </w:tbl>
    <w:p w:rsidR="00000000" w:rsidRPr="00E63ED1" w:rsidP="00E63ED1">
      <w:pPr>
        <w:pStyle w:val="BodyText"/>
      </w:pPr>
    </w:p>
    <w:p w:rsidR="00000000" w:rsidRPr="00E63ED1" w:rsidP="00E63ED1">
      <w:pPr>
        <w:pStyle w:val="AllowPageBreak"/>
      </w:pPr>
    </w:p>
    <w:p w:rsidR="00000000" w:rsidRPr="00E63ED1" w:rsidP="00E63ED1">
      <w:pPr>
        <w:pStyle w:val="Heading1"/>
      </w:pPr>
      <w:bookmarkStart w:id="3" w:name="O_457461"/>
      <w:bookmarkEnd w:id="3"/>
      <w:r w:rsidRPr="00E63ED1">
        <w:t>Application of the Unit</w:t>
      </w:r>
    </w:p>
    <w:tbl>
      <w:tblPr>
        <w:tblW w:w="0" w:type="auto"/>
        <w:tblLayout w:type="fixed"/>
        <w:tblCellMar>
          <w:left w:w="62" w:type="dxa"/>
          <w:right w:w="62" w:type="dxa"/>
        </w:tblCellMar>
        <w:tblLook w:val="0000"/>
      </w:tblPr>
      <w:tblGrid>
        <w:gridCol w:w="2672"/>
        <w:gridCol w:w="5699"/>
      </w:tblGrid>
      <w:tr w:rsidTr="00222B4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63ED1" w:rsidP="00E63ED1">
            <w:pPr>
              <w:pStyle w:val="BodyText"/>
            </w:pPr>
            <w:r w:rsidRPr="00E63ED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rPr>
                <w:rStyle w:val="SpecialBold"/>
              </w:rPr>
              <w:t>2)</w:t>
            </w:r>
          </w:p>
        </w:tc>
      </w:tr>
      <w:tr w:rsidTr="00222B4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63ED1" w:rsidP="00E63ED1">
            <w:pPr>
              <w:pStyle w:val="BodyText"/>
            </w:pPr>
            <w:r w:rsidRPr="00E63ED1">
              <w:t xml:space="preserve">This competency standards unit shall apply to Transmission, Distribution, Rail Traction, Telecommunications and Vegetation Management </w:t>
            </w:r>
            <w:r w:rsidRPr="00E63ED1">
              <w:t>Control industry sectors.</w:t>
            </w:r>
          </w:p>
        </w:tc>
      </w:tr>
    </w:tbl>
    <w:p w:rsidR="00000000" w:rsidRPr="00E63ED1" w:rsidP="00E63ED1">
      <w:pPr>
        <w:pStyle w:val="BodyText"/>
      </w:pPr>
    </w:p>
    <w:p w:rsidR="00000000" w:rsidRPr="00E63ED1" w:rsidP="00E63ED1">
      <w:pPr>
        <w:pStyle w:val="AllowPageBreak"/>
      </w:pPr>
    </w:p>
    <w:p w:rsidR="00000000" w:rsidRPr="00E63ED1" w:rsidP="00E63ED1">
      <w:pPr>
        <w:pStyle w:val="Heading1"/>
      </w:pPr>
      <w:bookmarkStart w:id="4" w:name="O_457468"/>
      <w:bookmarkEnd w:id="4"/>
      <w:r w:rsidRPr="00E63ED1">
        <w:t>Licensing/Regulatory Information</w:t>
      </w:r>
    </w:p>
    <w:tbl>
      <w:tblPr>
        <w:tblW w:w="0" w:type="auto"/>
        <w:tblLayout w:type="fixed"/>
        <w:tblCellMar>
          <w:left w:w="62" w:type="dxa"/>
          <w:right w:w="62" w:type="dxa"/>
        </w:tblCellMar>
        <w:tblLook w:val="0000"/>
      </w:tblPr>
      <w:tblGrid>
        <w:gridCol w:w="2700"/>
        <w:gridCol w:w="5760"/>
      </w:tblGrid>
      <w:tr w:rsidTr="00222B4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63ED1" w:rsidP="00E63ED1">
            <w:pPr>
              <w:pStyle w:val="BodyText"/>
            </w:pPr>
            <w:r w:rsidRPr="00E63ED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rPr>
                <w:rStyle w:val="SpecialBold"/>
              </w:rPr>
              <w:t xml:space="preserve">3) </w:t>
            </w:r>
          </w:p>
        </w:tc>
      </w:tr>
      <w:tr w:rsidTr="00222B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63ED1" w:rsidP="00E63ED1">
            <w:pPr>
              <w:pStyle w:val="BodyText"/>
            </w:pPr>
            <w:r w:rsidRPr="00E63ED1">
              <w:t>The skills and kno</w:t>
            </w:r>
            <w:r w:rsidRPr="00E63ED1">
              <w:t>wledge described in this unit may only be practiced under the regulations pertaining to each State and Territory for the safe planning for the removal of vegetation around live powerlines up to the live work zone including near live electrical apparatus, a</w:t>
            </w:r>
            <w:r w:rsidRPr="00E63ED1">
              <w:t>nd regulations that directly relate to Occupational Health and Safety and/or contracts of training where they apply.</w:t>
            </w:r>
          </w:p>
        </w:tc>
      </w:tr>
    </w:tbl>
    <w:p w:rsidR="00000000" w:rsidRPr="00E63ED1" w:rsidP="00E63ED1">
      <w:pPr>
        <w:pStyle w:val="BodyText"/>
      </w:pPr>
    </w:p>
    <w:p w:rsidR="00000000" w:rsidRPr="00E63ED1" w:rsidP="00E63ED1">
      <w:pPr>
        <w:pStyle w:val="AllowPageBreak"/>
      </w:pPr>
    </w:p>
    <w:p w:rsidR="00000000" w:rsidRPr="00E63ED1" w:rsidP="00E63ED1">
      <w:pPr>
        <w:pStyle w:val="Heading1"/>
      </w:pPr>
      <w:bookmarkStart w:id="5" w:name="O_457469"/>
      <w:bookmarkEnd w:id="5"/>
      <w:r w:rsidRPr="00E63ED1">
        <w:t>Pre-Requisites</w:t>
      </w:r>
    </w:p>
    <w:tbl>
      <w:tblPr>
        <w:tblW w:w="0" w:type="auto"/>
        <w:tblLayout w:type="fixed"/>
        <w:tblCellMar>
          <w:left w:w="62" w:type="dxa"/>
          <w:right w:w="62" w:type="dxa"/>
        </w:tblCellMar>
        <w:tblLook w:val="0000"/>
      </w:tblPr>
      <w:tblGrid>
        <w:gridCol w:w="2700"/>
        <w:gridCol w:w="1980"/>
        <w:gridCol w:w="3780"/>
      </w:tblGrid>
      <w:tr w:rsidTr="00222B4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63ED1" w:rsidP="00E63ED1">
            <w:pPr>
              <w:pStyle w:val="BodyText"/>
            </w:pPr>
            <w:r w:rsidRPr="00E63ED1">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rPr>
                <w:rStyle w:val="SpecialBold"/>
              </w:rPr>
              <w:t xml:space="preserve">4) </w:t>
            </w:r>
          </w:p>
        </w:tc>
      </w:tr>
      <w:tr w:rsidTr="00222B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63ED1" w:rsidP="00E63ED1">
            <w:pPr>
              <w:pStyle w:val="BodyText"/>
            </w:pPr>
            <w:r w:rsidRPr="00E63ED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rPr>
                <w:rStyle w:val="SpecialBold"/>
              </w:rPr>
              <w:t>4.1)</w:t>
            </w:r>
          </w:p>
        </w:tc>
      </w:tr>
      <w:tr w:rsidTr="00222B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E63ED1" w:rsidP="00E63ED1">
            <w:pPr>
              <w:pStyle w:val="BodyText"/>
            </w:pPr>
            <w:r w:rsidRPr="00E63ED1">
              <w:t>Granting of competency in this unit shall be made only after competency in the following unit(s) has/have been confirmed.</w:t>
            </w:r>
          </w:p>
          <w:p w:rsidR="00000000" w:rsidRPr="00E63ED1" w:rsidP="00E63ED1">
            <w:pPr>
              <w:pStyle w:val="BodyText"/>
            </w:pPr>
            <w:r w:rsidRPr="00E63ED1">
              <w:t>Where pre-requisite pathways have been identified. All competencies in the Common Unit Group must be have been completed.</w:t>
            </w:r>
          </w:p>
          <w:p w:rsidR="00000000" w:rsidP="00E63ED1">
            <w:pPr>
              <w:pStyle w:val="BodyText"/>
              <w:rPr>
                <w:lang w:val="en-NZ"/>
              </w:rPr>
            </w:pPr>
            <w:r w:rsidRPr="00E63ED1">
              <w:t xml:space="preserve">Common Unit </w:t>
            </w:r>
            <w:r w:rsidRPr="00E63ED1">
              <w:t>Group</w:t>
            </w:r>
          </w:p>
        </w:tc>
      </w:tr>
      <w:tr w:rsidTr="00222B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Unit Code</w:t>
            </w:r>
          </w:p>
        </w:tc>
        <w:tc>
          <w:tcPr>
            <w:tcW w:w="3780"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Unit Title</w:t>
            </w:r>
          </w:p>
        </w:tc>
      </w:tr>
      <w:tr w:rsidTr="00222B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E63ED1">
            <w:pPr>
              <w:pStyle w:val="BodyText"/>
              <w:rPr>
                <w:lang w:val="en-NZ"/>
              </w:rPr>
            </w:pPr>
            <w:r w:rsidRPr="00E63ED1">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E63ED1">
            <w:pPr>
              <w:pStyle w:val="BodyText"/>
              <w:rPr>
                <w:lang w:val="en-NZ"/>
              </w:rPr>
            </w:pPr>
            <w:r w:rsidRPr="00E63ED1">
              <w:t>Apply Occupational Health and Safety regulations, codes and practices in the workplace</w:t>
            </w:r>
          </w:p>
        </w:tc>
      </w:tr>
      <w:tr w:rsidTr="00222B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E63ED1">
            <w:pPr>
              <w:pStyle w:val="BodyText"/>
              <w:rPr>
                <w:lang w:val="en-NZ"/>
              </w:rPr>
            </w:pPr>
            <w:r w:rsidRPr="00E63ED1">
              <w:t>UETTDREL13A</w:t>
            </w:r>
          </w:p>
        </w:tc>
        <w:tc>
          <w:tcPr>
            <w:tcW w:w="3780" w:type="dxa"/>
            <w:tcBorders>
              <w:top w:val="nil"/>
              <w:left w:val="nil"/>
              <w:bottom w:val="nil"/>
              <w:right w:val="nil"/>
            </w:tcBorders>
            <w:tcMar>
              <w:top w:w="0" w:type="dxa"/>
              <w:left w:w="62" w:type="dxa"/>
              <w:bottom w:w="0" w:type="dxa"/>
              <w:right w:w="62" w:type="dxa"/>
            </w:tcMar>
            <w:vAlign w:val="center"/>
          </w:tcPr>
          <w:p w:rsidR="00000000" w:rsidP="00E63ED1">
            <w:pPr>
              <w:pStyle w:val="BodyText"/>
              <w:rPr>
                <w:lang w:val="en-NZ"/>
              </w:rPr>
            </w:pPr>
            <w:r w:rsidRPr="00E63ED1">
              <w:t>Comply with sustainability, environmental and incidental response policies and procedures</w:t>
            </w:r>
          </w:p>
        </w:tc>
      </w:tr>
      <w:tr w:rsidTr="00222B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E63ED1">
            <w:pPr>
              <w:pStyle w:val="BodyText"/>
              <w:rPr>
                <w:lang w:val="en-NZ"/>
              </w:rPr>
            </w:pPr>
            <w:r w:rsidRPr="00E63ED1">
              <w:t>UETTDREL14A</w:t>
            </w:r>
          </w:p>
        </w:tc>
        <w:tc>
          <w:tcPr>
            <w:tcW w:w="3780" w:type="dxa"/>
            <w:tcBorders>
              <w:top w:val="nil"/>
              <w:left w:val="nil"/>
              <w:bottom w:val="nil"/>
              <w:right w:val="nil"/>
            </w:tcBorders>
            <w:tcMar>
              <w:top w:w="0" w:type="dxa"/>
              <w:left w:w="62" w:type="dxa"/>
              <w:bottom w:w="0" w:type="dxa"/>
              <w:right w:w="62" w:type="dxa"/>
            </w:tcMar>
            <w:vAlign w:val="center"/>
          </w:tcPr>
          <w:p w:rsidR="00000000" w:rsidP="00E63ED1">
            <w:pPr>
              <w:pStyle w:val="BodyText"/>
              <w:rPr>
                <w:lang w:val="en-NZ"/>
              </w:rPr>
            </w:pPr>
            <w:r w:rsidRPr="00E63ED1">
              <w:t>Working safely as a non electrical worker near live electrical apparatus</w:t>
            </w:r>
          </w:p>
        </w:tc>
      </w:tr>
      <w:tr w:rsidTr="00222B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E63ED1">
            <w:pPr>
              <w:pStyle w:val="BodyText"/>
              <w:rPr>
                <w:lang w:val="en-NZ"/>
              </w:rPr>
            </w:pPr>
            <w:r w:rsidRPr="00E63ED1">
              <w:t>UETTDRVC23A</w:t>
            </w:r>
          </w:p>
        </w:tc>
        <w:tc>
          <w:tcPr>
            <w:tcW w:w="3780" w:type="dxa"/>
            <w:tcBorders>
              <w:top w:val="nil"/>
              <w:left w:val="nil"/>
              <w:bottom w:val="nil"/>
              <w:right w:val="nil"/>
            </w:tcBorders>
            <w:tcMar>
              <w:top w:w="0" w:type="dxa"/>
              <w:left w:w="62" w:type="dxa"/>
              <w:bottom w:w="0" w:type="dxa"/>
              <w:right w:w="62" w:type="dxa"/>
            </w:tcMar>
            <w:vAlign w:val="center"/>
          </w:tcPr>
          <w:p w:rsidR="00000000" w:rsidP="00E63ED1">
            <w:pPr>
              <w:pStyle w:val="BodyText"/>
              <w:rPr>
                <w:lang w:val="en-NZ"/>
              </w:rPr>
            </w:pPr>
            <w:r w:rsidRPr="00E63ED1">
              <w:t>Plan the removal of vegetation up to vegetation exclusion zone near live electrical apparatus</w:t>
            </w:r>
          </w:p>
        </w:tc>
      </w:tr>
      <w:tr w:rsidTr="00222B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E63ED1">
            <w:pPr>
              <w:pStyle w:val="BodyText"/>
              <w:rPr>
                <w:lang w:val="en-NZ"/>
              </w:rPr>
            </w:pPr>
            <w:r w:rsidRPr="00E63ED1">
              <w:t>UETTDRVC27A</w:t>
            </w:r>
          </w:p>
        </w:tc>
        <w:tc>
          <w:tcPr>
            <w:tcW w:w="3780" w:type="dxa"/>
            <w:tcBorders>
              <w:top w:val="nil"/>
              <w:left w:val="nil"/>
              <w:bottom w:val="nil"/>
              <w:right w:val="nil"/>
            </w:tcBorders>
            <w:tcMar>
              <w:top w:w="0" w:type="dxa"/>
              <w:left w:w="62" w:type="dxa"/>
              <w:bottom w:w="0" w:type="dxa"/>
              <w:right w:w="62" w:type="dxa"/>
            </w:tcMar>
            <w:vAlign w:val="center"/>
          </w:tcPr>
          <w:p w:rsidR="00000000" w:rsidRPr="00E63ED1" w:rsidP="00E63ED1">
            <w:pPr>
              <w:pStyle w:val="BodyText"/>
            </w:pPr>
            <w:r w:rsidRPr="00E63ED1">
              <w:t>Monitor safety compliance for vegetation work near live elect</w:t>
            </w:r>
            <w:r w:rsidRPr="00E63ED1">
              <w:t>rical apparatus</w:t>
            </w:r>
          </w:p>
        </w:tc>
      </w:tr>
    </w:tbl>
    <w:p w:rsidR="00000000" w:rsidRPr="00E63ED1" w:rsidP="00E63ED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22B4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E63ED1" w:rsidP="00E63ED1">
            <w:pPr>
              <w:pStyle w:val="BodyText"/>
            </w:pPr>
            <w:r w:rsidRPr="00E63ED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rPr>
                <w:rStyle w:val="SpecialBold"/>
              </w:rPr>
              <w:t xml:space="preserve">4.2) </w:t>
            </w:r>
          </w:p>
        </w:tc>
      </w:tr>
      <w:tr w:rsidTr="00222B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Participants are best equipped to achieve this unit if they have reading, writing and numeracy skills indicated by the following scales. Description of each scale is given in Volume 2, Part 3 “</w:t>
            </w:r>
            <w:r w:rsidRPr="00E63ED1">
              <w:t>Literacy and Numeracy”</w:t>
            </w:r>
          </w:p>
        </w:tc>
      </w:tr>
      <w:tr w:rsidTr="00222B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Reading</w:t>
            </w:r>
          </w:p>
        </w:tc>
        <w:tc>
          <w:tcPr>
            <w:tcW w:w="810"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2</w:t>
            </w:r>
          </w:p>
        </w:tc>
        <w:tc>
          <w:tcPr>
            <w:tcW w:w="990"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Writing</w:t>
            </w:r>
          </w:p>
        </w:tc>
        <w:tc>
          <w:tcPr>
            <w:tcW w:w="900"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2</w:t>
            </w:r>
          </w:p>
        </w:tc>
        <w:tc>
          <w:tcPr>
            <w:tcW w:w="1260"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Numeracy</w:t>
            </w:r>
          </w:p>
        </w:tc>
        <w:tc>
          <w:tcPr>
            <w:tcW w:w="720" w:type="dxa"/>
            <w:tcBorders>
              <w:top w:val="nil"/>
              <w:left w:val="nil"/>
              <w:bottom w:val="nil"/>
              <w:right w:val="nil"/>
            </w:tcBorders>
            <w:tcMar>
              <w:top w:w="0" w:type="dxa"/>
              <w:left w:w="62" w:type="dxa"/>
              <w:bottom w:w="0" w:type="dxa"/>
              <w:right w:w="62" w:type="dxa"/>
            </w:tcMar>
          </w:tcPr>
          <w:p w:rsidR="00000000" w:rsidRPr="00E63ED1" w:rsidP="00E63ED1">
            <w:pPr>
              <w:pStyle w:val="BodyText"/>
            </w:pPr>
            <w:r w:rsidRPr="00E63ED1">
              <w:t>2</w:t>
            </w:r>
          </w:p>
        </w:tc>
      </w:tr>
    </w:tbl>
    <w:p w:rsidR="00000000" w:rsidRPr="00E63ED1" w:rsidP="00E63ED1">
      <w:pPr>
        <w:pStyle w:val="BodyText"/>
      </w:pPr>
    </w:p>
    <w:p w:rsidR="00000000" w:rsidRPr="00E63ED1" w:rsidP="00E63ED1">
      <w:pPr>
        <w:pStyle w:val="AllowPageBreak"/>
      </w:pPr>
    </w:p>
    <w:p w:rsidR="00000000" w:rsidRPr="00E63ED1" w:rsidP="00E63ED1">
      <w:pPr>
        <w:pStyle w:val="Heading1"/>
      </w:pPr>
      <w:bookmarkStart w:id="6" w:name="O_457465"/>
      <w:bookmarkEnd w:id="6"/>
      <w:r w:rsidRPr="00E63ED1">
        <w:t>Employability Skills Information</w:t>
      </w:r>
    </w:p>
    <w:tbl>
      <w:tblPr>
        <w:tblW w:w="0" w:type="auto"/>
        <w:tblLayout w:type="fixed"/>
        <w:tblCellMar>
          <w:left w:w="62" w:type="dxa"/>
          <w:right w:w="62" w:type="dxa"/>
        </w:tblCellMar>
        <w:tblLook w:val="0000"/>
      </w:tblPr>
      <w:tblGrid>
        <w:gridCol w:w="2700"/>
        <w:gridCol w:w="5760"/>
      </w:tblGrid>
      <w:tr w:rsidTr="00222B4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63ED1" w:rsidP="00E63ED1">
            <w:pPr>
              <w:pStyle w:val="BodyText"/>
            </w:pPr>
            <w:r w:rsidRPr="00E63ED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rPr>
                <w:rStyle w:val="SpecialBold"/>
              </w:rPr>
              <w:t xml:space="preserve">5) </w:t>
            </w:r>
          </w:p>
        </w:tc>
      </w:tr>
      <w:tr w:rsidTr="00222B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63ED1" w:rsidP="00E63ED1">
            <w:pPr>
              <w:pStyle w:val="BodyText"/>
            </w:pPr>
            <w:r w:rsidRPr="00E63ED1">
              <w:t xml:space="preserve">The required outcomes described in this unit </w:t>
            </w:r>
            <w:r w:rsidRPr="00E63ED1">
              <w:t>of competency contain applicable facets of Employability Skills. The Employability Skills Summary of the qualification in which this unit of competency is packaged will assist in identifying Employability Skill requirements.</w:t>
            </w:r>
          </w:p>
        </w:tc>
      </w:tr>
    </w:tbl>
    <w:p w:rsidR="00000000" w:rsidRPr="00E63ED1" w:rsidP="00E63ED1">
      <w:pPr>
        <w:pStyle w:val="BodyText"/>
      </w:pPr>
    </w:p>
    <w:p w:rsidR="00000000" w:rsidRPr="00E63ED1" w:rsidP="00E63ED1">
      <w:pPr>
        <w:pStyle w:val="AllowPageBreak"/>
      </w:pPr>
    </w:p>
    <w:p w:rsidR="00000000" w:rsidRPr="00E63ED1" w:rsidP="00E63ED1">
      <w:pPr>
        <w:pStyle w:val="Heading1"/>
      </w:pPr>
      <w:bookmarkStart w:id="7" w:name="O_457464"/>
      <w:bookmarkEnd w:id="7"/>
      <w:r w:rsidRPr="00E63ED1">
        <w:t>Elements and Performance Criteria Pre-Content</w:t>
      </w:r>
    </w:p>
    <w:tbl>
      <w:tblPr>
        <w:tblW w:w="0" w:type="auto"/>
        <w:tblLayout w:type="fixed"/>
        <w:tblCellMar>
          <w:left w:w="62" w:type="dxa"/>
          <w:right w:w="62" w:type="dxa"/>
        </w:tblCellMar>
        <w:tblLook w:val="0000"/>
      </w:tblPr>
      <w:tblGrid>
        <w:gridCol w:w="2700"/>
        <w:gridCol w:w="5760"/>
      </w:tblGrid>
      <w:tr w:rsidTr="00222B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rPr>
                <w:rStyle w:val="SpecialBold"/>
              </w:rPr>
              <w:t>6)</w:t>
            </w:r>
            <w:r w:rsidRPr="00E63ED1">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63ED1" w:rsidP="00E63ED1">
            <w:pPr>
              <w:pStyle w:val="BodyText"/>
            </w:pPr>
            <w:r w:rsidRPr="00E63ED1">
              <w:t>Performance Criteria describe the required performance needed to demonstrate achievement of the element. Assessment of performance is to</w:t>
            </w:r>
            <w:r w:rsidRPr="00E63ED1">
              <w:t xml:space="preserve"> be consistent with the Evidence Guide.</w:t>
            </w:r>
          </w:p>
        </w:tc>
      </w:tr>
    </w:tbl>
    <w:p w:rsidR="00000000" w:rsidRPr="00E63ED1" w:rsidP="00E63ED1">
      <w:pPr>
        <w:pStyle w:val="BodyText"/>
      </w:pPr>
    </w:p>
    <w:p w:rsidR="00000000" w:rsidRPr="00E63ED1" w:rsidP="00E63ED1">
      <w:pPr>
        <w:pStyle w:val="AllowPageBreak"/>
      </w:pPr>
    </w:p>
    <w:p w:rsidR="00000000" w:rsidRPr="00E63ED1" w:rsidP="00E63ED1">
      <w:pPr>
        <w:pStyle w:val="Heading1"/>
      </w:pPr>
      <w:bookmarkStart w:id="8" w:name="O_457463"/>
      <w:bookmarkEnd w:id="8"/>
      <w:r w:rsidRPr="00E63ED1">
        <w:t>Elements and Performance Criteria</w:t>
      </w:r>
    </w:p>
    <w:tbl>
      <w:tblPr>
        <w:tblW w:w="0" w:type="auto"/>
        <w:tblLayout w:type="fixed"/>
        <w:tblCellMar>
          <w:left w:w="62" w:type="dxa"/>
          <w:right w:w="62" w:type="dxa"/>
        </w:tblCellMar>
        <w:tblLook w:val="0000"/>
      </w:tblPr>
      <w:tblGrid>
        <w:gridCol w:w="405"/>
        <w:gridCol w:w="2295"/>
        <w:gridCol w:w="816"/>
        <w:gridCol w:w="4944"/>
      </w:tblGrid>
      <w:tr w:rsidTr="00222B4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63ED1" w:rsidP="00E63ED1">
            <w:pPr>
              <w:pStyle w:val="BodyText"/>
            </w:pPr>
            <w:r w:rsidRPr="00E63ED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rPr>
                <w:rStyle w:val="SpecialBold"/>
              </w:rPr>
              <w:t>PERFORMANCE CRITERIA</w:t>
            </w:r>
          </w:p>
        </w:tc>
      </w:tr>
      <w:tr w:rsidTr="00222B4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1</w:t>
            </w:r>
          </w:p>
        </w:tc>
        <w:tc>
          <w:tcPr>
            <w:tcW w:w="2295" w:type="dxa"/>
            <w:vMerge w:val="restart"/>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Prepare to cut/prune vegetation at ground level up to vegetation exclusion zone near live electrical apparatus.</w:t>
            </w:r>
          </w:p>
        </w:tc>
        <w:tc>
          <w:tcPr>
            <w:tcW w:w="816"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1.1</w:t>
            </w:r>
          </w:p>
        </w:tc>
        <w:tc>
          <w:tcPr>
            <w:tcW w:w="4944"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Work instructions and cutting plan are received and confirmed.</w:t>
            </w:r>
          </w:p>
        </w:tc>
      </w:tr>
      <w:tr w:rsidTr="00222B4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1.2</w:t>
            </w:r>
          </w:p>
        </w:tc>
        <w:tc>
          <w:tcPr>
            <w:tcW w:w="4944"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Relevant requirements and established procedures to be followed for the work to be performed in accord with the cutting are discussed with all personnel to establish and confirm the work</w:t>
            </w:r>
            <w:r w:rsidRPr="00E63ED1">
              <w:t xml:space="preserve"> schedule.</w:t>
            </w:r>
          </w:p>
        </w:tc>
      </w:tr>
      <w:tr w:rsidTr="00222B4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1.3</w:t>
            </w:r>
          </w:p>
        </w:tc>
        <w:tc>
          <w:tcPr>
            <w:tcW w:w="4944"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OHS policies and procedures to be followed for the work to be performed are received and confirmed.</w:t>
            </w:r>
          </w:p>
        </w:tc>
      </w:tr>
      <w:tr w:rsidTr="00222B4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1.4</w:t>
            </w:r>
          </w:p>
        </w:tc>
        <w:tc>
          <w:tcPr>
            <w:tcW w:w="4944"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Suggestio</w:t>
            </w:r>
            <w:r w:rsidRPr="00E63ED1">
              <w:t>ns to assist and/or improve meeting the cutting of vegetation at ground level outside of the live work zone near electrical apparatus outcomes are made to others involved in the work.</w:t>
            </w:r>
          </w:p>
        </w:tc>
      </w:tr>
      <w:tr w:rsidTr="00222B4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1.5</w:t>
            </w:r>
          </w:p>
        </w:tc>
        <w:tc>
          <w:tcPr>
            <w:tcW w:w="4944"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Hazards are identified, OHS risks associated with working near li</w:t>
            </w:r>
            <w:r w:rsidRPr="00E63ED1">
              <w:t>ve electrical apparatus are identified and reported according to established procedures.</w:t>
            </w:r>
          </w:p>
        </w:tc>
      </w:tr>
      <w:tr w:rsidTr="00222B4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1.6</w:t>
            </w:r>
          </w:p>
        </w:tc>
        <w:tc>
          <w:tcPr>
            <w:tcW w:w="4944"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 xml:space="preserve">Scope of responsibility under the relevant work permit(s)/access authorisation(s) identified according to requirements and established procedures </w:t>
            </w:r>
            <w:r w:rsidRPr="00E63ED1">
              <w:t>with relevant personnel.</w:t>
            </w:r>
          </w:p>
        </w:tc>
      </w:tr>
      <w:tr w:rsidTr="00222B4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1.7</w:t>
            </w:r>
          </w:p>
        </w:tc>
        <w:tc>
          <w:tcPr>
            <w:tcW w:w="4944"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Resources including, vehicles, equipment, tools and personal protective equipment required for the job are obtained and, confirmed in working order according to established procedures.</w:t>
            </w:r>
          </w:p>
        </w:tc>
      </w:tr>
      <w:tr w:rsidTr="00222B4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1.8</w:t>
            </w:r>
          </w:p>
        </w:tc>
        <w:tc>
          <w:tcPr>
            <w:tcW w:w="4944"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Relevant responsibility associat</w:t>
            </w:r>
            <w:r w:rsidRPr="00E63ED1">
              <w:t>ed with First Aid and/or other related work safety procedures at the worksite are confirmed in accordance with requirements and established procedures to ensure safety measures are followed in the instance of an incident.</w:t>
            </w:r>
          </w:p>
        </w:tc>
      </w:tr>
      <w:tr w:rsidTr="00222B4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1.9</w:t>
            </w:r>
          </w:p>
        </w:tc>
        <w:tc>
          <w:tcPr>
            <w:tcW w:w="4944"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Client issues including env</w:t>
            </w:r>
            <w:r w:rsidRPr="00E63ED1">
              <w:t>ironmental values are identified and referred to appropriate personnel in accordance with industry/acceptable /community standards.</w:t>
            </w:r>
          </w:p>
        </w:tc>
      </w:tr>
      <w:tr w:rsidTr="00222B4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1.10</w:t>
            </w:r>
          </w:p>
        </w:tc>
        <w:tc>
          <w:tcPr>
            <w:tcW w:w="4944"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Site is prepared to produce a quality outcome, f</w:t>
            </w:r>
            <w:r w:rsidRPr="00E63ED1">
              <w:t>ollow sustainable energy principles and practices, and to minimise risk and damage to property, commerce, stock and individuals in accordance with established procedures.</w:t>
            </w:r>
          </w:p>
        </w:tc>
      </w:tr>
      <w:tr w:rsidTr="00222B4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1.11</w:t>
            </w:r>
          </w:p>
        </w:tc>
        <w:tc>
          <w:tcPr>
            <w:tcW w:w="4944"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Road signs, barriers and warning devices are obtained and positioned in accor</w:t>
            </w:r>
            <w:r w:rsidRPr="00E63ED1">
              <w:t>dance with given instructions and requirements.</w:t>
            </w:r>
          </w:p>
        </w:tc>
      </w:tr>
      <w:tr w:rsidTr="00222B4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1.12</w:t>
            </w:r>
          </w:p>
        </w:tc>
        <w:tc>
          <w:tcPr>
            <w:tcW w:w="4944"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Pre-operational checks are undertaken to confirm safe and correct operation of tools and equipment for safe use near live electrical apparatus according to requirements and established procedures.</w:t>
            </w:r>
          </w:p>
        </w:tc>
      </w:tr>
      <w:tr w:rsidTr="00222B4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1.13</w:t>
            </w:r>
          </w:p>
        </w:tc>
        <w:tc>
          <w:tcPr>
            <w:tcW w:w="4944"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Work permit(s)/access authorisation(s) are confirmed and received, where applicable, for commencement of the work according to requirements and established procedures with relevant personnel.</w:t>
            </w:r>
          </w:p>
        </w:tc>
      </w:tr>
      <w:tr w:rsidTr="00222B4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2</w:t>
            </w:r>
          </w:p>
        </w:tc>
        <w:tc>
          <w:tcPr>
            <w:tcW w:w="2295"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Carry out the cutting/pruning of vegetation at ground le</w:t>
            </w:r>
            <w:r w:rsidRPr="00E63ED1">
              <w:t>vel up to vegetation exclusion zone near live electrical apparatus.</w:t>
            </w:r>
          </w:p>
        </w:tc>
        <w:tc>
          <w:tcPr>
            <w:tcW w:w="816"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2.1</w:t>
            </w:r>
          </w:p>
        </w:tc>
        <w:tc>
          <w:tcPr>
            <w:tcW w:w="4944"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OHS and sustainable energy principles and practices to reduce the incidents of accidents and minimise waste are followed in accordance with given instructions, requirements and/or esta</w:t>
            </w:r>
            <w:r w:rsidRPr="00E63ED1">
              <w:t>blished procedures.</w:t>
            </w:r>
          </w:p>
        </w:tc>
      </w:tr>
      <w:tr w:rsidTr="00222B4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2.2</w:t>
            </w:r>
          </w:p>
        </w:tc>
        <w:tc>
          <w:tcPr>
            <w:tcW w:w="4944"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 xml:space="preserve">Lifting, climbing, working in confined spaces, and use of tools/equipment, techniques and practices are safely followed in accordance with </w:t>
            </w:r>
            <w:r w:rsidRPr="00E63ED1">
              <w:t>given instructions and, according to requirements confirmed to eliminate the prospects of incidents.</w:t>
            </w:r>
          </w:p>
        </w:tc>
      </w:tr>
      <w:tr w:rsidTr="00222B4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2.3</w:t>
            </w:r>
          </w:p>
        </w:tc>
        <w:tc>
          <w:tcPr>
            <w:tcW w:w="4944"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 xml:space="preserve">Operational knowledge for cutting vegetation species and types at ground level outside of the live work exclusion zone near electrical apparatus is </w:t>
            </w:r>
            <w:r w:rsidRPr="00E63ED1">
              <w:t>confirmed to ensure completion in an agreed timeframe and, to quality standards with a minimum of waste according to requirements and established procedures.</w:t>
            </w:r>
          </w:p>
        </w:tc>
      </w:tr>
      <w:tr w:rsidTr="00222B4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2.4</w:t>
            </w:r>
          </w:p>
        </w:tc>
        <w:tc>
          <w:tcPr>
            <w:tcW w:w="4944"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Cutting of vegetation at ground level outside of the live work zone near electrical apparat</w:t>
            </w:r>
            <w:r w:rsidRPr="00E63ED1">
              <w:t>us is carried out in accordance with the cutting plan and work schedule, and given instructions and established procedures.</w:t>
            </w:r>
          </w:p>
        </w:tc>
      </w:tr>
      <w:tr w:rsidTr="00222B4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2.5</w:t>
            </w:r>
          </w:p>
        </w:tc>
        <w:tc>
          <w:tcPr>
            <w:tcW w:w="4944"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Hazard warnings and safety signs are recognised and hazards and assessed OHS risks are reported/referred to the immediate aut</w:t>
            </w:r>
            <w:r w:rsidRPr="00E63ED1">
              <w:t>horised personnel for directions according to established procedures.</w:t>
            </w:r>
          </w:p>
        </w:tc>
      </w:tr>
      <w:tr w:rsidTr="00222B4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2.6</w:t>
            </w:r>
          </w:p>
        </w:tc>
        <w:tc>
          <w:tcPr>
            <w:tcW w:w="4944"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Non-routine events are referred to the immediate authorised personnel for directions according to established procedures.</w:t>
            </w:r>
          </w:p>
        </w:tc>
      </w:tr>
      <w:tr w:rsidTr="00222B4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2.7</w:t>
            </w:r>
          </w:p>
        </w:tc>
        <w:tc>
          <w:tcPr>
            <w:tcW w:w="4944"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Problems associated with cutting vegetation at ground level outside of the vegetation exclusion zone near electrical apparatus are attended to using acquired known solutions and skills related to routine procedures to ensure work instructions and establish</w:t>
            </w:r>
            <w:r w:rsidRPr="00E63ED1">
              <w:t>ed procedures are met.</w:t>
            </w:r>
          </w:p>
        </w:tc>
      </w:tr>
      <w:tr w:rsidTr="00222B4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2.8</w:t>
            </w:r>
          </w:p>
        </w:tc>
        <w:tc>
          <w:tcPr>
            <w:tcW w:w="4944"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Ongoing checks of quality of the work are undertaken in accordance with given instructions and established procedures.</w:t>
            </w:r>
          </w:p>
        </w:tc>
      </w:tr>
      <w:tr w:rsidTr="00222B4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2.9</w:t>
            </w:r>
          </w:p>
        </w:tc>
        <w:tc>
          <w:tcPr>
            <w:tcW w:w="4944"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OHS and sustainable energy principles and practices to reduce the incidents of accidents and minimis</w:t>
            </w:r>
            <w:r w:rsidRPr="00E63ED1">
              <w:t>e waste are followed in accordance with given instructions, requirements and/or established procedures.</w:t>
            </w:r>
          </w:p>
        </w:tc>
      </w:tr>
      <w:tr w:rsidTr="00222B4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3</w:t>
            </w:r>
          </w:p>
        </w:tc>
        <w:tc>
          <w:tcPr>
            <w:tcW w:w="2295" w:type="dxa"/>
            <w:vMerge w:val="restart"/>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Complete the cutting/pruning of vegetation at ground level up to vegetation exclusion zone near live electrical apparatus.</w:t>
            </w:r>
          </w:p>
        </w:tc>
        <w:tc>
          <w:tcPr>
            <w:tcW w:w="816"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3.1</w:t>
            </w:r>
          </w:p>
        </w:tc>
        <w:tc>
          <w:tcPr>
            <w:tcW w:w="4944"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Work undertaken is checked against cutting plan and work schedule, and anomalies reported to Authorised personnel in accordance with established procedures.</w:t>
            </w:r>
          </w:p>
        </w:tc>
      </w:tr>
      <w:tr w:rsidTr="00222B4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3.2</w:t>
            </w:r>
          </w:p>
        </w:tc>
        <w:tc>
          <w:tcPr>
            <w:tcW w:w="4944"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Accidents and/or incidents are actioned and reported to authorised personnel in accordance w</w:t>
            </w:r>
            <w:r w:rsidRPr="00E63ED1">
              <w:t>ith established procedures.</w:t>
            </w:r>
          </w:p>
        </w:tc>
      </w:tr>
      <w:tr w:rsidTr="00222B4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3.3</w:t>
            </w:r>
          </w:p>
        </w:tc>
        <w:tc>
          <w:tcPr>
            <w:tcW w:w="4944"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Work site is rehabilitated, cleaned-up, sustainable energy principles and practices applied, and made safe in accordance with given instructions and established procedures or an agreed standard.</w:t>
            </w:r>
          </w:p>
        </w:tc>
      </w:tr>
      <w:tr w:rsidTr="00222B4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3.4</w:t>
            </w:r>
          </w:p>
        </w:tc>
        <w:tc>
          <w:tcPr>
            <w:tcW w:w="4944"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Tools, equipment and any surplus resources and materials are, where appropriate, cleaned, checked and returned to storage in accordance with established procedures.</w:t>
            </w:r>
          </w:p>
        </w:tc>
      </w:tr>
      <w:tr w:rsidTr="00222B4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3.5</w:t>
            </w:r>
          </w:p>
        </w:tc>
        <w:tc>
          <w:tcPr>
            <w:tcW w:w="4944"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Appropriate personnel are notified of work completion according to established proce</w:t>
            </w:r>
            <w:r w:rsidRPr="00E63ED1">
              <w:t>dures.</w:t>
            </w:r>
          </w:p>
        </w:tc>
      </w:tr>
      <w:tr w:rsidTr="00222B4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3.6</w:t>
            </w:r>
          </w:p>
        </w:tc>
        <w:tc>
          <w:tcPr>
            <w:tcW w:w="4944"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Post-operational checks, minor maintenance and/or relevant documentation of equipment and tools are conducted according to requirements.</w:t>
            </w:r>
          </w:p>
        </w:tc>
      </w:tr>
      <w:tr w:rsidTr="00222B4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3.7</w:t>
            </w:r>
          </w:p>
        </w:tc>
        <w:tc>
          <w:tcPr>
            <w:tcW w:w="4944"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Requirements for returning work permit(s) and/or access authorisation permits are confirmed, where</w:t>
            </w:r>
            <w:r w:rsidRPr="00E63ED1">
              <w:t xml:space="preserve"> applicable.</w:t>
            </w:r>
          </w:p>
        </w:tc>
      </w:tr>
      <w:tr w:rsidTr="00222B4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3.8</w:t>
            </w:r>
          </w:p>
        </w:tc>
        <w:tc>
          <w:tcPr>
            <w:tcW w:w="4944" w:type="dxa"/>
            <w:tcBorders>
              <w:top w:val="nil"/>
              <w:left w:val="nil"/>
              <w:bottom w:val="nil"/>
              <w:right w:val="nil"/>
            </w:tcBorders>
            <w:tcMar>
              <w:top w:w="0" w:type="dxa"/>
              <w:left w:w="62" w:type="dxa"/>
              <w:bottom w:w="0" w:type="dxa"/>
              <w:right w:w="62" w:type="dxa"/>
            </w:tcMar>
          </w:tcPr>
          <w:p w:rsidR="00000000" w:rsidRPr="00E63ED1" w:rsidP="00E63ED1">
            <w:pPr>
              <w:pStyle w:val="BodyText"/>
            </w:pPr>
            <w:r w:rsidRPr="00E63ED1">
              <w:t>Works completion records, report forms/data sheets are completed accurately in accordance with given instructions and established procedures.</w:t>
            </w:r>
          </w:p>
        </w:tc>
      </w:tr>
    </w:tbl>
    <w:p w:rsidR="00000000" w:rsidRPr="00E63ED1" w:rsidP="00E63ED1">
      <w:pPr>
        <w:pStyle w:val="BodyText"/>
      </w:pPr>
    </w:p>
    <w:p w:rsidR="00000000" w:rsidRPr="00E63ED1" w:rsidP="00E63ED1">
      <w:pPr>
        <w:pStyle w:val="AllowPageBreak"/>
      </w:pPr>
    </w:p>
    <w:p w:rsidR="00000000" w:rsidRPr="00E63ED1" w:rsidP="00E63ED1">
      <w:pPr>
        <w:pStyle w:val="Heading1"/>
      </w:pPr>
      <w:bookmarkStart w:id="9" w:name="O_457471"/>
      <w:bookmarkEnd w:id="9"/>
      <w:r w:rsidRPr="00E63ED1">
        <w:t>Required Skills and Knowledge</w:t>
      </w:r>
    </w:p>
    <w:tbl>
      <w:tblPr>
        <w:tblW w:w="0" w:type="auto"/>
        <w:tblLayout w:type="fixed"/>
        <w:tblCellMar>
          <w:left w:w="62" w:type="dxa"/>
          <w:right w:w="62" w:type="dxa"/>
        </w:tblCellMar>
        <w:tblLook w:val="0000"/>
      </w:tblPr>
      <w:tblGrid>
        <w:gridCol w:w="8460"/>
      </w:tblGrid>
      <w:tr w:rsidTr="00222B4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rPr>
                <w:rStyle w:val="SpecialBold"/>
              </w:rPr>
              <w:t>REQUIRED SKILLS AND KNOWLEDGE</w:t>
            </w:r>
          </w:p>
        </w:tc>
      </w:tr>
      <w:tr w:rsidTr="00222B4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E63ED1" w:rsidP="00E63ED1">
            <w:pPr>
              <w:pStyle w:val="BodyText"/>
            </w:pPr>
            <w:r w:rsidRPr="00E63ED1">
              <w:rPr>
                <w:rStyle w:val="SpecialBold"/>
              </w:rPr>
              <w:t>8)</w:t>
            </w:r>
            <w:r w:rsidRPr="00E63ED1">
              <w:t xml:space="preserve"> Essential Knowledge and Associated Skills (EKAS): This describes the essential skills and knowledge and their level, required for this unit.</w:t>
            </w:r>
          </w:p>
          <w:p w:rsidR="00000000" w:rsidRPr="00E63ED1" w:rsidP="00E63ED1">
            <w:pPr>
              <w:pStyle w:val="BodyText"/>
            </w:pPr>
            <w:r w:rsidRPr="00E63ED1">
              <w:t>Evidence shall show that knowledge has been acquired of cutting vegetation at ground level outside ‘vegetation exc</w:t>
            </w:r>
            <w:r w:rsidRPr="00E63ED1">
              <w:t xml:space="preserve">lusion zone’ near live electrical apparatus. </w:t>
            </w:r>
          </w:p>
          <w:p w:rsidR="00000000" w:rsidRPr="00E63ED1" w:rsidP="00E63ED1">
            <w:pPr>
              <w:pStyle w:val="BodyText"/>
            </w:pPr>
            <w:r w:rsidRPr="00E63ED1">
              <w:t>All knowledge and skills detailed in this unit should be contextualised to current industry practices and technologies.</w:t>
            </w:r>
          </w:p>
          <w:p w:rsidR="00000000" w:rsidRPr="00E63ED1" w:rsidP="00E63ED1">
            <w:pPr>
              <w:pStyle w:val="BodyText"/>
            </w:pPr>
            <w:r w:rsidRPr="00E63ED1">
              <w:t xml:space="preserve">KS01-TVC26A </w:t>
            </w:r>
            <w:r w:rsidRPr="00E63ED1">
              <w:tab/>
              <w:t>ESI vegetation control – ground level</w:t>
            </w:r>
          </w:p>
          <w:p w:rsidR="00000000" w:rsidRPr="00E63ED1" w:rsidP="00E63ED1">
            <w:pPr>
              <w:pStyle w:val="BodyText"/>
            </w:pPr>
            <w:r w:rsidRPr="00E63ED1">
              <w:t>Evidence shall show an understanding of</w:t>
            </w:r>
            <w:r w:rsidRPr="00E63ED1">
              <w:t xml:space="preserve"> vegetation control at ground level near live electrical apparatus to an extent indicated by the following aspects:</w:t>
            </w:r>
          </w:p>
          <w:p w:rsidR="00000000" w:rsidRPr="00E63ED1" w:rsidP="00E63ED1">
            <w:pPr>
              <w:pStyle w:val="BodyText"/>
            </w:pPr>
            <w:r w:rsidRPr="00E63ED1">
              <w:t>T1</w:t>
            </w:r>
            <w:r w:rsidRPr="00E63ED1">
              <w:tab/>
              <w:t>Enterprise specific vegetation control equipment encompassing:</w:t>
            </w:r>
          </w:p>
          <w:p w:rsidR="00000000" w:rsidRPr="00E63ED1" w:rsidP="00E63ED1">
            <w:pPr>
              <w:pStyle w:val="ListBullet"/>
            </w:pPr>
            <w:r w:rsidRPr="00E63ED1">
              <w:t>Types and application of vegetation cutting tools – chainsaws, brush cutt</w:t>
            </w:r>
            <w:r w:rsidRPr="00E63ED1">
              <w:t>ers, hydraulic pruning saws, tool line, specialised pruning tools (cocky beaks and pruning saws)</w:t>
            </w:r>
          </w:p>
          <w:p w:rsidR="00000000" w:rsidRPr="00E63ED1" w:rsidP="00E63ED1">
            <w:pPr>
              <w:pStyle w:val="ListBullet"/>
            </w:pPr>
            <w:r w:rsidRPr="00E63ED1">
              <w:t>Types and application of vegetation mulching tools</w:t>
            </w:r>
          </w:p>
          <w:p w:rsidR="00000000" w:rsidRPr="00E63ED1" w:rsidP="00E63ED1">
            <w:pPr>
              <w:pStyle w:val="ListBullet"/>
            </w:pPr>
            <w:r w:rsidRPr="00E63ED1">
              <w:t>Types and application of herbicide application equipment</w:t>
            </w:r>
          </w:p>
          <w:p w:rsidR="00000000" w:rsidRPr="00E63ED1" w:rsidP="00E63ED1">
            <w:pPr>
              <w:pStyle w:val="ListBullet"/>
            </w:pPr>
            <w:r w:rsidRPr="00E63ED1">
              <w:t>Purpose and use of cutting plans relevant to the vegetation type</w:t>
            </w:r>
          </w:p>
          <w:p w:rsidR="00000000" w:rsidRPr="00E63ED1" w:rsidP="00E63ED1">
            <w:pPr>
              <w:pStyle w:val="ListBullet"/>
            </w:pPr>
            <w:r w:rsidRPr="00E63ED1">
              <w:t>Cutting techniques of vegetation control tools and equipment</w:t>
            </w:r>
          </w:p>
          <w:p w:rsidR="00000000" w:rsidRPr="00E63ED1" w:rsidP="00E63ED1">
            <w:pPr>
              <w:pStyle w:val="ListBullet"/>
            </w:pPr>
            <w:r w:rsidRPr="00E63ED1">
              <w:t xml:space="preserve">Techniques in undertaking different branch cuts - scarf under-cut, top cut technique, top scarf - bottom-back cut technique, side </w:t>
            </w:r>
            <w:r w:rsidRPr="00E63ED1">
              <w:t>scarf opposite back-cut technique</w:t>
            </w:r>
          </w:p>
          <w:p w:rsidR="00000000" w:rsidRPr="00E63ED1" w:rsidP="00E63ED1">
            <w:pPr>
              <w:pStyle w:val="ListBullet"/>
            </w:pPr>
            <w:r w:rsidRPr="00E63ED1">
              <w:t>Pre-operational checks on vegetation control tools and equipment</w:t>
            </w:r>
          </w:p>
          <w:p w:rsidR="00000000" w:rsidRPr="00E63ED1" w:rsidP="00E63ED1">
            <w:pPr>
              <w:pStyle w:val="ListBullet"/>
            </w:pPr>
            <w:r w:rsidRPr="00E63ED1">
              <w:t>Techniques in safely using vegetation control equipment - visual inspection of vegetation control equipment, methods of using equipment at heights and in con</w:t>
            </w:r>
            <w:r w:rsidRPr="00E63ED1">
              <w:t>fined spaces, precautions to note during use of equipment (proximity of other personnel, proximity of powerlines and obstacles, length of power lead and possible fire danger due to sparks)</w:t>
            </w:r>
          </w:p>
          <w:p w:rsidR="00000000" w:rsidRPr="00E63ED1" w:rsidP="00E63ED1">
            <w:pPr>
              <w:pStyle w:val="ListBullet"/>
            </w:pPr>
            <w:r w:rsidRPr="00E63ED1">
              <w:t>Types of personal protective equipment used in conjunction with veg</w:t>
            </w:r>
            <w:r w:rsidRPr="00E63ED1">
              <w:t>etation control equipment - head protection, eye protection, hearing protection, hand protection, foot protection, body protection, general protection.</w:t>
            </w:r>
          </w:p>
          <w:p w:rsidR="00000000" w:rsidRPr="00E63ED1" w:rsidP="00E63ED1">
            <w:pPr>
              <w:pStyle w:val="ListBullet"/>
            </w:pPr>
            <w:r w:rsidRPr="00E63ED1">
              <w:t>Basic maintenance of vegetation control equipment - cleaning, proper storage, basic repair and replaceme</w:t>
            </w:r>
            <w:r w:rsidRPr="00E63ED1">
              <w:t>nt and testing for compliance to manufacturer’s and OHS requirements.</w:t>
            </w:r>
          </w:p>
        </w:tc>
      </w:tr>
    </w:tbl>
    <w:p w:rsidR="00000000" w:rsidRPr="00E63ED1" w:rsidP="00E63ED1">
      <w:pPr>
        <w:pStyle w:val="BodyText"/>
      </w:pPr>
    </w:p>
    <w:p w:rsidR="00000000" w:rsidRPr="00E63ED1" w:rsidP="00E63ED1">
      <w:pPr>
        <w:pStyle w:val="AllowPageBreak"/>
      </w:pPr>
    </w:p>
    <w:p w:rsidR="00000000" w:rsidRPr="00E63ED1" w:rsidP="00E63ED1">
      <w:pPr>
        <w:pStyle w:val="Heading1"/>
      </w:pPr>
      <w:bookmarkStart w:id="10" w:name="O_457466"/>
      <w:bookmarkEnd w:id="10"/>
      <w:r w:rsidRPr="00E63ED1">
        <w:t>Evidence Guide</w:t>
      </w:r>
    </w:p>
    <w:tbl>
      <w:tblPr>
        <w:tblW w:w="0" w:type="auto"/>
        <w:tblLayout w:type="fixed"/>
        <w:tblCellMar>
          <w:left w:w="62" w:type="dxa"/>
          <w:right w:w="62" w:type="dxa"/>
        </w:tblCellMar>
        <w:tblLook w:val="0000"/>
      </w:tblPr>
      <w:tblGrid>
        <w:gridCol w:w="8460"/>
      </w:tblGrid>
      <w:tr w:rsidTr="00222B4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rPr>
                <w:rStyle w:val="SpecialBold"/>
              </w:rPr>
              <w:t>EVIDENCE GUIDE</w:t>
            </w:r>
          </w:p>
        </w:tc>
      </w:tr>
      <w:tr w:rsidTr="00222B4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63ED1" w:rsidP="00E63ED1">
            <w:pPr>
              <w:pStyle w:val="BodyText"/>
            </w:pPr>
            <w:r w:rsidRPr="00E63ED1">
              <w:rPr>
                <w:rStyle w:val="SpecialBold"/>
              </w:rPr>
              <w:t>9)</w:t>
            </w:r>
            <w:r w:rsidRPr="00E63ED1">
              <w:t xml:space="preserve"> This provides essential advice for assessment of the unit of competency and must be read in conjunction </w:t>
            </w:r>
            <w:r w:rsidRPr="00E63ED1">
              <w:t>with the Performance Criteria and the Range Statement of the unit of competency and the Training Package Assessment Guidelines.</w:t>
            </w:r>
          </w:p>
          <w:p w:rsidR="00000000" w:rsidRPr="00E63ED1" w:rsidP="00E63ED1">
            <w:pPr>
              <w:pStyle w:val="BodyText"/>
            </w:pPr>
            <w:r w:rsidRPr="00E63ED1">
              <w:t>The Evidence Guide forms an integral part of this Competency Standard Unit and shall be used in conjunction with all component p</w:t>
            </w:r>
            <w:r w:rsidRPr="00E63ED1">
              <w:t>arts of this unit and, performed in accordance with the Assessment Guidelines of this Training Package.</w:t>
            </w:r>
          </w:p>
        </w:tc>
      </w:tr>
    </w:tbl>
    <w:p w:rsidR="00000000" w:rsidRPr="00E63ED1" w:rsidP="00E63ED1">
      <w:pPr>
        <w:pStyle w:val="BodyText"/>
      </w:pPr>
    </w:p>
    <w:tbl>
      <w:tblPr>
        <w:tblW w:w="0" w:type="auto"/>
        <w:tblLayout w:type="fixed"/>
        <w:tblCellMar>
          <w:left w:w="62" w:type="dxa"/>
          <w:right w:w="62" w:type="dxa"/>
        </w:tblCellMar>
        <w:tblLook w:val="0000"/>
      </w:tblPr>
      <w:tblGrid>
        <w:gridCol w:w="1890"/>
        <w:gridCol w:w="6570"/>
      </w:tblGrid>
      <w:tr w:rsidTr="00222B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63ED1" w:rsidP="00E63ED1">
            <w:pPr>
              <w:pStyle w:val="BodyText"/>
            </w:pPr>
            <w:r w:rsidRPr="00E63ED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rPr>
                <w:rStyle w:val="SpecialBold"/>
              </w:rPr>
              <w:t>9.1)</w:t>
            </w:r>
          </w:p>
        </w:tc>
      </w:tr>
      <w:tr w:rsidTr="00222B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63ED1" w:rsidP="00E63ED1">
            <w:pPr>
              <w:pStyle w:val="BodyText"/>
            </w:pPr>
            <w:r w:rsidRPr="00E63ED1">
              <w:t>Longitudinal competency development approaches to assessment, such as Profiling, require data to be reliably gathered in</w:t>
            </w:r>
            <w:r w:rsidRPr="00E63ED1">
              <w:t xml:space="preserve"> a form that can be consistently interpreted over time. This approach is best utilised in Apprenticeship programs and reduces assessment intervention. It is the Industry’s preferred model for apprenticeships. However, where summative (or final) assessment </w:t>
            </w:r>
            <w:r w:rsidRPr="00E63ED1">
              <w:t>is used it is to include the application of the competency in the normal work environment or, at a minimum, the application of the competency in a realistically simulated work environment. It is recognised that, in some circumstances, assessment in part or</w:t>
            </w:r>
            <w:r w:rsidRPr="00E63ED1">
              <w:t xml:space="preserve"> full can occur outside the workplace. However, it must be in accord with Industry and, Regulatory policy in this regard.</w:t>
            </w:r>
          </w:p>
          <w:p w:rsidR="00000000" w:rsidRPr="00E63ED1" w:rsidP="00E63ED1">
            <w:pPr>
              <w:pStyle w:val="BodyText"/>
            </w:pPr>
            <w:r w:rsidRPr="00E63ED1">
              <w:t>Methods chosen for a particular assessment will be influenced by various factors. These include the extent of the assessment, the most</w:t>
            </w:r>
            <w:r w:rsidRPr="00E63ED1">
              <w:t xml:space="preserve"> effective locations for the assessment activities to take place, access to physical resources, additional safety measures that may be required and the critical nature of the competencies being assessed.</w:t>
            </w:r>
          </w:p>
          <w:p w:rsidR="00000000" w:rsidRPr="00E63ED1" w:rsidP="00E63ED1">
            <w:pPr>
              <w:pStyle w:val="BodyText"/>
            </w:pPr>
            <w:r w:rsidRPr="00E63ED1">
              <w:t>The critical safety nature of working with electricity, electrical equipment, gas or any other hazardous substance/material carries risk in deeming a person competent. Hence, sources of evidence need to be ‘rich’ in nature so as to minimise error in judgme</w:t>
            </w:r>
            <w:r w:rsidRPr="00E63ED1">
              <w:t>nt.</w:t>
            </w:r>
          </w:p>
          <w:p w:rsidR="00000000" w:rsidRPr="00E63ED1" w:rsidP="00E63ED1">
            <w:pPr>
              <w:pStyle w:val="BodyText"/>
            </w:pPr>
            <w:r w:rsidRPr="00E63ED1">
              <w:t>Activities associated with normal every day work have a bearing on the decision as to how much and how detailed the data gathered will contribute to its ‘richness’. Some skills are more critical to safety and operational requirements while the same ski</w:t>
            </w:r>
            <w:r w:rsidRPr="00E63ED1">
              <w:t>lls may be more or less frequently practiced. These points are raised for the assessors to consider when choosing an assessment method and developing assessment instruments. Sample assessment instruments are included for Assessors in the Assessment Guideli</w:t>
            </w:r>
            <w:r w:rsidRPr="00E63ED1">
              <w:t>nes of this Training Package.</w:t>
            </w:r>
          </w:p>
        </w:tc>
      </w:tr>
    </w:tbl>
    <w:p w:rsidR="00000000" w:rsidRPr="00E63ED1" w:rsidP="00E63ED1">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222B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63ED1" w:rsidP="00E63ED1">
            <w:pPr>
              <w:pStyle w:val="BodyText"/>
            </w:pPr>
            <w:r w:rsidRPr="00E63ED1">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rPr>
                <w:rStyle w:val="SpecialBold"/>
              </w:rPr>
              <w:t>9.2)</w:t>
            </w:r>
          </w:p>
        </w:tc>
      </w:tr>
      <w:tr w:rsidTr="00222B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E63ED1" w:rsidP="00E63ED1">
            <w:pPr>
              <w:pStyle w:val="BodyText"/>
            </w:pPr>
            <w:r w:rsidRPr="00E63ED1">
              <w:t>Before the critical aspects of evidence are considered all prerequisites shall be met.</w:t>
            </w:r>
          </w:p>
          <w:p w:rsidR="00000000" w:rsidRPr="00E63ED1" w:rsidP="00E63ED1">
            <w:pPr>
              <w:pStyle w:val="BodyText"/>
            </w:pPr>
            <w:r w:rsidRPr="00E63ED1">
              <w:t>Evidence for competence in this unit shall be cons</w:t>
            </w:r>
            <w:r w:rsidRPr="00E63ED1">
              <w:t>idered holistically. Each Element and associated Performance Criteria shall be demonstrated on at least two occasions in accordance with the “Assessment Guidelines – UET12”. Evidence shall also comprise:</w:t>
            </w:r>
          </w:p>
          <w:p w:rsidR="00000000" w:rsidRPr="00E63ED1" w:rsidP="00E63ED1">
            <w:pPr>
              <w:pStyle w:val="ListBullet"/>
            </w:pPr>
            <w:r w:rsidRPr="00E63ED1">
              <w:t>A representative body of Performance Criteria demon</w:t>
            </w:r>
            <w:r w:rsidRPr="00E63ED1">
              <w:t>strated within the timeframes typically expected of the discipline, work function and industrial environment. In particular this shall incorporate evidence that shows a candidate is able to:</w:t>
            </w:r>
          </w:p>
          <w:p w:rsidR="00000000" w:rsidRPr="00E63ED1" w:rsidP="00E63ED1">
            <w:pPr>
              <w:pStyle w:val="ListBullet2"/>
            </w:pPr>
            <w:r w:rsidRPr="00E63ED1">
              <w:t>Implement Oc</w:t>
            </w:r>
            <w:r w:rsidRPr="00E63ED1">
              <w:t>cupational Health and Safety workplace procedures and practices including the use of risk control measures as specified in the Performance Criteria and range; and</w:t>
            </w:r>
          </w:p>
          <w:p w:rsidR="00000000" w:rsidRPr="00E63ED1" w:rsidP="00E63ED1">
            <w:pPr>
              <w:pStyle w:val="ListBullet2"/>
            </w:pPr>
            <w:r w:rsidRPr="00E63ED1">
              <w:t>Apply sustainable energy principles and practices as specified in the Performance Criteria an</w:t>
            </w:r>
            <w:r w:rsidRPr="00E63ED1">
              <w:t>d range; and</w:t>
            </w:r>
          </w:p>
          <w:p w:rsidR="00000000" w:rsidRPr="00E63ED1" w:rsidP="00E63ED1">
            <w:pPr>
              <w:pStyle w:val="ListBullet2"/>
            </w:pPr>
            <w:r w:rsidRPr="00E63ED1">
              <w:t xml:space="preserve">Demonstrate an understanding of the essential knowledge and associated skills as described in this unit to such an extent that the learner’s performance outcome is reported in accordance with the preferred approach; namely a percentile graded </w:t>
            </w:r>
            <w:r w:rsidRPr="00E63ED1">
              <w:t>result, where required by the regulated environment; and</w:t>
            </w:r>
          </w:p>
          <w:p w:rsidR="00000000" w:rsidRPr="00E63ED1" w:rsidP="00E63ED1">
            <w:pPr>
              <w:pStyle w:val="ListBullet2"/>
            </w:pPr>
            <w:r w:rsidRPr="00E63ED1">
              <w:t>Demonstrate an appropriate level of employability skills; and</w:t>
            </w:r>
          </w:p>
          <w:p w:rsidR="00000000" w:rsidRPr="00E63ED1" w:rsidP="00E63ED1">
            <w:pPr>
              <w:pStyle w:val="ListBullet"/>
            </w:pPr>
            <w:r w:rsidRPr="00E63ED1">
              <w:t>Conduct work observing the relevant Anti Discrimination legislation, regulations, policies and workplace procedures; and</w:t>
            </w:r>
          </w:p>
          <w:p w:rsidR="00000000" w:rsidP="00E63ED1">
            <w:pPr>
              <w:pStyle w:val="ListBullet2"/>
              <w:rPr>
                <w:lang w:val="en-NZ"/>
              </w:rPr>
            </w:pPr>
            <w:r w:rsidRPr="00E63ED1">
              <w:t>Demonstrated p</w:t>
            </w:r>
            <w:r w:rsidRPr="00E63ED1">
              <w:t>erformance across a representative range of contexts from the prescribed items below:</w:t>
            </w:r>
          </w:p>
        </w:tc>
      </w:tr>
      <w:tr w:rsidTr="00222B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E63ED1">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ED1">
            <w:pPr>
              <w:pStyle w:val="BodyText"/>
              <w:rPr>
                <w:lang w:val="en-NZ"/>
              </w:rPr>
            </w:pPr>
            <w:r w:rsidRPr="00E63ED1">
              <w:rPr>
                <w:rStyle w:val="SpecialBold"/>
              </w:rPr>
              <w:t>Range of tools/equipment/materials/procedures/workplaces/other variables</w:t>
            </w:r>
          </w:p>
        </w:tc>
      </w:tr>
      <w:tr w:rsidTr="00222B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E63ED1">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ED1" w:rsidP="00E63ED1">
            <w:pPr>
              <w:pStyle w:val="BodyText"/>
            </w:pPr>
            <w:r w:rsidRPr="00E63ED1">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ED1" w:rsidP="00E63ED1">
            <w:pPr>
              <w:pStyle w:val="BodyText"/>
            </w:pPr>
            <w:r w:rsidRPr="00E63ED1">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ED1">
            <w:pPr>
              <w:pStyle w:val="BodyText"/>
              <w:rPr>
                <w:lang w:val="en-NZ"/>
              </w:rPr>
            </w:pPr>
            <w:r w:rsidRPr="00E63ED1">
              <w:rPr>
                <w:rStyle w:val="SpecialBold"/>
              </w:rPr>
              <w:t>Item List</w:t>
            </w:r>
          </w:p>
        </w:tc>
      </w:tr>
      <w:tr w:rsidTr="00222B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ED1">
            <w:pPr>
              <w:pStyle w:val="BodyText"/>
              <w:rPr>
                <w:lang w:val="en-NZ"/>
              </w:rPr>
            </w:pPr>
            <w:r w:rsidRPr="00E63ED1">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ED1">
            <w:pPr>
              <w:pStyle w:val="BodyText"/>
              <w:rPr>
                <w:lang w:val="en-NZ"/>
              </w:rPr>
            </w:pPr>
            <w:r w:rsidRPr="00E63ED1">
              <w:t>Confirm operational knowledge associated with the cutting vegetation at ground level near live electrical apparatus in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ED1" w:rsidP="00E63ED1">
            <w:pPr>
              <w:pStyle w:val="BodyText"/>
            </w:pPr>
            <w:r w:rsidRPr="00E63ED1">
              <w:t>Principles of electricity, the three phase power system.</w:t>
            </w:r>
          </w:p>
          <w:p w:rsidR="00000000" w:rsidRPr="00E63ED1" w:rsidP="00E63ED1">
            <w:pPr>
              <w:pStyle w:val="BodyText"/>
            </w:pPr>
            <w:r w:rsidRPr="00E63ED1">
              <w:t xml:space="preserve">Power system. </w:t>
            </w:r>
          </w:p>
          <w:p w:rsidR="00000000" w:rsidRPr="00E63ED1" w:rsidP="00E63ED1">
            <w:pPr>
              <w:pStyle w:val="BodyText"/>
            </w:pPr>
            <w:r w:rsidRPr="00E63ED1">
              <w:t>Recognition of aerial voltage systems.</w:t>
            </w:r>
          </w:p>
          <w:p w:rsidR="00000000" w:rsidRPr="00E63ED1" w:rsidP="00E63ED1">
            <w:pPr>
              <w:pStyle w:val="BodyText"/>
            </w:pPr>
            <w:r w:rsidRPr="00E63ED1">
              <w:t>I</w:t>
            </w:r>
            <w:r w:rsidRPr="00E63ED1">
              <w:t>dentification of Low Voltage Aerial Circuits.</w:t>
            </w:r>
          </w:p>
          <w:p w:rsidR="00000000" w:rsidRPr="00E63ED1" w:rsidP="00E63ED1">
            <w:pPr>
              <w:pStyle w:val="BodyText"/>
            </w:pPr>
            <w:r w:rsidRPr="00E63ED1">
              <w:t>Identification of High Voltage Aerial Circuits.</w:t>
            </w:r>
          </w:p>
          <w:p w:rsidR="00000000" w:rsidRPr="00E63ED1" w:rsidP="00E63ED1">
            <w:pPr>
              <w:pStyle w:val="BodyText"/>
            </w:pPr>
            <w:r w:rsidRPr="00E63ED1">
              <w:t>"Safe working zone" and "Ordinary person zone" so defined by relevant authorities.</w:t>
            </w:r>
          </w:p>
          <w:p w:rsidR="00000000" w:rsidRPr="00E63ED1" w:rsidP="00E63ED1">
            <w:pPr>
              <w:pStyle w:val="BodyText"/>
            </w:pPr>
            <w:r w:rsidRPr="00E63ED1">
              <w:t>Use of technical standards, acts, regulations, codes /guidelines and establishe</w:t>
            </w:r>
            <w:r w:rsidRPr="00E63ED1">
              <w:t>d/enterprise/asset owner’s procedures.</w:t>
            </w:r>
          </w:p>
          <w:p w:rsidR="00000000" w:rsidRPr="00E63ED1" w:rsidP="00E63ED1">
            <w:pPr>
              <w:pStyle w:val="BodyText"/>
            </w:pPr>
            <w:r w:rsidRPr="00E63ED1">
              <w:t>System Control - Information required and function.</w:t>
            </w:r>
          </w:p>
          <w:p w:rsidR="00000000" w:rsidRPr="00E63ED1" w:rsidP="00E63ED1">
            <w:pPr>
              <w:pStyle w:val="BodyText"/>
            </w:pPr>
            <w:r w:rsidRPr="00E63ED1">
              <w:t>Vicinity Permit - Information required and function.</w:t>
            </w:r>
          </w:p>
          <w:p w:rsidR="00000000" w:rsidRPr="00E63ED1" w:rsidP="00E63ED1">
            <w:pPr>
              <w:pStyle w:val="BodyText"/>
            </w:pPr>
            <w:r w:rsidRPr="00E63ED1">
              <w:t>Sensitive Earth Fault (SEF) System</w:t>
            </w:r>
          </w:p>
          <w:p w:rsidR="00000000" w:rsidP="00E63ED1">
            <w:pPr>
              <w:pStyle w:val="BodyText"/>
              <w:rPr>
                <w:lang w:val="en-NZ"/>
              </w:rPr>
            </w:pPr>
            <w:r w:rsidRPr="00E63ED1">
              <w:t>Confirm environmental principals and procedures</w:t>
            </w:r>
          </w:p>
        </w:tc>
      </w:tr>
      <w:tr w:rsidTr="00222B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ED1">
            <w:pPr>
              <w:pStyle w:val="BodyText"/>
              <w:rPr>
                <w:lang w:val="en-NZ"/>
              </w:rPr>
            </w:pPr>
            <w:r w:rsidRPr="00E63ED1">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ED1" w:rsidP="00E63ED1">
            <w:pPr>
              <w:pStyle w:val="BodyText"/>
            </w:pPr>
            <w:r w:rsidRPr="00E63ED1">
              <w:t>Confirm safe practices associated with the cutting vegetation at ground level near live electrical apparatus in all of the following:</w:t>
            </w:r>
          </w:p>
          <w:p w:rsidR="00000000">
            <w:pPr>
              <w:pStyle w:val="BodyText"/>
              <w:keepNext w:val="0"/>
              <w:keepLines w:val="0"/>
              <w:contextualSpacing w:val="0"/>
              <w:rPr>
                <w:rFonts w:ascii="Tahoma" w:hAnsi="Tahoma"/>
                <w:color w:val="000000"/>
                <w:sz w:val="20"/>
                <w:lang w:val="en-NZ"/>
              </w:rPr>
            </w:pP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ED1" w:rsidP="00E63ED1">
            <w:pPr>
              <w:pStyle w:val="BodyText"/>
            </w:pPr>
            <w:r w:rsidRPr="00E63ED1">
              <w:t>OHS safety practices and procedures.</w:t>
            </w:r>
          </w:p>
          <w:p w:rsidR="00000000" w:rsidRPr="00E63ED1" w:rsidP="00E63ED1">
            <w:pPr>
              <w:pStyle w:val="BodyText"/>
            </w:pPr>
            <w:r w:rsidRPr="00E63ED1">
              <w:t>Electric shock and resuscitation.</w:t>
            </w:r>
          </w:p>
          <w:p w:rsidR="00000000" w:rsidRPr="00E63ED1" w:rsidP="00E63ED1">
            <w:pPr>
              <w:pStyle w:val="BodyText"/>
            </w:pPr>
            <w:r w:rsidRPr="00E63ED1">
              <w:t>Release and rescue</w:t>
            </w:r>
          </w:p>
          <w:p w:rsidR="00000000" w:rsidRPr="00E63ED1" w:rsidP="00E63ED1">
            <w:pPr>
              <w:pStyle w:val="BodyText"/>
            </w:pPr>
            <w:r w:rsidRPr="00E63ED1">
              <w:t>Role of the Safety Observer</w:t>
            </w:r>
          </w:p>
          <w:p w:rsidR="00000000" w:rsidRPr="00E63ED1" w:rsidP="00E63ED1">
            <w:pPr>
              <w:pStyle w:val="BodyText"/>
            </w:pPr>
            <w:r w:rsidRPr="00E63ED1">
              <w:t>Eve</w:t>
            </w:r>
            <w:r w:rsidRPr="00E63ED1">
              <w:t>nts constituting an incident.</w:t>
            </w:r>
          </w:p>
          <w:p w:rsidR="00000000" w:rsidRPr="00E63ED1" w:rsidP="00E63ED1">
            <w:pPr>
              <w:pStyle w:val="BodyText"/>
            </w:pPr>
            <w:r w:rsidRPr="00E63ED1">
              <w:t>Procedures in the event of/responding to, incidents.</w:t>
            </w:r>
          </w:p>
          <w:p w:rsidR="00000000" w:rsidRPr="00E63ED1" w:rsidP="00E63ED1">
            <w:pPr>
              <w:pStyle w:val="BodyText"/>
            </w:pPr>
            <w:r w:rsidRPr="00E63ED1">
              <w:t>Methods of identifying hazards.</w:t>
            </w:r>
          </w:p>
          <w:p w:rsidR="00000000" w:rsidRPr="00E63ED1" w:rsidP="00E63ED1">
            <w:pPr>
              <w:pStyle w:val="BodyText"/>
            </w:pPr>
            <w:r w:rsidRPr="00E63ED1">
              <w:t>Risk assessment procedures for both worksite and pre-job checklist.</w:t>
            </w:r>
          </w:p>
          <w:p w:rsidR="00000000" w:rsidRPr="00E63ED1" w:rsidP="00E63ED1">
            <w:pPr>
              <w:pStyle w:val="BodyText"/>
            </w:pPr>
            <w:r w:rsidRPr="00E63ED1">
              <w:t>Selection of the best position for monitoring and controlling work (cutti</w:t>
            </w:r>
            <w:r w:rsidRPr="00E63ED1">
              <w:t>ng)</w:t>
            </w:r>
          </w:p>
          <w:p w:rsidR="00000000" w:rsidRPr="00E63ED1" w:rsidP="00E63ED1">
            <w:pPr>
              <w:pStyle w:val="BodyText"/>
            </w:pPr>
            <w:r w:rsidRPr="00E63ED1">
              <w:t>Selection of correct line of site to the cutter</w:t>
            </w:r>
          </w:p>
          <w:p w:rsidR="00000000" w:rsidRPr="00E63ED1" w:rsidP="00E63ED1">
            <w:pPr>
              <w:pStyle w:val="BodyText"/>
            </w:pPr>
            <w:r w:rsidRPr="00E63ED1">
              <w:t>Correct observation of the work from ground level</w:t>
            </w:r>
          </w:p>
          <w:p w:rsidR="00000000" w:rsidP="00E63ED1">
            <w:pPr>
              <w:pStyle w:val="BodyText"/>
              <w:rPr>
                <w:lang w:val="en-NZ"/>
              </w:rPr>
            </w:pPr>
            <w:r w:rsidRPr="00E63ED1">
              <w:t>Constant analysis and decision making relevant to the safety of the work, taking into account prevailing site conditions (lay of the land) and on-going we</w:t>
            </w:r>
            <w:r w:rsidRPr="00E63ED1">
              <w:t>ather conditions.</w:t>
            </w:r>
          </w:p>
        </w:tc>
      </w:tr>
      <w:tr w:rsidTr="00222B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ED1">
            <w:pPr>
              <w:pStyle w:val="BodyText"/>
              <w:rPr>
                <w:lang w:val="en-NZ"/>
              </w:rPr>
            </w:pPr>
            <w:r w:rsidRPr="00E63ED1">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ED1">
            <w:pPr>
              <w:pStyle w:val="BodyText"/>
              <w:rPr>
                <w:lang w:val="en-NZ"/>
              </w:rPr>
            </w:pPr>
            <w:r w:rsidRPr="00E63ED1">
              <w:t>Confirm vegetation control associated with the cutting vegetation at ground near live electrical apparatus in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ED1" w:rsidP="00E63ED1">
            <w:pPr>
              <w:pStyle w:val="BodyText"/>
            </w:pPr>
            <w:r w:rsidRPr="00E63ED1">
              <w:t>Identify tree types</w:t>
            </w:r>
          </w:p>
          <w:p w:rsidR="00000000" w:rsidRPr="00E63ED1" w:rsidP="00E63ED1">
            <w:pPr>
              <w:pStyle w:val="BodyText"/>
            </w:pPr>
            <w:r w:rsidRPr="00E63ED1">
              <w:t>Confirm vegetation species and types</w:t>
            </w:r>
          </w:p>
          <w:p w:rsidR="00000000" w:rsidRPr="00E63ED1" w:rsidP="00E63ED1">
            <w:pPr>
              <w:pStyle w:val="BodyText"/>
            </w:pPr>
            <w:r w:rsidRPr="00E63ED1">
              <w:t>Confirm vegetation cutting techniques for different vegetation</w:t>
            </w:r>
          </w:p>
          <w:p w:rsidR="00000000" w:rsidRPr="00E63ED1" w:rsidP="00E63ED1">
            <w:pPr>
              <w:pStyle w:val="BodyText"/>
            </w:pPr>
            <w:r w:rsidRPr="00E63ED1">
              <w:t>Confirm appropriate vegetation machinery and equipment to be used</w:t>
            </w:r>
          </w:p>
          <w:p w:rsidR="00000000" w:rsidP="00E63ED1">
            <w:pPr>
              <w:pStyle w:val="BodyText"/>
              <w:rPr>
                <w:lang w:val="en-NZ"/>
              </w:rPr>
            </w:pPr>
            <w:r w:rsidRPr="00E63ED1">
              <w:t>Use of feeder route plans</w:t>
            </w:r>
          </w:p>
        </w:tc>
      </w:tr>
      <w:tr w:rsidTr="00222B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ED1">
            <w:pPr>
              <w:pStyle w:val="BodyText"/>
              <w:rPr>
                <w:lang w:val="en-NZ"/>
              </w:rPr>
            </w:pPr>
            <w:r w:rsidRPr="00E63ED1">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ED1">
            <w:pPr>
              <w:pStyle w:val="BodyText"/>
              <w:rPr>
                <w:lang w:val="en-NZ"/>
              </w:rPr>
            </w:pPr>
            <w:r w:rsidRPr="00E63ED1">
              <w:t>Confirm the safe cutting of vegetation at ground near live electrical apparatus in all of the fo</w:t>
            </w:r>
            <w:r w:rsidRPr="00E63ED1">
              <w:t>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ED1" w:rsidP="00E63ED1">
            <w:pPr>
              <w:pStyle w:val="BodyText"/>
            </w:pPr>
            <w:r w:rsidRPr="00E63ED1">
              <w:t>Use of cutting plans relevant to the vegetation type.</w:t>
            </w:r>
          </w:p>
          <w:p w:rsidR="00000000" w:rsidRPr="00E63ED1" w:rsidP="00E63ED1">
            <w:pPr>
              <w:pStyle w:val="BodyText"/>
            </w:pPr>
            <w:r w:rsidRPr="00E63ED1">
              <w:t>Safe use of all relevant personnel protective equipment</w:t>
            </w:r>
          </w:p>
          <w:p w:rsidR="00000000" w:rsidRPr="00E63ED1" w:rsidP="00E63ED1">
            <w:pPr>
              <w:pStyle w:val="BodyText"/>
            </w:pPr>
            <w:r w:rsidRPr="00E63ED1">
              <w:t>Safe use of tools and equipment such as hand saws, chainsaws, specialised tools and equipment and or power pruners at ground level.</w:t>
            </w:r>
          </w:p>
          <w:p w:rsidR="00000000" w:rsidRPr="00E63ED1" w:rsidP="00E63ED1">
            <w:pPr>
              <w:pStyle w:val="BodyText"/>
            </w:pPr>
            <w:r w:rsidRPr="00E63ED1">
              <w:t xml:space="preserve">Safe </w:t>
            </w:r>
            <w:r w:rsidRPr="00E63ED1">
              <w:t>use of chemical control and application at ground level.</w:t>
            </w:r>
          </w:p>
          <w:p w:rsidR="00000000" w:rsidRPr="00E63ED1" w:rsidP="00E63ED1">
            <w:pPr>
              <w:pStyle w:val="BodyText"/>
            </w:pPr>
            <w:r w:rsidRPr="00E63ED1">
              <w:t>Safe cutting, pruning and tree trimming techniques at ground near electrical apparatus</w:t>
            </w:r>
          </w:p>
          <w:p w:rsidR="00000000" w:rsidRPr="00E63ED1" w:rsidP="00E63ED1">
            <w:pPr>
              <w:pStyle w:val="BodyText"/>
            </w:pPr>
            <w:r w:rsidRPr="00E63ED1">
              <w:t>Safe stump removal</w:t>
            </w:r>
          </w:p>
          <w:p w:rsidR="00000000" w:rsidRPr="00E63ED1" w:rsidP="00E63ED1">
            <w:pPr>
              <w:pStyle w:val="BodyText"/>
            </w:pPr>
            <w:r w:rsidRPr="00E63ED1">
              <w:t xml:space="preserve">Conduction of pre and post operational checks, inspection and minor maintenance on tools and </w:t>
            </w:r>
            <w:r w:rsidRPr="00E63ED1">
              <w:t>equipment.</w:t>
            </w:r>
          </w:p>
          <w:p w:rsidR="00000000" w:rsidRPr="00E63ED1" w:rsidP="00E63ED1">
            <w:pPr>
              <w:pStyle w:val="BodyText"/>
            </w:pPr>
            <w:r w:rsidRPr="00E63ED1">
              <w:t>Safe deployment of equipment and tools in varying ground conditions and weather.</w:t>
            </w:r>
          </w:p>
          <w:p w:rsidR="00000000" w:rsidP="00E63ED1">
            <w:pPr>
              <w:pStyle w:val="BodyText"/>
              <w:rPr>
                <w:lang w:val="en-NZ"/>
              </w:rPr>
            </w:pPr>
            <w:r w:rsidRPr="00E63ED1">
              <w:t>Safe debris removal</w:t>
            </w:r>
          </w:p>
        </w:tc>
      </w:tr>
      <w:tr w:rsidTr="00222B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ED1">
            <w:pPr>
              <w:pStyle w:val="BodyText"/>
              <w:rPr>
                <w:lang w:val="en-NZ"/>
              </w:rPr>
            </w:pPr>
            <w:r w:rsidRPr="00E63ED1">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ED1">
            <w:pPr>
              <w:pStyle w:val="BodyText"/>
              <w:rPr>
                <w:lang w:val="en-NZ"/>
              </w:rPr>
            </w:pPr>
            <w:r w:rsidRPr="00E63ED1">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ED1" w:rsidP="00E63ED1">
            <w:pPr>
              <w:pStyle w:val="BodyText"/>
            </w:pPr>
            <w:r w:rsidRPr="00E63ED1">
              <w:t>Dealing with an unplanned event by drawing on essential knowledge and associated skills to provide appropriate solutions incorporated in the holistic assessment with the above listed items.</w:t>
            </w:r>
          </w:p>
        </w:tc>
      </w:tr>
    </w:tbl>
    <w:p w:rsidR="00000000" w:rsidRPr="00E63ED1" w:rsidP="00E63ED1">
      <w:pPr>
        <w:pStyle w:val="BodyText"/>
      </w:pPr>
    </w:p>
    <w:tbl>
      <w:tblPr>
        <w:tblW w:w="0" w:type="auto"/>
        <w:tblLayout w:type="fixed"/>
        <w:tblCellMar>
          <w:left w:w="62" w:type="dxa"/>
          <w:right w:w="62" w:type="dxa"/>
        </w:tblCellMar>
        <w:tblLook w:val="0000"/>
      </w:tblPr>
      <w:tblGrid>
        <w:gridCol w:w="1890"/>
        <w:gridCol w:w="6570"/>
      </w:tblGrid>
      <w:tr w:rsidTr="00222B4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E63ED1" w:rsidP="00E63ED1">
            <w:pPr>
              <w:pStyle w:val="BodyText"/>
            </w:pPr>
            <w:r w:rsidRPr="00E63ED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rPr>
                <w:rStyle w:val="SpecialBold"/>
              </w:rPr>
              <w:t>9.3)</w:t>
            </w:r>
          </w:p>
        </w:tc>
      </w:tr>
      <w:tr w:rsidTr="00222B4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63ED1" w:rsidP="00E63ED1">
            <w:pPr>
              <w:pStyle w:val="BodyText"/>
            </w:pPr>
            <w:r w:rsidRPr="00E63ED1">
              <w:t>This unit should be assessed as it relates to normal work practice using procedures, information and resources typical of a workplace. This should include:</w:t>
            </w:r>
          </w:p>
          <w:p w:rsidR="00000000" w:rsidRPr="00E63ED1" w:rsidP="00E63ED1">
            <w:pPr>
              <w:pStyle w:val="ListBullet"/>
            </w:pPr>
            <w:r w:rsidRPr="00E63ED1">
              <w:t>OHS policy and work procedures and instructions.</w:t>
            </w:r>
          </w:p>
          <w:p w:rsidR="00000000" w:rsidRPr="00E63ED1" w:rsidP="00E63ED1">
            <w:pPr>
              <w:pStyle w:val="ListBullet"/>
            </w:pPr>
            <w:r w:rsidRPr="00E63ED1">
              <w:t>Suitable work environment, facilities, equipment a</w:t>
            </w:r>
            <w:r w:rsidRPr="00E63ED1">
              <w:t>nd materials to safely undertake actual cutting of vegetation at ground level outside the ‘vegetation exclusion zone’ near live electrical apparatus</w:t>
            </w:r>
          </w:p>
          <w:p w:rsidR="00000000" w:rsidRPr="00E63ED1" w:rsidP="00E63ED1">
            <w:pPr>
              <w:pStyle w:val="BodyText"/>
            </w:pPr>
            <w:r w:rsidRPr="00E63ED1">
              <w:t>In addition to the resources listed above, in Context of and specific resources for assessment, evidence sh</w:t>
            </w:r>
            <w:r w:rsidRPr="00E63ED1">
              <w:t>ould show demonstrated competency working below ground, in limited spaces, with different structural/construction types and method and in a variety of environments.</w:t>
            </w:r>
          </w:p>
        </w:tc>
      </w:tr>
    </w:tbl>
    <w:p w:rsidR="00000000" w:rsidRPr="00E63ED1" w:rsidP="00E63ED1">
      <w:pPr>
        <w:pStyle w:val="BodyText"/>
      </w:pPr>
    </w:p>
    <w:tbl>
      <w:tblPr>
        <w:tblW w:w="0" w:type="auto"/>
        <w:tblLayout w:type="fixed"/>
        <w:tblCellMar>
          <w:left w:w="62" w:type="dxa"/>
          <w:right w:w="62" w:type="dxa"/>
        </w:tblCellMar>
        <w:tblLook w:val="0000"/>
      </w:tblPr>
      <w:tblGrid>
        <w:gridCol w:w="1890"/>
        <w:gridCol w:w="6570"/>
      </w:tblGrid>
      <w:tr w:rsidTr="00222B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63ED1" w:rsidP="00E63ED1">
            <w:pPr>
              <w:pStyle w:val="BodyText"/>
            </w:pPr>
            <w:r w:rsidRPr="00E63ED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rPr>
                <w:rStyle w:val="SpecialBold"/>
              </w:rPr>
              <w:t>9.4)</w:t>
            </w:r>
          </w:p>
        </w:tc>
      </w:tr>
      <w:tr w:rsidTr="00222B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63ED1" w:rsidP="00E63ED1">
            <w:pPr>
              <w:pStyle w:val="BodyText"/>
            </w:pPr>
            <w:r w:rsidRPr="00E63ED1">
              <w:t xml:space="preserve">This Competency Standard Unit </w:t>
            </w:r>
            <w:r w:rsidRPr="00E63ED1">
              <w:t>shall be assessed by methods given in Volume 1, Part 3 “Assessment Guidelines”.</w:t>
            </w:r>
          </w:p>
          <w:p w:rsidR="00000000" w:rsidRPr="00E63ED1" w:rsidP="00E63ED1">
            <w:pPr>
              <w:pStyle w:val="BodyText"/>
            </w:pPr>
            <w:r w:rsidRPr="00E63ED1">
              <w:t xml:space="preserve">Note: </w:t>
            </w:r>
          </w:p>
          <w:p w:rsidR="00000000" w:rsidRPr="00E63ED1" w:rsidP="00E63ED1">
            <w:pPr>
              <w:pStyle w:val="BodyText"/>
            </w:pPr>
            <w:r w:rsidRPr="00E63ED1">
              <w:t>Competent performance with inherent safe working practices is expected in the Transmission, Distribution and Rail Traction Industry. This requires that the specified ess</w:t>
            </w:r>
            <w:r w:rsidRPr="00E63ED1">
              <w:t xml:space="preserve">ential knowledge and associated skills are assessed in a structured environment which is primarily intended for learning/assessment and incorporates all necessary equipment and facilities for learners to develop and demonstrate the essential knowledge and </w:t>
            </w:r>
            <w:r w:rsidRPr="00E63ED1">
              <w:t>associated skills described in this unit.</w:t>
            </w:r>
          </w:p>
        </w:tc>
      </w:tr>
    </w:tbl>
    <w:p w:rsidR="00000000" w:rsidRPr="00E63ED1" w:rsidP="00E63ED1">
      <w:pPr>
        <w:pStyle w:val="BodyText"/>
      </w:pPr>
    </w:p>
    <w:tbl>
      <w:tblPr>
        <w:tblW w:w="0" w:type="auto"/>
        <w:tblLayout w:type="fixed"/>
        <w:tblCellMar>
          <w:left w:w="62" w:type="dxa"/>
          <w:right w:w="62" w:type="dxa"/>
        </w:tblCellMar>
        <w:tblLook w:val="0000"/>
      </w:tblPr>
      <w:tblGrid>
        <w:gridCol w:w="1890"/>
        <w:gridCol w:w="2028"/>
        <w:gridCol w:w="4542"/>
      </w:tblGrid>
      <w:tr w:rsidTr="00222B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63ED1" w:rsidP="00E63ED1">
            <w:pPr>
              <w:pStyle w:val="BodyText"/>
            </w:pPr>
            <w:r w:rsidRPr="00E63ED1">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rPr>
                <w:rStyle w:val="SpecialBold"/>
              </w:rPr>
              <w:t>9.5)</w:t>
            </w:r>
          </w:p>
        </w:tc>
      </w:tr>
      <w:tr w:rsidTr="00222B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 xml:space="preserve">For optimisation of training and assessment effort, competence in this unit may be assessed concurrently with the following units: </w:t>
            </w:r>
          </w:p>
        </w:tc>
      </w:tr>
      <w:tr w:rsidTr="00222B48">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8"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RTC2005A</w:t>
            </w:r>
          </w:p>
        </w:tc>
        <w:tc>
          <w:tcPr>
            <w:tcW w:w="4542"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Fell small trees</w:t>
            </w:r>
          </w:p>
        </w:tc>
      </w:tr>
      <w:tr w:rsidTr="00222B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8"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t>RTC2706A</w:t>
            </w:r>
          </w:p>
        </w:tc>
        <w:tc>
          <w:tcPr>
            <w:tcW w:w="4542" w:type="dxa"/>
            <w:tcBorders>
              <w:top w:val="nil"/>
              <w:left w:val="nil"/>
              <w:bottom w:val="nil"/>
              <w:right w:val="nil"/>
            </w:tcBorders>
            <w:tcMar>
              <w:top w:w="0" w:type="dxa"/>
              <w:left w:w="62" w:type="dxa"/>
              <w:bottom w:w="0" w:type="dxa"/>
              <w:right w:w="62" w:type="dxa"/>
            </w:tcMar>
          </w:tcPr>
          <w:p w:rsidR="00000000" w:rsidRPr="00E63ED1" w:rsidP="00E63ED1">
            <w:pPr>
              <w:pStyle w:val="BodyText"/>
            </w:pPr>
            <w:r w:rsidRPr="00E63ED1">
              <w:t>Apply chemicals under supervision</w:t>
            </w:r>
          </w:p>
        </w:tc>
      </w:tr>
    </w:tbl>
    <w:p w:rsidR="00000000" w:rsidRPr="00E63ED1" w:rsidP="00E63ED1">
      <w:pPr>
        <w:pStyle w:val="BodyText"/>
      </w:pPr>
    </w:p>
    <w:p w:rsidR="00000000" w:rsidRPr="00E63ED1" w:rsidP="00E63ED1">
      <w:pPr>
        <w:pStyle w:val="AllowPageBreak"/>
      </w:pPr>
    </w:p>
    <w:p w:rsidR="00000000" w:rsidRPr="00E63ED1" w:rsidP="00E63ED1">
      <w:pPr>
        <w:pStyle w:val="Heading1"/>
      </w:pPr>
      <w:bookmarkStart w:id="11" w:name="O_457470"/>
      <w:bookmarkEnd w:id="11"/>
      <w:r w:rsidRPr="00E63ED1">
        <w:t>Range Statement</w:t>
      </w:r>
    </w:p>
    <w:tbl>
      <w:tblPr>
        <w:tblW w:w="0" w:type="auto"/>
        <w:tblLayout w:type="fixed"/>
        <w:tblCellMar>
          <w:left w:w="62" w:type="dxa"/>
          <w:right w:w="62" w:type="dxa"/>
        </w:tblCellMar>
        <w:tblLook w:val="0000"/>
      </w:tblPr>
      <w:tblGrid>
        <w:gridCol w:w="8460"/>
      </w:tblGrid>
      <w:tr w:rsidTr="00222B4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rPr>
                <w:rStyle w:val="SpecialBold"/>
              </w:rPr>
              <w:t>RANGE STATEMENT</w:t>
            </w:r>
          </w:p>
        </w:tc>
      </w:tr>
      <w:tr w:rsidTr="00222B4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63ED1" w:rsidP="00E63ED1">
            <w:pPr>
              <w:pStyle w:val="BodyText"/>
            </w:pPr>
            <w:r w:rsidRPr="00E63ED1">
              <w:rPr>
                <w:rStyle w:val="SpecialBold"/>
              </w:rPr>
              <w:t>10)</w:t>
            </w:r>
            <w:r w:rsidRPr="00E63ED1">
              <w:t xml:space="preserve"> This relates to the unit of competency as a whole providing the range of contexts and conditions </w:t>
            </w:r>
            <w:r w:rsidRPr="00E63ED1">
              <w:t>to which the Performance Criteria apply. It allows for different work environments and situations that will affect performance.</w:t>
            </w:r>
          </w:p>
          <w:p w:rsidR="00000000" w:rsidRPr="00E63ED1" w:rsidP="00E63ED1">
            <w:pPr>
              <w:pStyle w:val="BodyText"/>
            </w:pPr>
            <w:r w:rsidRPr="00E63ED1">
              <w:t>This Competency Standard Unit shall be demonstrated in relation to cutting and/or pruning vegetation at ground level and removal</w:t>
            </w:r>
            <w:r w:rsidRPr="00E63ED1">
              <w:t xml:space="preserve"> of vegetation obstructions up to the live work zone as defined for both Authorised and Instructed Persons in the industry guidelines associated with live electrical apparatus.</w:t>
            </w:r>
          </w:p>
          <w:p w:rsidR="00000000" w:rsidRPr="00E63ED1" w:rsidP="00E63ED1">
            <w:pPr>
              <w:pStyle w:val="BodyText"/>
            </w:pPr>
            <w:r w:rsidRPr="00E63ED1">
              <w:t>Use of established cutting plan(s) relevant to the vegetation type</w:t>
            </w:r>
          </w:p>
          <w:p w:rsidR="00000000" w:rsidRPr="00E63ED1" w:rsidP="00E63ED1">
            <w:pPr>
              <w:pStyle w:val="BodyText"/>
            </w:pPr>
            <w:r w:rsidRPr="00E63ED1">
              <w:t>Safety pract</w:t>
            </w:r>
            <w:r w:rsidRPr="00E63ED1">
              <w:t>ices includes; the safe use of appropriate/specialised tools and equipment and may include safely accessing trees to install restraints/slings, removing tree limbs in a safe manner, clearing debris from the felling site to eliminate the occurrence of elect</w:t>
            </w:r>
            <w:r w:rsidRPr="00E63ED1">
              <w:t xml:space="preserve">rical incidents and reparation of risk assessment control measures that encompass job safety assessment. </w:t>
            </w:r>
          </w:p>
          <w:p w:rsidR="00000000" w:rsidRPr="00E63ED1" w:rsidP="00E63ED1">
            <w:pPr>
              <w:pStyle w:val="BodyText"/>
            </w:pPr>
            <w:r w:rsidRPr="00E63ED1">
              <w:t>Excludes entry of persons, mobile plant, equipment, and/or specialised tools into to the safe approach distance (SAD) as defined.</w:t>
            </w:r>
          </w:p>
          <w:p w:rsidR="00000000" w:rsidRPr="00E63ED1" w:rsidP="00E63ED1">
            <w:pPr>
              <w:pStyle w:val="BodyText"/>
            </w:pPr>
            <w:r w:rsidRPr="00E63ED1">
              <w:t>Work and zones is in</w:t>
            </w:r>
            <w:r w:rsidRPr="00E63ED1">
              <w:t xml:space="preserve"> compliance with relevant State or Territory regulatory agencies/bodies, local government legislation, Industry bi-partite body– Guidelines/Codes of Practices or other related requirements for safe work and access near live electrical and mechanical Appara</w:t>
            </w:r>
            <w:r w:rsidRPr="00E63ED1">
              <w:t>tus</w:t>
            </w:r>
          </w:p>
          <w:p w:rsidR="00000000" w:rsidRPr="00E63ED1" w:rsidP="00E63ED1">
            <w:pPr>
              <w:pStyle w:val="BodyText"/>
            </w:pPr>
            <w:r w:rsidRPr="00E63ED1">
              <w:t>Working safely up to the defined “safe working zone” near energised electrical apparatus (inc. electrical powerlines) for non-electrical worker/ordinary persons.</w:t>
            </w:r>
          </w:p>
          <w:p w:rsidR="00000000" w:rsidRPr="00E63ED1" w:rsidP="00E63ED1">
            <w:pPr>
              <w:pStyle w:val="BodyText"/>
            </w:pPr>
            <w:r w:rsidRPr="00E63ED1">
              <w:t>Excludes any work that is or may be performed by other competent operatives within the def</w:t>
            </w:r>
            <w:r w:rsidRPr="00E63ED1">
              <w:t>ined “live work zone”</w:t>
            </w:r>
          </w:p>
          <w:p w:rsidR="00000000" w:rsidRPr="00E63ED1" w:rsidP="00E63ED1">
            <w:pPr>
              <w:pStyle w:val="BodyText"/>
            </w:pPr>
            <w:r w:rsidRPr="00E63ED1">
              <w:t>Electricity supply infrastructure assets condition – sagging, swaying, ties, cross arms, poles, insulators, conductors, service wires, electrical apparatus/equipment, etc.</w:t>
            </w:r>
          </w:p>
          <w:p w:rsidR="00000000" w:rsidRPr="00E63ED1" w:rsidP="00E63ED1">
            <w:pPr>
              <w:pStyle w:val="BodyText"/>
            </w:pPr>
            <w:r w:rsidRPr="00E63ED1">
              <w:t>Infrastructure constructions and excavations</w:t>
            </w:r>
          </w:p>
          <w:p w:rsidR="00000000" w:rsidRPr="00E63ED1" w:rsidP="00E63ED1">
            <w:pPr>
              <w:pStyle w:val="BodyText"/>
            </w:pPr>
            <w:r w:rsidRPr="00E63ED1">
              <w:t>Safe approach dis</w:t>
            </w:r>
            <w:r w:rsidRPr="00E63ED1">
              <w:t>tances zones/Safe Working Clearance</w:t>
            </w:r>
          </w:p>
          <w:p w:rsidR="00000000" w:rsidRPr="00E63ED1" w:rsidP="00E63ED1">
            <w:pPr>
              <w:pStyle w:val="BodyText"/>
            </w:pPr>
            <w:r w:rsidRPr="00E63ED1">
              <w:t xml:space="preserve">Other areas which may need to be taken into consideration are: work permit(s) and/or access authorisation permits, technical standards and Industry Guidelines, rural applications, inclement weather, ground configuration </w:t>
            </w:r>
            <w:r w:rsidRPr="00E63ED1">
              <w:t>and access – undulations, uneven ground, soft ground, damp, road construction, pavements, etc, feeder route plans and the use of technology and mathematical calculations</w:t>
            </w:r>
          </w:p>
          <w:p w:rsidR="00000000" w:rsidRPr="00E63ED1" w:rsidP="00E63ED1">
            <w:pPr>
              <w:pStyle w:val="BodyText"/>
            </w:pPr>
            <w:r w:rsidRPr="00E63ED1">
              <w:t>Plant, equipment and specialised tools for use in electrical environments</w:t>
            </w:r>
          </w:p>
          <w:p w:rsidR="00000000" w:rsidRPr="00E63ED1" w:rsidP="00E63ED1">
            <w:pPr>
              <w:pStyle w:val="BodyText"/>
            </w:pPr>
            <w:r w:rsidRPr="00E63ED1">
              <w:t>Vegetation c</w:t>
            </w:r>
            <w:r w:rsidRPr="00E63ED1">
              <w:t xml:space="preserve">ontrol includes: site rehabilitation, horticultural vegetation cutting and pruning techniques to minimise regrowth - chemicals and physical cutting and pruning tools/equipment, concerns for vegetation type/species and significance – heritage, significant, </w:t>
            </w:r>
            <w:r w:rsidRPr="00E63ED1">
              <w:t>urban/rural; vegetation fire prone areas and areas of particular significance.</w:t>
            </w:r>
          </w:p>
          <w:p w:rsidR="00000000" w:rsidRPr="00E63ED1" w:rsidP="00E63ED1">
            <w:pPr>
              <w:pStyle w:val="BodyText"/>
            </w:pPr>
            <w:r w:rsidRPr="00E63ED1">
              <w:t>Use of technology and mathematical calculations</w:t>
            </w:r>
          </w:p>
          <w:p w:rsidR="00000000" w:rsidRPr="00E63ED1" w:rsidP="00E63ED1">
            <w:pPr>
              <w:pStyle w:val="BodyText"/>
            </w:pPr>
            <w:r w:rsidRPr="00E63ED1">
              <w:t>The following constants and variables included in the Element/Performance Criteria in this unit are fully described in the Defini</w:t>
            </w:r>
            <w:r w:rsidRPr="00E63ED1">
              <w:t>tions Section 1 of this volume and form an integral part of the Range Statement of this unit:</w:t>
            </w:r>
          </w:p>
          <w:p w:rsidR="00000000" w:rsidRPr="00E63ED1" w:rsidP="00E63ED1">
            <w:pPr>
              <w:pStyle w:val="ListBullet3"/>
            </w:pPr>
            <w:r w:rsidRPr="00E63ED1">
              <w:t>Appropriate and relevant persons (see Personnel)</w:t>
            </w:r>
          </w:p>
          <w:p w:rsidR="00000000" w:rsidRPr="00E63ED1" w:rsidP="00E63ED1">
            <w:pPr>
              <w:pStyle w:val="ListBullet3"/>
            </w:pPr>
            <w:r w:rsidRPr="00E63ED1">
              <w:t>Appropriate authorities</w:t>
            </w:r>
          </w:p>
          <w:p w:rsidR="00000000" w:rsidRPr="00E63ED1" w:rsidP="00E63ED1">
            <w:pPr>
              <w:pStyle w:val="ListBullet3"/>
            </w:pPr>
            <w:r w:rsidRPr="00E63ED1">
              <w:t>Appropriate work platform</w:t>
            </w:r>
          </w:p>
          <w:p w:rsidR="00000000" w:rsidRPr="00E63ED1" w:rsidP="00E63ED1">
            <w:pPr>
              <w:pStyle w:val="ListBullet3"/>
            </w:pPr>
            <w:r w:rsidRPr="00E63ED1">
              <w:t>Assessing risk</w:t>
            </w:r>
          </w:p>
          <w:p w:rsidR="00000000" w:rsidRPr="00E63ED1" w:rsidP="00E63ED1">
            <w:pPr>
              <w:pStyle w:val="ListBullet3"/>
            </w:pPr>
            <w:r w:rsidRPr="00E63ED1">
              <w:t>Assessment</w:t>
            </w:r>
          </w:p>
          <w:p w:rsidR="00000000" w:rsidRPr="00E63ED1" w:rsidP="00E63ED1">
            <w:pPr>
              <w:pStyle w:val="ListBullet3"/>
            </w:pPr>
            <w:r w:rsidRPr="00E63ED1">
              <w:t>Authorisation</w:t>
            </w:r>
          </w:p>
          <w:p w:rsidR="00000000" w:rsidRPr="00E63ED1" w:rsidP="00E63ED1">
            <w:pPr>
              <w:pStyle w:val="ListBullet3"/>
            </w:pPr>
            <w:r w:rsidRPr="00E63ED1">
              <w:t>Diagnostic, testing and restoration</w:t>
            </w:r>
          </w:p>
          <w:p w:rsidR="00000000" w:rsidRPr="00E63ED1" w:rsidP="00E63ED1">
            <w:pPr>
              <w:pStyle w:val="ListBullet3"/>
            </w:pPr>
            <w:r w:rsidRPr="00E63ED1">
              <w:t>Documenting detail work events, record keeping and or storage of information</w:t>
            </w:r>
          </w:p>
          <w:p w:rsidR="00000000" w:rsidRPr="00E63ED1" w:rsidP="00E63ED1">
            <w:pPr>
              <w:pStyle w:val="ListBullet3"/>
            </w:pPr>
            <w:r w:rsidRPr="00E63ED1">
              <w:t>Drawings and specifications</w:t>
            </w:r>
          </w:p>
          <w:p w:rsidR="00000000" w:rsidRPr="00E63ED1" w:rsidP="00E63ED1">
            <w:pPr>
              <w:pStyle w:val="ListBullet3"/>
            </w:pPr>
            <w:r w:rsidRPr="00E63ED1">
              <w:t>Emergency</w:t>
            </w:r>
          </w:p>
          <w:p w:rsidR="00000000" w:rsidRPr="00E63ED1" w:rsidP="00E63ED1">
            <w:pPr>
              <w:pStyle w:val="ListBullet3"/>
            </w:pPr>
            <w:r w:rsidRPr="00E63ED1">
              <w:t>Environmental and sustainable energy procedures</w:t>
            </w:r>
          </w:p>
          <w:p w:rsidR="00000000" w:rsidRPr="00E63ED1" w:rsidP="00E63ED1">
            <w:pPr>
              <w:pStyle w:val="ListBullet3"/>
            </w:pPr>
            <w:r w:rsidRPr="00E63ED1">
              <w:t>Environmental legislation</w:t>
            </w:r>
          </w:p>
          <w:p w:rsidR="00000000" w:rsidRPr="00E63ED1" w:rsidP="00E63ED1">
            <w:pPr>
              <w:pStyle w:val="ListBullet3"/>
            </w:pPr>
            <w:r w:rsidRPr="00E63ED1">
              <w:t>Environmental management docume</w:t>
            </w:r>
            <w:r w:rsidRPr="00E63ED1">
              <w:t>ntation</w:t>
            </w:r>
          </w:p>
          <w:p w:rsidR="00000000" w:rsidRPr="00E63ED1" w:rsidP="00E63ED1">
            <w:pPr>
              <w:pStyle w:val="ListBullet3"/>
            </w:pPr>
            <w:r w:rsidRPr="00E63ED1">
              <w:t>Established procedures</w:t>
            </w:r>
          </w:p>
          <w:p w:rsidR="00000000" w:rsidRPr="00E63ED1" w:rsidP="00E63ED1">
            <w:pPr>
              <w:pStyle w:val="ListBullet3"/>
            </w:pPr>
            <w:r w:rsidRPr="00E63ED1">
              <w:t>Fall prevention</w:t>
            </w:r>
          </w:p>
          <w:p w:rsidR="00000000" w:rsidRPr="00E63ED1" w:rsidP="00E63ED1">
            <w:pPr>
              <w:pStyle w:val="ListBullet3"/>
            </w:pPr>
            <w:r w:rsidRPr="00E63ED1">
              <w:t>Hazards</w:t>
            </w:r>
          </w:p>
          <w:p w:rsidR="00000000" w:rsidRPr="00E63ED1" w:rsidP="00E63ED1">
            <w:pPr>
              <w:pStyle w:val="ListBullet3"/>
            </w:pPr>
            <w:r w:rsidRPr="00E63ED1">
              <w:t>Identifying hazards</w:t>
            </w:r>
          </w:p>
          <w:p w:rsidR="00000000" w:rsidRPr="00E63ED1" w:rsidP="00E63ED1">
            <w:pPr>
              <w:pStyle w:val="ListBullet3"/>
            </w:pPr>
            <w:r w:rsidRPr="00E63ED1">
              <w:t>Inspect</w:t>
            </w:r>
          </w:p>
          <w:p w:rsidR="00000000" w:rsidRPr="00E63ED1" w:rsidP="00E63ED1">
            <w:pPr>
              <w:pStyle w:val="ListBullet3"/>
            </w:pPr>
            <w:r w:rsidRPr="00E63ED1">
              <w:t>Legislation</w:t>
            </w:r>
          </w:p>
          <w:p w:rsidR="00000000" w:rsidRPr="00E63ED1" w:rsidP="00E63ED1">
            <w:pPr>
              <w:pStyle w:val="ListBullet3"/>
            </w:pPr>
            <w:r w:rsidRPr="00E63ED1">
              <w:t>MSDS</w:t>
            </w:r>
          </w:p>
          <w:p w:rsidR="00000000" w:rsidRPr="00E63ED1" w:rsidP="00E63ED1">
            <w:pPr>
              <w:pStyle w:val="ListBullet3"/>
            </w:pPr>
            <w:r w:rsidRPr="00E63ED1">
              <w:t>Notification</w:t>
            </w:r>
          </w:p>
          <w:p w:rsidR="00000000" w:rsidRPr="00E63ED1" w:rsidP="00E63ED1">
            <w:pPr>
              <w:pStyle w:val="ListBullet3"/>
            </w:pPr>
            <w:r w:rsidRPr="00E63ED1">
              <w:t>OHS practices</w:t>
            </w:r>
          </w:p>
          <w:p w:rsidR="00000000" w:rsidRPr="00E63ED1" w:rsidP="00E63ED1">
            <w:pPr>
              <w:pStyle w:val="ListBullet3"/>
            </w:pPr>
            <w:r w:rsidRPr="00E63ED1">
              <w:t>OHS issues</w:t>
            </w:r>
          </w:p>
          <w:p w:rsidR="00000000" w:rsidRPr="00E63ED1" w:rsidP="00E63ED1">
            <w:pPr>
              <w:pStyle w:val="ListBullet3"/>
            </w:pPr>
            <w:r w:rsidRPr="00E63ED1">
              <w:t>Permits and/or permits to work</w:t>
            </w:r>
          </w:p>
          <w:p w:rsidR="00000000" w:rsidRPr="00E63ED1" w:rsidP="00E63ED1">
            <w:pPr>
              <w:pStyle w:val="ListBullet3"/>
            </w:pPr>
            <w:r w:rsidRPr="00E63ED1">
              <w:t>Personnel</w:t>
            </w:r>
          </w:p>
          <w:p w:rsidR="00000000" w:rsidRPr="00E63ED1" w:rsidP="00E63ED1">
            <w:pPr>
              <w:pStyle w:val="ListBullet3"/>
            </w:pPr>
            <w:r w:rsidRPr="00E63ED1">
              <w:t>Quality assurance systems</w:t>
            </w:r>
          </w:p>
          <w:p w:rsidR="00000000" w:rsidRPr="00E63ED1" w:rsidP="00E63ED1">
            <w:pPr>
              <w:pStyle w:val="ListBullet3"/>
            </w:pPr>
            <w:r w:rsidRPr="00E63ED1">
              <w:t>Requirements</w:t>
            </w:r>
          </w:p>
          <w:p w:rsidR="00000000" w:rsidRPr="00E63ED1" w:rsidP="00E63ED1">
            <w:pPr>
              <w:pStyle w:val="ListBullet3"/>
            </w:pPr>
            <w:r w:rsidRPr="00E63ED1">
              <w:t>Testing procedures</w:t>
            </w:r>
          </w:p>
          <w:p w:rsidR="00000000" w:rsidRPr="00E63ED1" w:rsidP="00E63ED1">
            <w:pPr>
              <w:pStyle w:val="ListBullet3"/>
            </w:pPr>
            <w:r w:rsidRPr="00E63ED1">
              <w:t>Work cle</w:t>
            </w:r>
            <w:r w:rsidRPr="00E63ED1">
              <w:t>arance systems</w:t>
            </w:r>
          </w:p>
        </w:tc>
      </w:tr>
    </w:tbl>
    <w:p w:rsidR="00000000" w:rsidRPr="00E63ED1" w:rsidP="00E63ED1">
      <w:pPr>
        <w:pStyle w:val="BodyText"/>
      </w:pPr>
    </w:p>
    <w:p w:rsidR="00000000" w:rsidRPr="00E63ED1" w:rsidP="00E63ED1">
      <w:pPr>
        <w:pStyle w:val="AllowPageBreak"/>
      </w:pPr>
    </w:p>
    <w:p w:rsidR="00000000" w:rsidRPr="00E63ED1" w:rsidP="00E63ED1">
      <w:pPr>
        <w:pStyle w:val="Heading1"/>
      </w:pPr>
      <w:bookmarkStart w:id="12" w:name="O_457473"/>
      <w:bookmarkEnd w:id="12"/>
      <w:r w:rsidRPr="00E63ED1">
        <w:t>Unit Sector(s)</w:t>
      </w:r>
    </w:p>
    <w:p w:rsidR="00000000" w:rsidRPr="00E63ED1" w:rsidP="00E63ED1">
      <w:pPr>
        <w:pStyle w:val="BodyText"/>
      </w:pPr>
      <w:r w:rsidRPr="00E63ED1">
        <w:t>Not applicable.</w:t>
      </w:r>
    </w:p>
    <w:p w:rsidR="00000000" w:rsidRPr="00E63ED1" w:rsidP="00E63ED1">
      <w:pPr>
        <w:pStyle w:val="AllowPageBreak"/>
      </w:pPr>
    </w:p>
    <w:p w:rsidR="00000000" w:rsidRPr="00E63ED1" w:rsidP="00E63ED1">
      <w:pPr>
        <w:pStyle w:val="Heading1"/>
      </w:pPr>
      <w:bookmarkStart w:id="13" w:name="O_457462"/>
      <w:bookmarkEnd w:id="13"/>
      <w:r w:rsidRPr="00E63ED1">
        <w:t>Competency Field</w:t>
      </w:r>
    </w:p>
    <w:tbl>
      <w:tblPr>
        <w:tblW w:w="0" w:type="auto"/>
        <w:tblLayout w:type="fixed"/>
        <w:tblCellMar>
          <w:left w:w="62" w:type="dxa"/>
          <w:right w:w="62" w:type="dxa"/>
        </w:tblCellMar>
        <w:tblLook w:val="0000"/>
      </w:tblPr>
      <w:tblGrid>
        <w:gridCol w:w="2700"/>
        <w:gridCol w:w="5760"/>
      </w:tblGrid>
      <w:tr w:rsidTr="00222B4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63ED1" w:rsidP="00E63ED1">
            <w:pPr>
              <w:pStyle w:val="BodyText"/>
            </w:pPr>
            <w:r w:rsidRPr="00E63ED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63ED1">
            <w:pPr>
              <w:pStyle w:val="BodyText"/>
              <w:rPr>
                <w:lang w:val="en-NZ"/>
              </w:rPr>
            </w:pPr>
            <w:r w:rsidRPr="00E63ED1">
              <w:rPr>
                <w:rStyle w:val="SpecialBold"/>
              </w:rPr>
              <w:t xml:space="preserve">11) </w:t>
            </w:r>
          </w:p>
        </w:tc>
      </w:tr>
      <w:tr w:rsidTr="00222B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63ED1" w:rsidP="00E63ED1">
            <w:pPr>
              <w:pStyle w:val="BodyText"/>
            </w:pPr>
            <w:r w:rsidRPr="00E63ED1">
              <w:t>Vegetation Units</w:t>
            </w:r>
          </w:p>
        </w:tc>
      </w:tr>
    </w:tbl>
    <w:p w:rsidR="00000000" w:rsidRPr="00E63ED1" w:rsidP="00E63ED1">
      <w:pPr>
        <w:pStyle w:val="BodyText"/>
      </w:pPr>
    </w:p>
    <w:p w:rsidR="00000000" w:rsidRPr="00E63ED1" w:rsidP="00E63ED1"/>
    <w:sectPr w:rsidSect="00E63E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E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2B48" w:rsidP="00222B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E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B48" w:rsidP="00E63E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222B48" w:rsidP="00E63E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22B48" w:rsidP="00E63E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E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2B48" w:rsidP="00222B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E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B48" w:rsidP="00E63ED1">
    <w:pPr>
      <w:pStyle w:val="Header"/>
      <w:framePr w:wrap="around"/>
    </w:pPr>
    <w:r>
      <w:fldChar w:fldCharType="begin"/>
    </w:r>
    <w:r>
      <w:instrText xml:space="preserve"> TITLE   \* MERGEFORMAT </w:instrText>
    </w:r>
    <w:r>
      <w:fldChar w:fldCharType="separate"/>
    </w:r>
    <w:r>
      <w:t>UETTDRVC26A Cut vegetation at ground level near live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22B48" w:rsidP="00E63E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40AB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5A19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B23E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E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3ED1"/>
    <w:pPr>
      <w:spacing w:before="360" w:after="60"/>
      <w:outlineLvl w:val="0"/>
    </w:pPr>
    <w:rPr>
      <w:sz w:val="32"/>
    </w:rPr>
  </w:style>
  <w:style w:type="paragraph" w:styleId="Heading2">
    <w:name w:val="heading 2"/>
    <w:basedOn w:val="HeadingBase"/>
    <w:next w:val="BodyText"/>
    <w:link w:val="Heading2Char"/>
    <w:qFormat/>
    <w:rsid w:val="00E63ED1"/>
    <w:pPr>
      <w:keepLines/>
      <w:spacing w:before="240" w:after="120"/>
      <w:outlineLvl w:val="1"/>
    </w:pPr>
    <w:rPr>
      <w:sz w:val="28"/>
      <w:szCs w:val="40"/>
    </w:rPr>
  </w:style>
  <w:style w:type="paragraph" w:styleId="Heading3">
    <w:name w:val="heading 3"/>
    <w:basedOn w:val="HeadingBase"/>
    <w:next w:val="BodyText"/>
    <w:link w:val="Heading3Char"/>
    <w:qFormat/>
    <w:rsid w:val="00E63ED1"/>
    <w:pPr>
      <w:spacing w:before="180" w:after="120"/>
      <w:outlineLvl w:val="2"/>
    </w:pPr>
    <w:rPr>
      <w:spacing w:val="-10"/>
      <w:kern w:val="32"/>
    </w:rPr>
  </w:style>
  <w:style w:type="paragraph" w:styleId="Heading4">
    <w:name w:val="heading 4"/>
    <w:basedOn w:val="HeadingBase"/>
    <w:next w:val="BodyText"/>
    <w:link w:val="Heading4Char"/>
    <w:qFormat/>
    <w:rsid w:val="00E63ED1"/>
    <w:pPr>
      <w:spacing w:before="160" w:after="120"/>
      <w:outlineLvl w:val="3"/>
    </w:pPr>
    <w:rPr>
      <w:sz w:val="22"/>
    </w:rPr>
  </w:style>
  <w:style w:type="paragraph" w:styleId="Heading5">
    <w:name w:val="heading 5"/>
    <w:basedOn w:val="HeadingBase"/>
    <w:next w:val="Normal"/>
    <w:link w:val="Heading5Char"/>
    <w:qFormat/>
    <w:rsid w:val="00E63ED1"/>
    <w:pPr>
      <w:spacing w:before="80"/>
      <w:outlineLvl w:val="4"/>
    </w:pPr>
    <w:rPr>
      <w:color w:val="918585"/>
      <w:sz w:val="20"/>
    </w:rPr>
  </w:style>
  <w:style w:type="paragraph" w:styleId="Heading6">
    <w:name w:val="heading 6"/>
    <w:basedOn w:val="HeadingBase"/>
    <w:next w:val="Normal"/>
    <w:link w:val="Heading6Char"/>
    <w:qFormat/>
    <w:rsid w:val="00E63ED1"/>
    <w:pPr>
      <w:spacing w:before="60"/>
      <w:outlineLvl w:val="5"/>
    </w:pPr>
    <w:rPr>
      <w:color w:val="918585"/>
      <w:sz w:val="20"/>
    </w:rPr>
  </w:style>
  <w:style w:type="paragraph" w:styleId="Heading7">
    <w:name w:val="heading 7"/>
    <w:basedOn w:val="Normal"/>
    <w:next w:val="Normal"/>
    <w:link w:val="Heading7Char"/>
    <w:qFormat/>
    <w:rsid w:val="00E63ED1"/>
    <w:pPr>
      <w:ind w:left="720"/>
      <w:outlineLvl w:val="6"/>
    </w:pPr>
    <w:rPr>
      <w:i/>
    </w:rPr>
  </w:style>
  <w:style w:type="paragraph" w:styleId="Heading8">
    <w:name w:val="heading 8"/>
    <w:basedOn w:val="Normal"/>
    <w:next w:val="Normal"/>
    <w:link w:val="Heading8Char"/>
    <w:qFormat/>
    <w:rsid w:val="00E63ED1"/>
    <w:pPr>
      <w:ind w:left="720"/>
      <w:outlineLvl w:val="7"/>
    </w:pPr>
    <w:rPr>
      <w:i/>
    </w:rPr>
  </w:style>
  <w:style w:type="paragraph" w:styleId="Heading9">
    <w:name w:val="heading 9"/>
    <w:basedOn w:val="Normal"/>
    <w:next w:val="Normal"/>
    <w:link w:val="Heading9Char"/>
    <w:qFormat/>
    <w:rsid w:val="00E63ED1"/>
    <w:pPr>
      <w:ind w:left="720"/>
      <w:outlineLvl w:val="8"/>
    </w:pPr>
    <w:rPr>
      <w:i/>
    </w:rPr>
  </w:style>
  <w:style w:type="character" w:default="1" w:styleId="DefaultParagraphFont">
    <w:name w:val="Default Paragraph Font"/>
    <w:uiPriority w:val="1"/>
    <w:unhideWhenUsed/>
    <w:rsid w:val="00E63E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3ED1"/>
  </w:style>
  <w:style w:type="character" w:customStyle="1" w:styleId="Heading1Char">
    <w:name w:val="Heading 1 Char"/>
    <w:basedOn w:val="DefaultParagraphFont"/>
    <w:link w:val="Heading1"/>
    <w:rsid w:val="00E63ED1"/>
    <w:rPr>
      <w:rFonts w:ascii="Times New Roman" w:eastAsia="Times New Roman" w:hAnsi="Times New Roman" w:cs="Times New Roman"/>
      <w:b/>
      <w:sz w:val="32"/>
      <w:szCs w:val="20"/>
      <w:lang w:eastAsia="en-US"/>
    </w:rPr>
  </w:style>
  <w:style w:type="paragraph" w:styleId="BodyText">
    <w:name w:val="Body Text"/>
    <w:basedOn w:val="Normal"/>
    <w:link w:val="BodyTextChar"/>
    <w:rsid w:val="00E63E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3ED1"/>
    <w:rPr>
      <w:rFonts w:ascii="Times New Roman" w:eastAsia="Times New Roman" w:hAnsi="Times New Roman" w:cs="Times New Roman"/>
      <w:sz w:val="24"/>
      <w:lang w:val="en-US" w:eastAsia="en-US"/>
    </w:rPr>
  </w:style>
  <w:style w:type="paragraph" w:styleId="Footer">
    <w:name w:val="footer"/>
    <w:basedOn w:val="Normal"/>
    <w:link w:val="FooterChar"/>
    <w:rsid w:val="00E63E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3ED1"/>
    <w:rPr>
      <w:rFonts w:ascii="Times New Roman" w:eastAsia="Times New Roman" w:hAnsi="Times New Roman" w:cs="Times New Roman"/>
      <w:sz w:val="16"/>
      <w:lang w:val="en-US" w:eastAsia="en-US"/>
    </w:rPr>
  </w:style>
  <w:style w:type="paragraph" w:styleId="ListBullet">
    <w:name w:val="List Bullet"/>
    <w:basedOn w:val="List"/>
    <w:rsid w:val="00E63ED1"/>
    <w:pPr>
      <w:numPr>
        <w:numId w:val="14"/>
      </w:numPr>
      <w:tabs>
        <w:tab w:val="clear" w:pos="340"/>
      </w:tabs>
      <w:spacing w:before="40" w:after="40"/>
    </w:pPr>
  </w:style>
  <w:style w:type="character" w:customStyle="1" w:styleId="SpecialBold">
    <w:name w:val="Special Bold"/>
    <w:basedOn w:val="DefaultParagraphFont"/>
    <w:rsid w:val="00E63ED1"/>
    <w:rPr>
      <w:b/>
      <w:spacing w:val="0"/>
    </w:rPr>
  </w:style>
  <w:style w:type="paragraph" w:styleId="ListBullet2">
    <w:name w:val="List Bullet 2"/>
    <w:basedOn w:val="List2"/>
    <w:rsid w:val="00E63ED1"/>
    <w:pPr>
      <w:numPr>
        <w:numId w:val="15"/>
      </w:numPr>
      <w:tabs>
        <w:tab w:val="clear" w:pos="680"/>
      </w:tabs>
    </w:pPr>
  </w:style>
  <w:style w:type="paragraph" w:styleId="Header">
    <w:name w:val="header"/>
    <w:basedOn w:val="Normal"/>
    <w:link w:val="HeaderChar"/>
    <w:rsid w:val="00E63E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3ED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63ED1"/>
    <w:pPr>
      <w:spacing w:before="240" w:after="120"/>
      <w:outlineLvl w:val="0"/>
    </w:pPr>
    <w:rPr>
      <w:rFonts w:ascii="Times New Roman" w:hAnsi="Times New Roman"/>
      <w:b/>
      <w:sz w:val="28"/>
    </w:rPr>
  </w:style>
  <w:style w:type="paragraph" w:customStyle="1" w:styleId="AllowPageBreak">
    <w:name w:val="AllowPageBreak"/>
    <w:rsid w:val="00E63ED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63ED1"/>
    <w:pPr>
      <w:numPr>
        <w:numId w:val="3"/>
      </w:numPr>
      <w:tabs>
        <w:tab w:val="clear" w:pos="1021"/>
      </w:tabs>
      <w:ind w:left="1037" w:hanging="357"/>
    </w:pPr>
  </w:style>
  <w:style w:type="character" w:customStyle="1" w:styleId="Heading2Char">
    <w:name w:val="Heading 2 Char"/>
    <w:basedOn w:val="DefaultParagraphFont"/>
    <w:link w:val="Heading2"/>
    <w:rsid w:val="00E63E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3E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3E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3E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3E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3E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3E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3ED1"/>
    <w:rPr>
      <w:rFonts w:ascii="Courier New" w:eastAsia="Times New Roman" w:hAnsi="Courier New" w:cs="Times New Roman"/>
      <w:i/>
      <w:szCs w:val="20"/>
      <w:lang w:val="en-US" w:eastAsia="en-US"/>
    </w:rPr>
  </w:style>
  <w:style w:type="paragraph" w:customStyle="1" w:styleId="HeadingBase">
    <w:name w:val="Heading Base"/>
    <w:rsid w:val="00E63E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3ED1"/>
    <w:pPr>
      <w:tabs>
        <w:tab w:val="right" w:leader="dot" w:pos="9072"/>
      </w:tabs>
      <w:ind w:left="567"/>
    </w:pPr>
    <w:rPr>
      <w:szCs w:val="22"/>
    </w:rPr>
  </w:style>
  <w:style w:type="paragraph" w:customStyle="1" w:styleId="TOCBase">
    <w:name w:val="TOC Base"/>
    <w:rsid w:val="00E63E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3ED1"/>
    <w:pPr>
      <w:tabs>
        <w:tab w:val="right" w:leader="dot" w:pos="9072"/>
      </w:tabs>
      <w:spacing w:before="40" w:after="40"/>
      <w:ind w:left="284"/>
    </w:pPr>
    <w:rPr>
      <w:rFonts w:ascii="Times New Roman" w:hAnsi="Times New Roman"/>
    </w:rPr>
  </w:style>
  <w:style w:type="paragraph" w:styleId="TOC1">
    <w:name w:val="toc 1"/>
    <w:basedOn w:val="TOCBase"/>
    <w:next w:val="Normal"/>
    <w:rsid w:val="00E63E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3ED1"/>
    <w:pPr>
      <w:spacing w:before="5040"/>
      <w:jc w:val="center"/>
    </w:pPr>
    <w:rPr>
      <w:sz w:val="48"/>
      <w:szCs w:val="72"/>
      <w:lang w:val="en-US"/>
    </w:rPr>
  </w:style>
  <w:style w:type="character" w:customStyle="1" w:styleId="TitleChar">
    <w:name w:val="Title Char"/>
    <w:basedOn w:val="DefaultParagraphFont"/>
    <w:link w:val="Title"/>
    <w:rsid w:val="00E63E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3ED1"/>
    <w:pPr>
      <w:tabs>
        <w:tab w:val="left" w:pos="3600"/>
        <w:tab w:val="left" w:pos="3958"/>
      </w:tabs>
    </w:pPr>
  </w:style>
  <w:style w:type="paragraph" w:styleId="List">
    <w:name w:val="List"/>
    <w:basedOn w:val="BodyText"/>
    <w:next w:val="BodyText"/>
    <w:rsid w:val="00E63ED1"/>
    <w:pPr>
      <w:tabs>
        <w:tab w:val="left" w:pos="340"/>
      </w:tabs>
      <w:spacing w:before="60" w:after="60"/>
      <w:ind w:left="340" w:hanging="340"/>
    </w:pPr>
  </w:style>
  <w:style w:type="paragraph" w:customStyle="1" w:styleId="Note">
    <w:name w:val="Note"/>
    <w:basedOn w:val="BodyText"/>
    <w:rsid w:val="00E63E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3ED1"/>
    <w:pPr>
      <w:framePr w:wrap="auto" w:hAnchor="text" w:y="6049"/>
    </w:pPr>
    <w:rPr>
      <w:color w:val="000000"/>
      <w:sz w:val="40"/>
    </w:rPr>
  </w:style>
  <w:style w:type="paragraph" w:customStyle="1" w:styleId="TOCTitle">
    <w:name w:val="TOCTitle"/>
    <w:basedOn w:val="Heading1"/>
    <w:rsid w:val="00E63ED1"/>
    <w:pPr>
      <w:spacing w:after="240"/>
      <w:jc w:val="center"/>
      <w:outlineLvl w:val="9"/>
    </w:pPr>
    <w:rPr>
      <w:caps/>
    </w:rPr>
  </w:style>
  <w:style w:type="paragraph" w:customStyle="1" w:styleId="Version">
    <w:name w:val="Version"/>
    <w:rsid w:val="00E63E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3ED1"/>
    <w:pPr>
      <w:keepNext w:val="0"/>
      <w:tabs>
        <w:tab w:val="right" w:pos="4176"/>
      </w:tabs>
      <w:ind w:left="198" w:hanging="198"/>
    </w:pPr>
    <w:rPr>
      <w:rFonts w:ascii="Garamond" w:hAnsi="Garamond"/>
    </w:rPr>
  </w:style>
  <w:style w:type="paragraph" w:styleId="IndexHeading">
    <w:name w:val="index heading"/>
    <w:basedOn w:val="Normal"/>
    <w:next w:val="Index1"/>
    <w:semiHidden/>
    <w:rsid w:val="00E63ED1"/>
    <w:pPr>
      <w:spacing w:before="120" w:after="120"/>
    </w:pPr>
    <w:rPr>
      <w:rFonts w:ascii="Arial" w:hAnsi="Arial"/>
      <w:b/>
      <w:color w:val="918585"/>
      <w:sz w:val="24"/>
    </w:rPr>
  </w:style>
  <w:style w:type="paragraph" w:customStyle="1" w:styleId="Chapter">
    <w:name w:val="Chapter"/>
    <w:basedOn w:val="Normal"/>
    <w:rsid w:val="00E63ED1"/>
    <w:pPr>
      <w:spacing w:before="240"/>
    </w:pPr>
    <w:rPr>
      <w:rFonts w:ascii="Times New Roman" w:hAnsi="Times New Roman"/>
      <w:smallCaps/>
      <w:spacing w:val="80"/>
      <w:sz w:val="28"/>
    </w:rPr>
  </w:style>
  <w:style w:type="paragraph" w:customStyle="1" w:styleId="InChapter">
    <w:name w:val="InChapter"/>
    <w:basedOn w:val="Heading3"/>
    <w:rsid w:val="00E63ED1"/>
    <w:pPr>
      <w:spacing w:after="240"/>
      <w:outlineLvl w:val="9"/>
    </w:pPr>
    <w:rPr>
      <w:noProof/>
    </w:rPr>
  </w:style>
  <w:style w:type="paragraph" w:styleId="Index2">
    <w:name w:val="index 2"/>
    <w:basedOn w:val="Normal"/>
    <w:next w:val="Normal"/>
    <w:semiHidden/>
    <w:rsid w:val="00E63ED1"/>
    <w:pPr>
      <w:tabs>
        <w:tab w:val="right" w:pos="4176"/>
      </w:tabs>
      <w:ind w:left="568" w:hanging="284"/>
    </w:pPr>
    <w:rPr>
      <w:rFonts w:ascii="Garamond" w:hAnsi="Garamond"/>
    </w:rPr>
  </w:style>
  <w:style w:type="paragraph" w:customStyle="1" w:styleId="Byline">
    <w:name w:val="Byline"/>
    <w:rsid w:val="00E63E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3ED1"/>
    <w:pPr>
      <w:tabs>
        <w:tab w:val="clear" w:pos="3600"/>
        <w:tab w:val="clear" w:pos="3958"/>
      </w:tabs>
      <w:jc w:val="right"/>
    </w:pPr>
  </w:style>
  <w:style w:type="character" w:styleId="Emphasis">
    <w:name w:val="Emphasis"/>
    <w:basedOn w:val="DefaultParagraphFont"/>
    <w:qFormat/>
    <w:rsid w:val="00E63ED1"/>
    <w:rPr>
      <w:i/>
    </w:rPr>
  </w:style>
  <w:style w:type="paragraph" w:styleId="Caption">
    <w:name w:val="caption"/>
    <w:basedOn w:val="BodyText"/>
    <w:next w:val="Normal"/>
    <w:qFormat/>
    <w:rsid w:val="00E63ED1"/>
    <w:pPr>
      <w:framePr w:w="2268" w:hSpace="181" w:vSpace="181" w:wrap="around" w:vAnchor="text" w:hAnchor="page" w:x="1135" w:y="285" w:anchorLock="1"/>
    </w:pPr>
    <w:rPr>
      <w:i/>
    </w:rPr>
  </w:style>
  <w:style w:type="paragraph" w:customStyle="1" w:styleId="MiniTOCTitle">
    <w:name w:val="MiniTOCTitle"/>
    <w:basedOn w:val="Heading4"/>
    <w:rsid w:val="00E63ED1"/>
    <w:pPr>
      <w:spacing w:before="240"/>
      <w:outlineLvl w:val="9"/>
    </w:pPr>
    <w:rPr>
      <w:noProof/>
      <w:sz w:val="24"/>
    </w:rPr>
  </w:style>
  <w:style w:type="paragraph" w:customStyle="1" w:styleId="MiniTOCItem">
    <w:name w:val="MiniTOCItem"/>
    <w:basedOn w:val="ListBullet"/>
    <w:rsid w:val="00E63ED1"/>
    <w:pPr>
      <w:numPr>
        <w:numId w:val="0"/>
      </w:numPr>
      <w:tabs>
        <w:tab w:val="right" w:leader="dot" w:pos="6521"/>
      </w:tabs>
      <w:spacing w:before="0" w:after="0"/>
    </w:pPr>
  </w:style>
  <w:style w:type="paragraph" w:customStyle="1" w:styleId="TOFTitle">
    <w:name w:val="TOFTitle"/>
    <w:basedOn w:val="TOCTitle"/>
    <w:rsid w:val="00E63ED1"/>
  </w:style>
  <w:style w:type="paragraph" w:styleId="TableofFigures">
    <w:name w:val="table of figures"/>
    <w:basedOn w:val="Normal"/>
    <w:next w:val="Normal"/>
    <w:semiHidden/>
    <w:rsid w:val="00E63ED1"/>
    <w:pPr>
      <w:tabs>
        <w:tab w:val="right" w:leader="dot" w:pos="9072"/>
      </w:tabs>
      <w:ind w:left="970" w:hanging="403"/>
    </w:pPr>
    <w:rPr>
      <w:rFonts w:ascii="Times New Roman" w:hAnsi="Times New Roman"/>
      <w:b/>
    </w:rPr>
  </w:style>
  <w:style w:type="paragraph" w:styleId="ListNumber">
    <w:name w:val="List Number"/>
    <w:basedOn w:val="List"/>
    <w:rsid w:val="00E63ED1"/>
    <w:pPr>
      <w:numPr>
        <w:numId w:val="12"/>
      </w:numPr>
    </w:pPr>
  </w:style>
  <w:style w:type="character" w:customStyle="1" w:styleId="WingdingSymbols">
    <w:name w:val="Wingding Symbols"/>
    <w:rsid w:val="00E63ED1"/>
    <w:rPr>
      <w:rFonts w:ascii="Wingdings" w:hAnsi="Wingdings"/>
    </w:rPr>
  </w:style>
  <w:style w:type="paragraph" w:customStyle="1" w:styleId="TableHeading">
    <w:name w:val="Table Heading"/>
    <w:basedOn w:val="HeadingBase"/>
    <w:rsid w:val="00E63ED1"/>
    <w:pPr>
      <w:keepLines/>
      <w:pBdr>
        <w:bottom w:val="single" w:sz="6" w:space="1" w:color="918585"/>
      </w:pBdr>
      <w:spacing w:before="240"/>
    </w:pPr>
  </w:style>
  <w:style w:type="character" w:customStyle="1" w:styleId="HotSpot">
    <w:name w:val="HotSpot"/>
    <w:rsid w:val="00E63ED1"/>
    <w:rPr>
      <w:color w:val="0033CC"/>
      <w:u w:val="none"/>
    </w:rPr>
  </w:style>
  <w:style w:type="paragraph" w:customStyle="1" w:styleId="BodyTextRight">
    <w:name w:val="Body Text Right"/>
    <w:basedOn w:val="BodyText"/>
    <w:rsid w:val="00E63ED1"/>
    <w:pPr>
      <w:spacing w:before="0" w:after="0"/>
      <w:jc w:val="right"/>
    </w:pPr>
  </w:style>
  <w:style w:type="paragraph" w:styleId="Index3">
    <w:name w:val="index 3"/>
    <w:basedOn w:val="ListNumber2"/>
    <w:next w:val="Normal"/>
    <w:semiHidden/>
    <w:rsid w:val="00E63ED1"/>
    <w:pPr>
      <w:numPr>
        <w:numId w:val="0"/>
      </w:numPr>
      <w:tabs>
        <w:tab w:val="right" w:leader="dot" w:pos="4176"/>
      </w:tabs>
    </w:pPr>
  </w:style>
  <w:style w:type="paragraph" w:styleId="ListNumber2">
    <w:name w:val="List Number 2"/>
    <w:basedOn w:val="List2"/>
    <w:rsid w:val="00E63ED1"/>
    <w:pPr>
      <w:numPr>
        <w:numId w:val="11"/>
      </w:numPr>
      <w:tabs>
        <w:tab w:val="clear" w:pos="1060"/>
      </w:tabs>
    </w:pPr>
  </w:style>
  <w:style w:type="paragraph" w:customStyle="1" w:styleId="MarginNote">
    <w:name w:val="Margin Note"/>
    <w:basedOn w:val="BodyText"/>
    <w:rsid w:val="00E63E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3E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3E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3ED1"/>
    <w:rPr>
      <w:sz w:val="32"/>
    </w:rPr>
  </w:style>
  <w:style w:type="paragraph" w:customStyle="1" w:styleId="HeadingProcedure">
    <w:name w:val="Heading Procedure"/>
    <w:basedOn w:val="HeadingBase"/>
    <w:next w:val="Normal"/>
    <w:rsid w:val="00E63ED1"/>
    <w:pPr>
      <w:tabs>
        <w:tab w:val="left" w:pos="0"/>
      </w:tabs>
      <w:spacing w:before="120" w:after="60"/>
    </w:pPr>
    <w:rPr>
      <w:i/>
      <w:color w:val="918585"/>
      <w:sz w:val="22"/>
    </w:rPr>
  </w:style>
  <w:style w:type="paragraph" w:customStyle="1" w:styleId="TableBodyText">
    <w:name w:val="Table Body Text"/>
    <w:basedOn w:val="BodyText"/>
    <w:rsid w:val="00E63ED1"/>
    <w:pPr>
      <w:spacing w:before="60" w:after="60"/>
    </w:pPr>
  </w:style>
  <w:style w:type="paragraph" w:styleId="ListContinue">
    <w:name w:val="List Continue"/>
    <w:basedOn w:val="List"/>
    <w:rsid w:val="00E63ED1"/>
    <w:pPr>
      <w:ind w:firstLine="0"/>
    </w:pPr>
  </w:style>
  <w:style w:type="paragraph" w:customStyle="1" w:styleId="ListNote">
    <w:name w:val="List Note"/>
    <w:basedOn w:val="List"/>
    <w:rsid w:val="00E63ED1"/>
    <w:pPr>
      <w:pBdr>
        <w:top w:val="single" w:sz="6" w:space="2" w:color="918585"/>
        <w:bottom w:val="single" w:sz="6" w:space="2" w:color="918585"/>
      </w:pBdr>
      <w:tabs>
        <w:tab w:val="left" w:pos="1021"/>
      </w:tabs>
      <w:ind w:firstLine="0"/>
    </w:pPr>
  </w:style>
  <w:style w:type="paragraph" w:customStyle="1" w:styleId="Warning">
    <w:name w:val="Warning"/>
    <w:basedOn w:val="BodyText"/>
    <w:rsid w:val="00E63ED1"/>
    <w:pPr>
      <w:shd w:val="clear" w:color="auto" w:fill="D9D9D9"/>
      <w:tabs>
        <w:tab w:val="left" w:pos="992"/>
      </w:tabs>
      <w:ind w:left="119" w:right="119"/>
    </w:pPr>
    <w:rPr>
      <w:sz w:val="20"/>
    </w:rPr>
  </w:style>
  <w:style w:type="paragraph" w:customStyle="1" w:styleId="MarginIcons">
    <w:name w:val="Margin Icons"/>
    <w:basedOn w:val="BodyText"/>
    <w:rsid w:val="00E63E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3ED1"/>
    <w:rPr>
      <w:rFonts w:ascii="Courier New" w:hAnsi="Courier New"/>
    </w:rPr>
  </w:style>
  <w:style w:type="paragraph" w:customStyle="1" w:styleId="NoteBullet">
    <w:name w:val="Note Bullet"/>
    <w:basedOn w:val="Note"/>
    <w:rsid w:val="00E63ED1"/>
    <w:pPr>
      <w:tabs>
        <w:tab w:val="clear" w:pos="680"/>
      </w:tabs>
      <w:spacing w:before="60" w:after="60"/>
    </w:pPr>
  </w:style>
  <w:style w:type="paragraph" w:customStyle="1" w:styleId="SubHeading2">
    <w:name w:val="SubHeading2"/>
    <w:basedOn w:val="HeadingBase"/>
    <w:rsid w:val="00E63ED1"/>
    <w:pPr>
      <w:spacing w:before="240" w:after="60"/>
    </w:pPr>
    <w:rPr>
      <w:sz w:val="20"/>
    </w:rPr>
  </w:style>
  <w:style w:type="paragraph" w:customStyle="1" w:styleId="SubHeading1">
    <w:name w:val="SubHeading1"/>
    <w:basedOn w:val="HeadingBase"/>
    <w:rsid w:val="00E63ED1"/>
    <w:pPr>
      <w:spacing w:before="240" w:after="60"/>
    </w:pPr>
    <w:rPr>
      <w:color w:val="918585"/>
      <w:sz w:val="22"/>
    </w:rPr>
  </w:style>
  <w:style w:type="paragraph" w:customStyle="1" w:styleId="SideHeading">
    <w:name w:val="Side Heading"/>
    <w:basedOn w:val="HeadingBase"/>
    <w:rsid w:val="00E63E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3ED1"/>
    <w:pPr>
      <w:numPr>
        <w:numId w:val="13"/>
      </w:numPr>
    </w:pPr>
  </w:style>
  <w:style w:type="paragraph" w:styleId="PlainText">
    <w:name w:val="Plain Text"/>
    <w:basedOn w:val="Normal"/>
    <w:link w:val="PlainTextChar"/>
    <w:rsid w:val="00E63ED1"/>
    <w:rPr>
      <w:sz w:val="20"/>
    </w:rPr>
  </w:style>
  <w:style w:type="character" w:customStyle="1" w:styleId="PlainTextChar">
    <w:name w:val="Plain Text Char"/>
    <w:basedOn w:val="DefaultParagraphFont"/>
    <w:link w:val="PlainText"/>
    <w:rsid w:val="00E63E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63ED1"/>
    <w:rPr>
      <w:b/>
      <w:smallCaps/>
    </w:rPr>
  </w:style>
  <w:style w:type="paragraph" w:customStyle="1" w:styleId="TableListNumber">
    <w:name w:val="Table List Number"/>
    <w:basedOn w:val="ListNumber"/>
    <w:rsid w:val="00E63ED1"/>
    <w:pPr>
      <w:numPr>
        <w:numId w:val="0"/>
      </w:numPr>
    </w:pPr>
  </w:style>
  <w:style w:type="paragraph" w:styleId="TOC4">
    <w:name w:val="toc 4"/>
    <w:basedOn w:val="TOCBase"/>
    <w:next w:val="Normal"/>
    <w:semiHidden/>
    <w:rsid w:val="00E63ED1"/>
    <w:pPr>
      <w:tabs>
        <w:tab w:val="right" w:leader="dot" w:pos="9071"/>
      </w:tabs>
      <w:ind w:left="1701"/>
    </w:pPr>
  </w:style>
  <w:style w:type="paragraph" w:customStyle="1" w:styleId="ListAlpha">
    <w:name w:val="List Alpha"/>
    <w:basedOn w:val="List"/>
    <w:rsid w:val="00E63ED1"/>
    <w:pPr>
      <w:numPr>
        <w:numId w:val="10"/>
      </w:numPr>
    </w:pPr>
  </w:style>
  <w:style w:type="paragraph" w:customStyle="1" w:styleId="ListAlpha2">
    <w:name w:val="List Alpha 2"/>
    <w:basedOn w:val="List2"/>
    <w:rsid w:val="00E63ED1"/>
    <w:pPr>
      <w:numPr>
        <w:numId w:val="9"/>
      </w:numPr>
    </w:pPr>
  </w:style>
  <w:style w:type="paragraph" w:styleId="List2">
    <w:name w:val="List 2"/>
    <w:basedOn w:val="BodyText"/>
    <w:rsid w:val="00E63ED1"/>
    <w:pPr>
      <w:tabs>
        <w:tab w:val="left" w:pos="680"/>
      </w:tabs>
      <w:spacing w:before="60" w:after="60"/>
      <w:ind w:left="680" w:hanging="340"/>
    </w:pPr>
  </w:style>
  <w:style w:type="paragraph" w:styleId="List3">
    <w:name w:val="List 3"/>
    <w:basedOn w:val="BodyText"/>
    <w:rsid w:val="00E63ED1"/>
    <w:pPr>
      <w:tabs>
        <w:tab w:val="left" w:pos="1021"/>
      </w:tabs>
      <w:spacing w:before="60" w:after="60"/>
      <w:ind w:left="1020" w:hanging="340"/>
    </w:pPr>
  </w:style>
  <w:style w:type="paragraph" w:styleId="List4">
    <w:name w:val="List 4"/>
    <w:basedOn w:val="BodyText"/>
    <w:rsid w:val="00E63ED1"/>
    <w:pPr>
      <w:tabs>
        <w:tab w:val="left" w:pos="1361"/>
      </w:tabs>
      <w:spacing w:before="60" w:after="60"/>
      <w:ind w:left="1361" w:hanging="340"/>
    </w:pPr>
  </w:style>
  <w:style w:type="paragraph" w:styleId="List5">
    <w:name w:val="List 5"/>
    <w:basedOn w:val="BodyText"/>
    <w:rsid w:val="00E63ED1"/>
    <w:pPr>
      <w:tabs>
        <w:tab w:val="left" w:pos="1701"/>
      </w:tabs>
      <w:spacing w:before="60" w:after="60"/>
      <w:ind w:left="1701" w:hanging="340"/>
    </w:pPr>
  </w:style>
  <w:style w:type="paragraph" w:styleId="ListBullet4">
    <w:name w:val="List Bullet 4"/>
    <w:basedOn w:val="List4"/>
    <w:rsid w:val="00E63ED1"/>
    <w:pPr>
      <w:numPr>
        <w:numId w:val="4"/>
      </w:numPr>
    </w:pPr>
  </w:style>
  <w:style w:type="paragraph" w:styleId="ListBullet5">
    <w:name w:val="List Bullet 5"/>
    <w:basedOn w:val="List5"/>
    <w:rsid w:val="00E63ED1"/>
    <w:pPr>
      <w:numPr>
        <w:numId w:val="5"/>
      </w:numPr>
    </w:pPr>
  </w:style>
  <w:style w:type="paragraph" w:styleId="ListContinue2">
    <w:name w:val="List Continue 2"/>
    <w:basedOn w:val="List2"/>
    <w:rsid w:val="00E63ED1"/>
    <w:pPr>
      <w:ind w:firstLine="0"/>
    </w:pPr>
  </w:style>
  <w:style w:type="paragraph" w:styleId="ListContinue3">
    <w:name w:val="List Continue 3"/>
    <w:basedOn w:val="List3"/>
    <w:rsid w:val="00E63ED1"/>
    <w:pPr>
      <w:ind w:left="1021" w:firstLine="0"/>
    </w:pPr>
  </w:style>
  <w:style w:type="paragraph" w:styleId="ListContinue4">
    <w:name w:val="List Continue 4"/>
    <w:basedOn w:val="List4"/>
    <w:rsid w:val="00E63ED1"/>
    <w:pPr>
      <w:ind w:firstLine="0"/>
    </w:pPr>
  </w:style>
  <w:style w:type="paragraph" w:styleId="ListContinue5">
    <w:name w:val="List Continue 5"/>
    <w:basedOn w:val="List5"/>
    <w:rsid w:val="00E63ED1"/>
    <w:pPr>
      <w:ind w:firstLine="0"/>
    </w:pPr>
  </w:style>
  <w:style w:type="paragraph" w:styleId="ListNumber3">
    <w:name w:val="List Number 3"/>
    <w:basedOn w:val="List3"/>
    <w:rsid w:val="00E63ED1"/>
    <w:pPr>
      <w:numPr>
        <w:numId w:val="6"/>
      </w:numPr>
    </w:pPr>
  </w:style>
  <w:style w:type="paragraph" w:styleId="ListNumber4">
    <w:name w:val="List Number 4"/>
    <w:basedOn w:val="List4"/>
    <w:rsid w:val="00E63ED1"/>
    <w:pPr>
      <w:numPr>
        <w:numId w:val="7"/>
      </w:numPr>
    </w:pPr>
  </w:style>
  <w:style w:type="paragraph" w:styleId="ListNumber5">
    <w:name w:val="List Number 5"/>
    <w:basedOn w:val="List5"/>
    <w:rsid w:val="00E63ED1"/>
    <w:pPr>
      <w:numPr>
        <w:numId w:val="8"/>
      </w:numPr>
    </w:pPr>
  </w:style>
  <w:style w:type="paragraph" w:styleId="BlockText">
    <w:name w:val="Block Text"/>
    <w:basedOn w:val="Normal"/>
    <w:rsid w:val="00E63ED1"/>
    <w:pPr>
      <w:spacing w:after="120"/>
      <w:ind w:left="1440" w:right="1440"/>
    </w:pPr>
  </w:style>
  <w:style w:type="character" w:customStyle="1" w:styleId="Subscript">
    <w:name w:val="Subscript"/>
    <w:basedOn w:val="DefaultParagraphFont"/>
    <w:rsid w:val="00E63ED1"/>
    <w:rPr>
      <w:sz w:val="16"/>
      <w:vertAlign w:val="subscript"/>
    </w:rPr>
  </w:style>
  <w:style w:type="character" w:customStyle="1" w:styleId="Superscript">
    <w:name w:val="Superscript"/>
    <w:basedOn w:val="DefaultParagraphFont"/>
    <w:rsid w:val="00E63ED1"/>
    <w:rPr>
      <w:sz w:val="16"/>
      <w:vertAlign w:val="superscript"/>
    </w:rPr>
  </w:style>
  <w:style w:type="character" w:customStyle="1" w:styleId="Symbols">
    <w:name w:val="Symbols"/>
    <w:basedOn w:val="DefaultParagraphFont"/>
    <w:rsid w:val="00E63ED1"/>
    <w:rPr>
      <w:rFonts w:ascii="Symbol" w:hAnsi="Symbol"/>
    </w:rPr>
  </w:style>
  <w:style w:type="character" w:customStyle="1" w:styleId="MenuOptions">
    <w:name w:val="Menu Options"/>
    <w:basedOn w:val="DefaultParagraphFont"/>
    <w:rsid w:val="00E63ED1"/>
    <w:rPr>
      <w:rFonts w:ascii="Arial Narrow" w:hAnsi="Arial Narrow"/>
      <w:smallCaps/>
    </w:rPr>
  </w:style>
  <w:style w:type="character" w:customStyle="1" w:styleId="Buttons">
    <w:name w:val="Buttons"/>
    <w:basedOn w:val="DefaultParagraphFont"/>
    <w:rsid w:val="00E63ED1"/>
    <w:rPr>
      <w:b/>
    </w:rPr>
  </w:style>
  <w:style w:type="character" w:customStyle="1" w:styleId="Underlined">
    <w:name w:val="Underlined"/>
    <w:basedOn w:val="DefaultParagraphFont"/>
    <w:rsid w:val="00E63ED1"/>
    <w:rPr>
      <w:u w:val="single"/>
    </w:rPr>
  </w:style>
  <w:style w:type="paragraph" w:customStyle="1" w:styleId="TableBodyTextRight">
    <w:name w:val="Table Body Text Right"/>
    <w:basedOn w:val="TableBodyText"/>
    <w:rsid w:val="00E63ED1"/>
    <w:pPr>
      <w:widowControl w:val="0"/>
      <w:autoSpaceDE w:val="0"/>
      <w:autoSpaceDN w:val="0"/>
      <w:adjustRightInd w:val="0"/>
      <w:jc w:val="right"/>
    </w:pPr>
    <w:rPr>
      <w:rFonts w:cs="Arial"/>
      <w:szCs w:val="18"/>
    </w:rPr>
  </w:style>
  <w:style w:type="paragraph" w:customStyle="1" w:styleId="CopyrightText">
    <w:name w:val="Copyright Text"/>
    <w:basedOn w:val="BodyText"/>
    <w:rsid w:val="00E63ED1"/>
    <w:rPr>
      <w:sz w:val="18"/>
    </w:rPr>
  </w:style>
  <w:style w:type="paragraph" w:customStyle="1" w:styleId="BodySmallRight">
    <w:name w:val="Body Small Right"/>
    <w:basedOn w:val="BodyTextRight"/>
    <w:rsid w:val="00E63ED1"/>
    <w:rPr>
      <w:sz w:val="18"/>
      <w:szCs w:val="18"/>
    </w:rPr>
  </w:style>
  <w:style w:type="paragraph" w:customStyle="1" w:styleId="MarginEdition">
    <w:name w:val="Margin Edition"/>
    <w:basedOn w:val="MarginNote"/>
    <w:rsid w:val="00E63ED1"/>
    <w:pPr>
      <w:spacing w:before="0" w:after="0"/>
    </w:pPr>
    <w:rPr>
      <w:rFonts w:ascii="Times New Roman" w:hAnsi="Times New Roman"/>
      <w:color w:val="999999"/>
    </w:rPr>
  </w:style>
  <w:style w:type="paragraph" w:customStyle="1" w:styleId="Spacer">
    <w:name w:val="Spacer"/>
    <w:basedOn w:val="Normal"/>
    <w:rsid w:val="00E63ED1"/>
    <w:rPr>
      <w:sz w:val="2"/>
      <w:szCs w:val="2"/>
    </w:rPr>
  </w:style>
  <w:style w:type="character" w:customStyle="1" w:styleId="Small">
    <w:name w:val="Small"/>
    <w:basedOn w:val="DefaultParagraphFont"/>
    <w:rsid w:val="00E63ED1"/>
    <w:rPr>
      <w:sz w:val="16"/>
    </w:rPr>
  </w:style>
  <w:style w:type="paragraph" w:customStyle="1" w:styleId="WideTable">
    <w:name w:val="Wide Table"/>
    <w:basedOn w:val="Normal"/>
    <w:rsid w:val="00E63ED1"/>
    <w:pPr>
      <w:ind w:left="-1418"/>
    </w:pPr>
    <w:rPr>
      <w:sz w:val="2"/>
      <w:szCs w:val="2"/>
    </w:rPr>
  </w:style>
  <w:style w:type="character" w:styleId="PageNumber">
    <w:name w:val="page number"/>
    <w:basedOn w:val="DefaultParagraphFont"/>
    <w:rsid w:val="00E63ED1"/>
  </w:style>
  <w:style w:type="paragraph" w:styleId="Quote">
    <w:name w:val="Quote"/>
    <w:basedOn w:val="Heading1"/>
    <w:link w:val="QuoteChar"/>
    <w:qFormat/>
    <w:rsid w:val="00E63ED1"/>
    <w:rPr>
      <w:b w:val="0"/>
      <w:sz w:val="72"/>
      <w:szCs w:val="72"/>
      <w:lang w:val="en-NZ"/>
    </w:rPr>
  </w:style>
  <w:style w:type="character" w:customStyle="1" w:styleId="QuoteChar">
    <w:name w:val="Quote Char"/>
    <w:basedOn w:val="DefaultParagraphFont"/>
    <w:link w:val="Quote"/>
    <w:rsid w:val="00E63E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3ED1"/>
    <w:pPr>
      <w:pageBreakBefore/>
    </w:pPr>
  </w:style>
  <w:style w:type="paragraph" w:customStyle="1" w:styleId="Border">
    <w:name w:val="Border"/>
    <w:basedOn w:val="Normal"/>
    <w:qFormat/>
    <w:rsid w:val="00E63E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3ED1"/>
    <w:rPr>
      <w:b/>
      <w:bCs/>
      <w:i/>
      <w:iCs/>
      <w:color w:val="auto"/>
    </w:rPr>
  </w:style>
  <w:style w:type="paragraph" w:styleId="IntenseQuote">
    <w:name w:val="Intense Quote"/>
    <w:basedOn w:val="Normal"/>
    <w:next w:val="Normal"/>
    <w:link w:val="IntenseQuoteChar"/>
    <w:uiPriority w:val="30"/>
    <w:qFormat/>
    <w:rsid w:val="00E63E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3E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63ED1"/>
    <w:rPr>
      <w:smallCaps/>
      <w:color w:val="auto"/>
      <w:u w:val="single"/>
    </w:rPr>
  </w:style>
  <w:style w:type="character" w:styleId="IntenseReference">
    <w:name w:val="Intense Reference"/>
    <w:basedOn w:val="DefaultParagraphFont"/>
    <w:uiPriority w:val="32"/>
    <w:qFormat/>
    <w:rsid w:val="00E63ED1"/>
    <w:rPr>
      <w:b/>
      <w:bCs/>
      <w:smallCaps/>
      <w:color w:val="auto"/>
      <w:spacing w:val="5"/>
      <w:u w:val="single"/>
    </w:rPr>
  </w:style>
  <w:style w:type="paragraph" w:customStyle="1" w:styleId="2ColumnHeading">
    <w:name w:val="2Column Heading"/>
    <w:basedOn w:val="BodyText"/>
    <w:qFormat/>
    <w:rsid w:val="00E63ED1"/>
    <w:pPr>
      <w:spacing w:after="60"/>
      <w:ind w:left="-2268"/>
    </w:pPr>
    <w:rPr>
      <w:b/>
    </w:rPr>
  </w:style>
  <w:style w:type="paragraph" w:customStyle="1" w:styleId="Heading1TOC">
    <w:name w:val="Heading1 TOC"/>
    <w:basedOn w:val="Normal"/>
    <w:qFormat/>
    <w:rsid w:val="00E63ED1"/>
    <w:pPr>
      <w:spacing w:before="240" w:after="120"/>
    </w:pPr>
    <w:rPr>
      <w:rFonts w:ascii="Times New Roman" w:hAnsi="Times New Roman"/>
      <w:b/>
      <w:sz w:val="32"/>
    </w:rPr>
  </w:style>
  <w:style w:type="paragraph" w:customStyle="1" w:styleId="Heading2TOC">
    <w:name w:val="Heading2 TOC"/>
    <w:basedOn w:val="Normal"/>
    <w:qFormat/>
    <w:rsid w:val="00E63ED1"/>
    <w:pPr>
      <w:spacing w:before="240" w:after="60"/>
    </w:pPr>
    <w:rPr>
      <w:rFonts w:ascii="Times New Roman" w:hAnsi="Times New Roman"/>
      <w:b/>
      <w:sz w:val="28"/>
    </w:rPr>
  </w:style>
  <w:style w:type="character" w:customStyle="1" w:styleId="Underline">
    <w:name w:val="Underline"/>
    <w:basedOn w:val="DefaultParagraphFont"/>
    <w:qFormat/>
    <w:rsid w:val="00E63ED1"/>
    <w:rPr>
      <w:u w:val="single"/>
    </w:rPr>
  </w:style>
  <w:style w:type="character" w:customStyle="1" w:styleId="BoldandItalics">
    <w:name w:val="Bold and Italics"/>
    <w:qFormat/>
    <w:rsid w:val="00E63ED1"/>
    <w:rPr>
      <w:b/>
      <w:i/>
      <w:u w:val="none"/>
    </w:rPr>
  </w:style>
  <w:style w:type="paragraph" w:styleId="BalloonText">
    <w:name w:val="Balloon Text"/>
    <w:basedOn w:val="Normal"/>
    <w:link w:val="BalloonTextChar"/>
    <w:rsid w:val="00E63ED1"/>
    <w:rPr>
      <w:rFonts w:ascii="Tahoma" w:hAnsi="Tahoma" w:cs="Tahoma"/>
      <w:sz w:val="16"/>
      <w:szCs w:val="16"/>
    </w:rPr>
  </w:style>
  <w:style w:type="character" w:customStyle="1" w:styleId="BalloonTextChar">
    <w:name w:val="Balloon Text Char"/>
    <w:basedOn w:val="DefaultParagraphFont"/>
    <w:link w:val="BalloonText"/>
    <w:rsid w:val="00E63E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3E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3E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3350</Words>
  <Characters>20701</Characters>
  <Application>Microsoft Office Word</Application>
  <DocSecurity>0</DocSecurity>
  <Lines>817</Lines>
  <Paragraphs>286</Paragraphs>
  <ScaleCrop>false</ScaleCrop>
  <Company>Author-it Software Corporation Ltd.</Company>
  <LinksUpToDate>false</LinksUpToDate>
  <CharactersWithSpaces>23829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UETTDRVC26A Cut vegetation at ground level near live electrical apparatus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2012-05-26T12:29:00Z</dcterms:created>
  <dcterms:modified xsi:type="dcterms:W3CDTF">2012-05-26T12:29:00Z</dcterms:modified>
</cp:coreProperties>
</file>