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158" w:rsidP="00982158">
      <w:pPr>
        <w:pStyle w:val="Title"/>
      </w:pPr>
      <w:r>
        <w:fldChar w:fldCharType="begin"/>
      </w:r>
      <w:r>
        <w:instrText xml:space="preserve"> TITLE   \* MERGEFORMAT </w:instrText>
      </w:r>
      <w:r>
        <w:fldChar w:fldCharType="separate"/>
      </w:r>
      <w:r>
        <w:t>UETTDRTS47A Commission energy/revenue metering schemes (complex)</w:t>
      </w:r>
      <w:r>
        <w:fldChar w:fldCharType="end"/>
      </w:r>
    </w:p>
    <w:p w:rsidR="00982158" w:rsidP="00982158">
      <w:pPr>
        <w:pStyle w:val="Version"/>
        <w:sectPr w:rsidSect="000169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69A2" w:rsidP="000169A2">
      <w:pPr>
        <w:pStyle w:val="SuperHeading"/>
      </w:pPr>
      <w:r w:rsidRPr="000169A2">
        <w:t>UETTDRTS47A Commission energy/revenue metering schemes (complex)</w:t>
      </w:r>
    </w:p>
    <w:p w:rsidR="00000000" w:rsidRPr="000169A2" w:rsidP="000169A2">
      <w:pPr>
        <w:pStyle w:val="Heading1"/>
      </w:pPr>
      <w:bookmarkStart w:id="1" w:name="O_464904"/>
      <w:bookmarkEnd w:id="1"/>
      <w:r w:rsidRPr="000169A2">
        <w:t>Modification History</w:t>
      </w:r>
    </w:p>
    <w:p w:rsidR="00000000" w:rsidRPr="000169A2" w:rsidP="000169A2">
      <w:pPr>
        <w:pStyle w:val="BodyText"/>
      </w:pPr>
      <w:r w:rsidRPr="000169A2">
        <w:t>Not applicable.</w:t>
      </w:r>
    </w:p>
    <w:p w:rsidR="00000000" w:rsidRPr="000169A2" w:rsidP="000169A2">
      <w:pPr>
        <w:pStyle w:val="AllowPageBreak"/>
      </w:pPr>
    </w:p>
    <w:p w:rsidR="00000000" w:rsidRPr="000169A2" w:rsidP="000169A2">
      <w:pPr>
        <w:pStyle w:val="Heading1"/>
      </w:pPr>
      <w:bookmarkStart w:id="2" w:name="O_464902"/>
      <w:bookmarkEnd w:id="2"/>
      <w:r w:rsidRPr="000169A2">
        <w:t>Unit Descriptor</w:t>
      </w:r>
    </w:p>
    <w:tbl>
      <w:tblPr>
        <w:tblW w:w="0" w:type="auto"/>
        <w:tblLayout w:type="fixed"/>
        <w:tblCellMar>
          <w:left w:w="62" w:type="dxa"/>
          <w:right w:w="62" w:type="dxa"/>
        </w:tblCellMar>
        <w:tblLook w:val="0000"/>
      </w:tblPr>
      <w:tblGrid>
        <w:gridCol w:w="2700"/>
        <w:gridCol w:w="5760"/>
      </w:tblGrid>
      <w:tr w:rsidTr="009821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rPr>
                <w:rStyle w:val="SpecialBold"/>
              </w:rPr>
              <w:t>1)</w:t>
            </w:r>
            <w:r w:rsidRPr="000169A2">
              <w:t xml:space="preserve"> </w:t>
            </w:r>
            <w:r w:rsidRPr="000169A2">
              <w:rPr>
                <w:rStyle w:val="SpecialBold"/>
              </w:rPr>
              <w:t>Scope:</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169A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rPr>
                <w:rStyle w:val="SpecialBold"/>
              </w:rPr>
              <w:t>1.1) Descriptor</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t>This Competency Standard Unit covers the commissioning of energy/revenue metering schemes in complex situations including summation, subtraction, generation, bulk supply, interconnector and wholesale metering installations. This includes isolation, inspect</w:t>
            </w:r>
            <w:r w:rsidRPr="000169A2">
              <w:t>ion, monitoring, testing, adjustment, repair, refurbishment and or overhaul and functional checks of complex revenue metering schemes.  It includes the requirements to prove the functionality of the metering scheme in accordance with electrical installatio</w:t>
            </w:r>
            <w:r w:rsidRPr="000169A2">
              <w:t>n (state and national) standards, metrology procedures and compliance to tariff requirements.</w:t>
            </w:r>
          </w:p>
        </w:tc>
      </w:tr>
    </w:tbl>
    <w:p w:rsidR="00000000" w:rsidRPr="000169A2" w:rsidP="000169A2">
      <w:pPr>
        <w:pStyle w:val="BodyText"/>
      </w:pPr>
    </w:p>
    <w:p w:rsidR="00000000" w:rsidRPr="000169A2" w:rsidP="000169A2">
      <w:pPr>
        <w:pStyle w:val="AllowPageBreak"/>
      </w:pPr>
    </w:p>
    <w:p w:rsidR="00000000" w:rsidRPr="000169A2" w:rsidP="000169A2">
      <w:pPr>
        <w:pStyle w:val="Heading1"/>
      </w:pPr>
      <w:bookmarkStart w:id="3" w:name="O_464891"/>
      <w:bookmarkEnd w:id="3"/>
      <w:r w:rsidRPr="000169A2">
        <w:t>Application of the Unit</w:t>
      </w:r>
    </w:p>
    <w:tbl>
      <w:tblPr>
        <w:tblW w:w="0" w:type="auto"/>
        <w:tblLayout w:type="fixed"/>
        <w:tblCellMar>
          <w:left w:w="62" w:type="dxa"/>
          <w:right w:w="62" w:type="dxa"/>
        </w:tblCellMar>
        <w:tblLook w:val="0000"/>
      </w:tblPr>
      <w:tblGrid>
        <w:gridCol w:w="2672"/>
        <w:gridCol w:w="5699"/>
      </w:tblGrid>
      <w:tr w:rsidTr="0098215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rPr>
                <w:rStyle w:val="SpecialBold"/>
              </w:rPr>
              <w:t>2)</w:t>
            </w:r>
          </w:p>
        </w:tc>
      </w:tr>
      <w:tr w:rsidTr="0098215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t>This competency standard is suitable for employment-based programs under an approved contract of training at the AQF level of the qualification in which the unit is first packaged or higher.</w:t>
            </w:r>
          </w:p>
          <w:p w:rsidR="00000000" w:rsidRPr="000169A2" w:rsidP="000169A2">
            <w:pPr>
              <w:pStyle w:val="BodyText"/>
            </w:pPr>
            <w:r w:rsidRPr="000169A2">
              <w:t>The unit may be selected as an elective from the relevant schedul</w:t>
            </w:r>
            <w:r w:rsidRPr="000169A2">
              <w:t>e (see qualification packaging rules) provided that all prerequisite units are undertaken or addressed through recognition processes.</w:t>
            </w:r>
          </w:p>
          <w:p w:rsidR="00000000" w:rsidRPr="000169A2" w:rsidP="000169A2">
            <w:pPr>
              <w:pStyle w:val="BodyText"/>
            </w:pPr>
            <w:r w:rsidRPr="000169A2">
              <w:t>This unit may be included in a skill set provided that it is listed in the schedule of electives (see Qualification Framew</w:t>
            </w:r>
            <w:r w:rsidRPr="000169A2">
              <w:t>ork) and all prerequisite units are undertaken or addressed through recognition processes.</w:t>
            </w:r>
          </w:p>
          <w:p w:rsidR="00000000" w:rsidRPr="000169A2" w:rsidP="000169A2">
            <w:pPr>
              <w:pStyle w:val="BodyText"/>
            </w:pPr>
            <w:r w:rsidRPr="000169A2">
              <w:t>Delivery and assessment of this unit should be undertaken within regard to the requirements of License to Practice (1.2 above), Prerequisite Competencies and Literac</w:t>
            </w:r>
            <w:r w:rsidRPr="000169A2">
              <w:t>y and Numeracy skills (2 above) and the  recommendations for concurrent assessment and relationship with other units (9.5 below).</w:t>
            </w:r>
          </w:p>
          <w:p w:rsidR="00000000" w:rsidRPr="000169A2" w:rsidP="000169A2">
            <w:pPr>
              <w:pStyle w:val="BodyText"/>
            </w:pPr>
            <w:r w:rsidRPr="000169A2">
              <w:t>Practice in the workplace and during training is also subject to regulations directly related to occupational health and safet</w:t>
            </w:r>
            <w:r w:rsidRPr="000169A2">
              <w:t>y and where applicable contracts of training such as apprenticeships.</w:t>
            </w:r>
          </w:p>
          <w:p w:rsidR="00000000" w:rsidRPr="000169A2" w:rsidP="000169A2">
            <w:pPr>
              <w:pStyle w:val="BodyText"/>
            </w:pPr>
            <w:r w:rsidRPr="000169A2">
              <w:t>Note:</w:t>
            </w:r>
          </w:p>
          <w:p w:rsidR="00000000" w:rsidRPr="000169A2" w:rsidP="000169A2">
            <w:pPr>
              <w:pStyle w:val="BodyText"/>
            </w:pPr>
            <w:r w:rsidRPr="000169A2">
              <w:t>1. Compliance with permits may be required in various jurisdictions and typically relates to the operation of plant, machinery and equipment such as elevating work platforms, powde</w:t>
            </w:r>
            <w:r w:rsidRPr="000169A2">
              <w:t>r operated fixing tools, power operated tools, vehicles, road signage and traffic control and lifting equipment. Permits may also be required for some work environments such as confined spaces, working aloft, near live electrical apparatus and site rehabil</w:t>
            </w:r>
            <w:r w:rsidRPr="000169A2">
              <w:t>itation.</w:t>
            </w:r>
          </w:p>
          <w:p w:rsidR="00000000" w:rsidRPr="000169A2" w:rsidP="000169A2">
            <w:pPr>
              <w:pStyle w:val="BodyText"/>
            </w:pPr>
            <w:r w:rsidRPr="000169A2">
              <w:t>2. Compliance may be required in various jurisdictions relating to currency in First Aid, confined space, lifting, risk safety measures etc.</w:t>
            </w:r>
          </w:p>
        </w:tc>
      </w:tr>
    </w:tbl>
    <w:p w:rsidR="00000000" w:rsidRPr="000169A2" w:rsidP="000169A2">
      <w:pPr>
        <w:pStyle w:val="BodyText"/>
      </w:pPr>
    </w:p>
    <w:p w:rsidR="00000000" w:rsidRPr="000169A2" w:rsidP="000169A2">
      <w:pPr>
        <w:pStyle w:val="AllowPageBreak"/>
      </w:pPr>
    </w:p>
    <w:p w:rsidR="00000000" w:rsidRPr="000169A2" w:rsidP="000169A2">
      <w:pPr>
        <w:pStyle w:val="Heading1"/>
      </w:pPr>
      <w:bookmarkStart w:id="4" w:name="O_464898"/>
      <w:bookmarkEnd w:id="4"/>
      <w:r w:rsidRPr="000169A2">
        <w:t>Licensing/Regulatory Information</w:t>
      </w:r>
    </w:p>
    <w:tbl>
      <w:tblPr>
        <w:tblW w:w="0" w:type="auto"/>
        <w:tblLayout w:type="fixed"/>
        <w:tblCellMar>
          <w:left w:w="62" w:type="dxa"/>
          <w:right w:w="62" w:type="dxa"/>
        </w:tblCellMar>
        <w:tblLook w:val="0000"/>
      </w:tblPr>
      <w:tblGrid>
        <w:gridCol w:w="2700"/>
        <w:gridCol w:w="5760"/>
      </w:tblGrid>
      <w:tr w:rsidTr="009821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rPr>
                <w:rStyle w:val="SpecialBold"/>
              </w:rPr>
              <w:t xml:space="preserve">3) </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t>The skills and knowledge described in this unit requires a licence/registration to practice in the work place subject to regulations for undertaking of electrical work. Practice in workplace and during training is also subject to regulations directly relat</w:t>
            </w:r>
            <w:r w:rsidRPr="000169A2">
              <w:t>ed to Occupational Health and Safety, electricity/telecommunications/gas/water industry safety and compliance, industrial relations, environmental protection, anti discrimination and training. Commonwealth, State/Territory or Local Government legislation a</w:t>
            </w:r>
            <w:r w:rsidRPr="000169A2">
              <w:t>nd regulations may exist that limits the age of operating certain equipment.</w:t>
            </w:r>
          </w:p>
        </w:tc>
      </w:tr>
    </w:tbl>
    <w:p w:rsidR="00000000" w:rsidRPr="000169A2" w:rsidP="000169A2">
      <w:pPr>
        <w:pStyle w:val="BodyText"/>
      </w:pPr>
    </w:p>
    <w:p w:rsidR="00000000" w:rsidRPr="000169A2" w:rsidP="000169A2">
      <w:pPr>
        <w:pStyle w:val="AllowPageBreak"/>
      </w:pPr>
    </w:p>
    <w:p w:rsidR="00000000" w:rsidRPr="000169A2" w:rsidP="000169A2">
      <w:pPr>
        <w:pStyle w:val="Heading1"/>
      </w:pPr>
      <w:bookmarkStart w:id="5" w:name="O_464899"/>
      <w:bookmarkEnd w:id="5"/>
      <w:r w:rsidRPr="000169A2">
        <w:t>Pre-Requisites</w:t>
      </w:r>
    </w:p>
    <w:tbl>
      <w:tblPr>
        <w:tblW w:w="0" w:type="auto"/>
        <w:tblLayout w:type="fixed"/>
        <w:tblCellMar>
          <w:left w:w="62" w:type="dxa"/>
          <w:right w:w="62" w:type="dxa"/>
        </w:tblCellMar>
        <w:tblLook w:val="0000"/>
      </w:tblPr>
      <w:tblGrid>
        <w:gridCol w:w="2700"/>
        <w:gridCol w:w="2070"/>
        <w:gridCol w:w="3690"/>
      </w:tblGrid>
      <w:tr w:rsidTr="009821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rPr>
                <w:rStyle w:val="SpecialBold"/>
              </w:rPr>
              <w:t xml:space="preserve">4) </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rPr>
                <w:rStyle w:val="SpecialBold"/>
              </w:rPr>
              <w:t>4.1)</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t>Granting of competency in this unit shall be made only after competency in the following unit(s) has/have been confirmed.</w:t>
            </w:r>
          </w:p>
          <w:p w:rsidR="00000000" w:rsidRPr="000169A2" w:rsidP="000169A2">
            <w:pPr>
              <w:pStyle w:val="BodyText"/>
            </w:pPr>
            <w:r w:rsidRPr="000169A2">
              <w:t xml:space="preserve">Where pre-requisite pathways have been identified. All competencies in the Common Unit Group must be have been completed plus all the </w:t>
            </w:r>
            <w:r w:rsidRPr="000169A2">
              <w:t>competencies in one (1) of the identified Pathway Unit Group(s):</w:t>
            </w:r>
          </w:p>
          <w:p w:rsidR="00000000" w:rsidP="000169A2">
            <w:pPr>
              <w:pStyle w:val="BodyText"/>
              <w:rPr>
                <w:lang w:val="en-NZ"/>
              </w:rPr>
            </w:pPr>
            <w:r w:rsidRPr="000169A2">
              <w:t>Common Unit Group</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Unit Code</w:t>
            </w:r>
            <w:r w:rsidRPr="000169A2">
              <w:tab/>
            </w:r>
          </w:p>
        </w:tc>
        <w:tc>
          <w:tcPr>
            <w:tcW w:w="3690" w:type="dxa"/>
            <w:tcBorders>
              <w:top w:val="nil"/>
              <w:left w:val="nil"/>
              <w:bottom w:val="nil"/>
              <w:right w:val="nil"/>
            </w:tcBorders>
            <w:tcMar>
              <w:top w:w="0" w:type="dxa"/>
              <w:left w:w="62" w:type="dxa"/>
              <w:bottom w:w="0" w:type="dxa"/>
              <w:right w:w="62" w:type="dxa"/>
            </w:tcMar>
            <w:vAlign w:val="bottom"/>
          </w:tcPr>
          <w:p w:rsidR="00000000" w:rsidP="000169A2">
            <w:pPr>
              <w:pStyle w:val="BodyText"/>
              <w:rPr>
                <w:lang w:val="en-NZ"/>
              </w:rPr>
            </w:pPr>
            <w:r w:rsidRPr="000169A2">
              <w:t>Unit Title</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UEENEED104A</w:t>
            </w:r>
          </w:p>
        </w:tc>
        <w:tc>
          <w:tcPr>
            <w:tcW w:w="3690" w:type="dxa"/>
            <w:tcBorders>
              <w:top w:val="nil"/>
              <w:left w:val="nil"/>
              <w:bottom w:val="nil"/>
              <w:right w:val="nil"/>
            </w:tcBorders>
            <w:tcMar>
              <w:top w:w="0" w:type="dxa"/>
              <w:left w:w="62" w:type="dxa"/>
              <w:bottom w:w="0" w:type="dxa"/>
              <w:right w:w="62" w:type="dxa"/>
            </w:tcMar>
            <w:vAlign w:val="bottom"/>
          </w:tcPr>
          <w:p w:rsidR="00000000" w:rsidP="000169A2">
            <w:pPr>
              <w:pStyle w:val="BodyText"/>
              <w:rPr>
                <w:lang w:val="en-NZ"/>
              </w:rPr>
            </w:pPr>
            <w:r w:rsidRPr="000169A2">
              <w:t>Use engineering applications software on personal computers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Apply Occupational Health and Safety regulations, codes and practices in the workplace</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Fabricate, assemble and dismantle utilities industry components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Solve problems in d.c. Circuits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UEENEEE105A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Fix and secure electrotechnology equipment</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Use drawings, diagrams, schedules, standards, codes and specifications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UEENEEE124A</w:t>
            </w:r>
          </w:p>
        </w:tc>
        <w:tc>
          <w:tcPr>
            <w:tcW w:w="369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Compile and produce an energy sector detailed report</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UEENEEE125A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Provide engineering solutions for problems in c</w:t>
            </w:r>
            <w:r w:rsidRPr="000169A2">
              <w:t>omplex multiple path circuits problems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UEENEEE126A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Provide solutions to basic engineering computational problems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UEENEEE137A</w:t>
            </w:r>
          </w:p>
        </w:tc>
        <w:tc>
          <w:tcPr>
            <w:tcW w:w="369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Document and apply measures to control OHS risks associated with electrotechnology work</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UEENEEG006A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Solve problems in single and three phase low voltage machines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UEENEEG033A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Solve problems in single and three phase low voltage electrical apparatus and circuits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UEENEEG063A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Arrange circuits, control and protection for general electrical installations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UEENEEG076A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Install and replace low voltage current transformer metering</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Solve problems in electromagnetic devices and related circuits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Solve problems in electromagnetic devices and related circuits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UEENEEG103A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Install low vo</w:t>
            </w:r>
            <w:r w:rsidRPr="000169A2">
              <w:t>ltage wiring and accessories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UEENEEG104A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Install appliances, switchgear and associated accessories for low voltage electrical installations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RPr="000169A2" w:rsidP="000169A2">
            <w:pPr>
              <w:pStyle w:val="BodyText"/>
            </w:pPr>
            <w:r w:rsidRPr="000169A2">
              <w:t>UEENEEG105A</w:t>
            </w:r>
          </w:p>
        </w:tc>
        <w:tc>
          <w:tcPr>
            <w:tcW w:w="3690" w:type="dxa"/>
            <w:tcBorders>
              <w:top w:val="nil"/>
              <w:left w:val="nil"/>
              <w:bottom w:val="nil"/>
              <w:right w:val="nil"/>
            </w:tcBorders>
            <w:tcMar>
              <w:top w:w="0" w:type="dxa"/>
              <w:left w:w="62" w:type="dxa"/>
              <w:bottom w:w="0" w:type="dxa"/>
              <w:right w:w="62" w:type="dxa"/>
            </w:tcMar>
            <w:vAlign w:val="center"/>
          </w:tcPr>
          <w:tbl>
            <w:tblPr>
              <w:tblW w:w="0" w:type="auto"/>
              <w:tblLayout w:type="fixed"/>
              <w:tblCellMar>
                <w:left w:w="62" w:type="dxa"/>
                <w:right w:w="62" w:type="dxa"/>
              </w:tblCellMar>
              <w:tblLook w:val="0000"/>
            </w:tblPr>
            <w:tblGrid>
              <w:gridCol w:w="3566"/>
            </w:tblGrid>
            <w:tr>
              <w:tblPrEx>
                <w:tblW w:w="0" w:type="auto"/>
                <w:tblLayout w:type="fixed"/>
                <w:tblCellMar>
                  <w:left w:w="62" w:type="dxa"/>
                  <w:right w:w="62" w:type="dxa"/>
                </w:tblCellMar>
                <w:tblLook w:val="0000"/>
              </w:tblPrEx>
              <w:tc>
                <w:tcPr>
                  <w:tcW w:w="3566" w:type="dxa"/>
                  <w:shd w:val="clear" w:color="auto" w:fill="FFFFFF"/>
                  <w:tcMar>
                    <w:top w:w="0" w:type="dxa"/>
                    <w:left w:w="62" w:type="dxa"/>
                    <w:bottom w:w="0" w:type="dxa"/>
                    <w:right w:w="62" w:type="dxa"/>
                  </w:tcMar>
                </w:tcPr>
                <w:p w:rsidR="00000000" w:rsidRPr="000169A2" w:rsidP="000169A2">
                  <w:pPr>
                    <w:pStyle w:val="BodyText"/>
                  </w:pPr>
                  <w:r w:rsidRPr="000169A2">
                    <w:t>Verify compliance and functionality of low voltage general electrical installations</w:t>
                  </w:r>
                </w:p>
              </w:tc>
            </w:tr>
          </w:tbl>
          <w:p w:rsidR="00000000" w:rsidP="000169A2">
            <w:pPr>
              <w:pStyle w:val="BodyText"/>
              <w:rPr>
                <w:lang w:val="en-NZ"/>
              </w:rPr>
            </w:pP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UEENEEG106A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Terminate cables, cords and accessories for low voltage circuits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UEENEEG107A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Select wiring systems and cables for low voltage general electrical installations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UEENEEG108A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Trouble-shoot and repair faults in low voltage electrical apparatus and circuits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UEENEEG109A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Develop and connect electrical control circuits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UEENEEG149A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Provide engineering solutions to problems in complex polyphase power circuits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UEENEEG171A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Install, set up and commission interval metering</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Apply sustainable energy and environmental procedures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UETTDREL15A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Respond to power systems technical enquiries and requests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 xml:space="preserve">Working safely near live electrical apparatus </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Implement and monitor the power system organisational O</w:t>
            </w:r>
            <w:r w:rsidRPr="000169A2">
              <w:t>HS policies, procedures and programs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Implement and monitor the power system environmental and sustainable energy management policies and procedures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UETTDRTS37A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Perform current injection testing using phantom load</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UETTDRTS38A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Install and replace high voltage metering and associated equipment</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UETTDRTS39A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Maintain compliance with national electricity market metrology practices and procedures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UETTDRTS40A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Test and maintain energy/revenue metering schemes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UETTDRTS41A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Install a</w:t>
            </w:r>
            <w:r w:rsidRPr="000169A2">
              <w:t>nd replace complex energy/revenue metering schemes and associated equipment</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UETTDRTS42A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Management of energy registration data errors for revenue billing purposes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UETTDRTS43A</w:t>
            </w:r>
          </w:p>
        </w:tc>
        <w:tc>
          <w:tcPr>
            <w:tcW w:w="369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Commission energy/revenue metering schemes</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0169A2">
            <w:pPr>
              <w:pStyle w:val="BodyText"/>
              <w:rPr>
                <w:lang w:val="en-NZ"/>
              </w:rPr>
            </w:pPr>
            <w:r w:rsidRPr="000169A2">
              <w:t>UETTDRTS44A</w:t>
            </w:r>
          </w:p>
        </w:tc>
        <w:tc>
          <w:tcPr>
            <w:tcW w:w="3690" w:type="dxa"/>
            <w:tcBorders>
              <w:top w:val="nil"/>
              <w:left w:val="nil"/>
              <w:bottom w:val="nil"/>
              <w:right w:val="nil"/>
            </w:tcBorders>
            <w:tcMar>
              <w:top w:w="0" w:type="dxa"/>
              <w:left w:w="62" w:type="dxa"/>
              <w:bottom w:w="0" w:type="dxa"/>
              <w:right w:w="62" w:type="dxa"/>
            </w:tcMar>
            <w:vAlign w:val="center"/>
          </w:tcPr>
          <w:p w:rsidR="00000000" w:rsidRPr="000169A2" w:rsidP="000169A2">
            <w:pPr>
              <w:pStyle w:val="BodyText"/>
            </w:pPr>
            <w:r w:rsidRPr="000169A2">
              <w:t>Test and maintain energy/revenue metering schemes (complex)</w:t>
            </w:r>
          </w:p>
        </w:tc>
      </w:tr>
    </w:tbl>
    <w:p w:rsidR="00000000" w:rsidRPr="000169A2" w:rsidP="000169A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8215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rPr>
                <w:rStyle w:val="SpecialBold"/>
              </w:rPr>
              <w:t xml:space="preserve">4.2) </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 xml:space="preserve">Participants are best equipped to achieve this unit if they have reading, writing and numeracy skills indicated by the following scales. Description </w:t>
            </w:r>
            <w:r w:rsidRPr="000169A2">
              <w:t>of each scale is given in Volume 2, Part 3 “Literacy and Numeracy”</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Reading</w:t>
            </w:r>
          </w:p>
        </w:tc>
        <w:tc>
          <w:tcPr>
            <w:tcW w:w="81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5</w:t>
            </w:r>
          </w:p>
        </w:tc>
        <w:tc>
          <w:tcPr>
            <w:tcW w:w="99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Writing</w:t>
            </w: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5</w:t>
            </w:r>
          </w:p>
        </w:tc>
        <w:tc>
          <w:tcPr>
            <w:tcW w:w="12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Numeracy</w:t>
            </w:r>
          </w:p>
        </w:tc>
        <w:tc>
          <w:tcPr>
            <w:tcW w:w="72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t>5</w:t>
            </w:r>
          </w:p>
        </w:tc>
      </w:tr>
    </w:tbl>
    <w:p w:rsidR="00000000" w:rsidRPr="000169A2" w:rsidP="000169A2">
      <w:pPr>
        <w:pStyle w:val="BodyText"/>
      </w:pPr>
    </w:p>
    <w:p w:rsidR="00000000" w:rsidRPr="000169A2" w:rsidP="000169A2">
      <w:pPr>
        <w:pStyle w:val="AllowPageBreak"/>
      </w:pPr>
    </w:p>
    <w:p w:rsidR="00000000" w:rsidRPr="000169A2" w:rsidP="000169A2">
      <w:pPr>
        <w:pStyle w:val="Heading1"/>
      </w:pPr>
      <w:bookmarkStart w:id="6" w:name="O_464895"/>
      <w:bookmarkEnd w:id="6"/>
      <w:r w:rsidRPr="000169A2">
        <w:t>Employability Skills Information</w:t>
      </w:r>
    </w:p>
    <w:tbl>
      <w:tblPr>
        <w:tblW w:w="0" w:type="auto"/>
        <w:tblLayout w:type="fixed"/>
        <w:tblCellMar>
          <w:left w:w="62" w:type="dxa"/>
          <w:right w:w="62" w:type="dxa"/>
        </w:tblCellMar>
        <w:tblLook w:val="0000"/>
      </w:tblPr>
      <w:tblGrid>
        <w:gridCol w:w="2700"/>
        <w:gridCol w:w="5760"/>
      </w:tblGrid>
      <w:tr w:rsidTr="009821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rPr>
                <w:rStyle w:val="SpecialBold"/>
              </w:rPr>
              <w:t xml:space="preserve">5) </w:t>
            </w:r>
          </w:p>
        </w:tc>
      </w:tr>
      <w:tr w:rsidTr="009821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169A2">
              <w:t>requirements.</w:t>
            </w:r>
          </w:p>
        </w:tc>
      </w:tr>
    </w:tbl>
    <w:p w:rsidR="00000000" w:rsidRPr="000169A2" w:rsidP="000169A2">
      <w:pPr>
        <w:pStyle w:val="BodyText"/>
      </w:pPr>
    </w:p>
    <w:p w:rsidR="00000000" w:rsidRPr="000169A2" w:rsidP="000169A2">
      <w:pPr>
        <w:pStyle w:val="AllowPageBreak"/>
      </w:pPr>
    </w:p>
    <w:p w:rsidR="00000000" w:rsidRPr="000169A2" w:rsidP="000169A2">
      <w:pPr>
        <w:pStyle w:val="Heading1"/>
      </w:pPr>
      <w:bookmarkStart w:id="7" w:name="O_464894"/>
      <w:bookmarkEnd w:id="7"/>
      <w:r w:rsidRPr="000169A2">
        <w:t>Elements and Performance Criteria Pre-Content</w:t>
      </w:r>
    </w:p>
    <w:tbl>
      <w:tblPr>
        <w:tblW w:w="0" w:type="auto"/>
        <w:tblLayout w:type="fixed"/>
        <w:tblCellMar>
          <w:left w:w="62" w:type="dxa"/>
          <w:right w:w="62" w:type="dxa"/>
        </w:tblCellMar>
        <w:tblLook w:val="0000"/>
      </w:tblPr>
      <w:tblGrid>
        <w:gridCol w:w="2700"/>
        <w:gridCol w:w="5760"/>
      </w:tblGrid>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rPr>
                <w:rStyle w:val="SpecialBold"/>
              </w:rPr>
              <w:t>6)</w:t>
            </w:r>
            <w:r w:rsidRPr="000169A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t>Performance Criteria describe the required performance needed to demonstrate achievement of the element</w:t>
            </w:r>
            <w:r w:rsidRPr="000169A2">
              <w:t>. Assessment of performance is to be consistent with the Evidence Guide.</w:t>
            </w:r>
          </w:p>
        </w:tc>
      </w:tr>
    </w:tbl>
    <w:p w:rsidR="00000000" w:rsidRPr="000169A2" w:rsidP="000169A2">
      <w:pPr>
        <w:pStyle w:val="BodyText"/>
      </w:pPr>
    </w:p>
    <w:p w:rsidR="00000000" w:rsidRPr="000169A2" w:rsidP="000169A2">
      <w:pPr>
        <w:pStyle w:val="AllowPageBreak"/>
      </w:pPr>
    </w:p>
    <w:p w:rsidR="00000000" w:rsidRPr="000169A2" w:rsidP="000169A2">
      <w:pPr>
        <w:pStyle w:val="Heading1"/>
      </w:pPr>
      <w:bookmarkStart w:id="8" w:name="O_464893"/>
      <w:bookmarkEnd w:id="8"/>
      <w:r w:rsidRPr="000169A2">
        <w:t>Elements and Performance Criteria</w:t>
      </w:r>
    </w:p>
    <w:tbl>
      <w:tblPr>
        <w:tblW w:w="0" w:type="auto"/>
        <w:tblLayout w:type="fixed"/>
        <w:tblCellMar>
          <w:left w:w="62" w:type="dxa"/>
          <w:right w:w="62" w:type="dxa"/>
        </w:tblCellMar>
        <w:tblLook w:val="0000"/>
      </w:tblPr>
      <w:tblGrid>
        <w:gridCol w:w="394"/>
        <w:gridCol w:w="2306"/>
        <w:gridCol w:w="900"/>
        <w:gridCol w:w="4860"/>
      </w:tblGrid>
      <w:tr w:rsidTr="0098215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rPr>
                <w:rStyle w:val="SpecialBold"/>
              </w:rPr>
              <w:t>PERFORMANCE CRITERIA</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1</w:t>
            </w:r>
          </w:p>
        </w:tc>
        <w:tc>
          <w:tcPr>
            <w:tcW w:w="2306" w:type="dxa"/>
            <w:vMerge w:val="restart"/>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Plan for the commissioning of energy/revenue metering schemes (complex)</w:t>
            </w: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1.1</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OHS practices/procedures and environmental and sustainable energy procedures, which may influence the commissioning of energy/revenue metering schemes (complex) are reviewed and determined.</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1.2</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Purpose of the commissioning of energy/revenue metering schemes (complex) is established after data is analysed and expected outcomes of the work are confirmed with the appropriate personnel.</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1.3</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Organisational established procedures, policies and speci</w:t>
            </w:r>
            <w:r w:rsidRPr="000169A2">
              <w:t>fications for the commissioning of energy/revenue metering schemes (complex) are obtained or established with the appropriate personnel.</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1.4</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Commissioning of energy/revenue metering schemes (complex) procedures are discussed with/directed to the appropriate personnel in order to ascertain the project brief.</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1.5</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Commissioning parameters are established from organisational established procedur</w:t>
            </w:r>
            <w:r w:rsidRPr="000169A2">
              <w:t>es, policies and specifications.</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1.6</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Equipment/tools and personal protective equipment are selected based on specified Performance Criteria and established procedures.</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1.7</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 xml:space="preserve">Work roles and tasks are allocated according to requirements and individuals’ </w:t>
            </w:r>
            <w:r w:rsidRPr="000169A2">
              <w:t>competencies.</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1.8</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Work is prioritised and sequenced for the most efficient/effective outcome, completed within an acceptable timeframe to a quality standard and in accordance with established procedures.</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1.9</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Liaison and communication issues with other/authorised personnel, authorities, clients and customers are resolved and activities coordinated to carry out work.</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1.10</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Risk control measures are identified, prioritised and evaluated against the work schedul</w:t>
            </w:r>
            <w:r w:rsidRPr="000169A2">
              <w:t>e.</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1.11</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Relevant internal/external work permits are obtained to coordinate the performance of work according to requirements and/or established procedures.</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2</w:t>
            </w:r>
          </w:p>
        </w:tc>
        <w:tc>
          <w:tcPr>
            <w:tcW w:w="2306" w:type="dxa"/>
            <w:vMerge w:val="restart"/>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Carry out the commissioning of energy/revenue metering schemes (complex)</w:t>
            </w: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2.1</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OHS and sustainab</w:t>
            </w:r>
            <w:r w:rsidRPr="000169A2">
              <w:t>le energy principles, functionality and practices to prevent the incidents of accidents and minimise waste are incorporated into the project in accordance with requirements and/or established procedures.</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2.2</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First Aid, Rescue and other related work procedures are performed according to requirements and/or established procedures.</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2.3</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Lifting, climbing, and use of powertools/equipment, techniques and practices are safely exercised according to requirements.</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2.4</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Hazard warnings and safety signs are recognized and hazards and assessed OHS risks are reported to the immediate authorised persons for directions according to established procedures.</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2.5</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Remedial actions are taken to overcome any shortfalls encou</w:t>
            </w:r>
            <w:r w:rsidRPr="000169A2">
              <w:t>ntered in the work schedule according to requirements and/or established procedures.</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 xml:space="preserve"> </w:t>
            </w: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2.6</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Testing equipment is used in accordance with the work schedule and requirements and/or established procedures.</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2.7</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Commissioning of energy/revenue metering sche</w:t>
            </w:r>
            <w:r w:rsidRPr="000169A2">
              <w:t>mes (complex) is carried out in accordance with the work schedule</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2.8</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Technical advice is given regarding potential hazards, safety risks and control measures so that monitoring and preventative action can be undertaken</w:t>
            </w:r>
            <w:r w:rsidRPr="000169A2">
              <w:t xml:space="preserve"> and/or appropriate authorities consulted, where necessary, in accordance with requirements and established procedures.</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2.9</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Essential knowledge and associated skills are applied in the safe commissioning of energy/revenue metering schemes (complex) to e</w:t>
            </w:r>
            <w:r w:rsidRPr="000169A2">
              <w:t>nsure completion in an agreed timeframe according to requirements.</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2.10</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Solutions to non-routine problems are identified and actioned, using essential knowledge and associated skills, according to requirements.</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2.11</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Quality of work is monitored again</w:t>
            </w:r>
            <w:r w:rsidRPr="000169A2">
              <w:t>st personal performance agreement and/or established organisational and professional standards.</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3</w:t>
            </w:r>
          </w:p>
        </w:tc>
        <w:tc>
          <w:tcPr>
            <w:tcW w:w="2306"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Complete the commissioning of energy/revenue metering schemes (complex)</w:t>
            </w: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3.1</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Final inspections of the commissioning of energy/revenue metering schemes (comple</w:t>
            </w:r>
            <w:r w:rsidRPr="000169A2">
              <w:t>x) using routine tests and acceptance tests are undertaken to ensure they comply with all requirements and include all specifications and documents needed to complete the project.</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3.2</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Appropriate internal/external personnel are notified of completion and reports and/or completion documents are finalised/commissioned according to established procedures and timeframes.</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3.3</w:t>
            </w:r>
          </w:p>
        </w:tc>
        <w:tc>
          <w:tcPr>
            <w:tcW w:w="48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Reports and/or completion documents are submitted to relevant p</w:t>
            </w:r>
            <w:r w:rsidRPr="000169A2">
              <w:t>ersonnel/organisations for approval and, where applicable, statutory or regulatory approval.</w:t>
            </w:r>
          </w:p>
        </w:tc>
      </w:tr>
      <w:tr w:rsidTr="00982158">
        <w:tblPrEx>
          <w:tblW w:w="0" w:type="auto"/>
          <w:tblLayout w:type="fixed"/>
          <w:tblCellMar>
            <w:left w:w="62" w:type="dxa"/>
            <w:right w:w="62" w:type="dxa"/>
          </w:tblCellMar>
          <w:tblLook w:val="0000"/>
        </w:tblPrEx>
        <w:tc>
          <w:tcPr>
            <w:tcW w:w="3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3.4</w:t>
            </w:r>
          </w:p>
        </w:tc>
        <w:tc>
          <w:tcPr>
            <w:tcW w:w="486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t>Approved copies of routine testing and acceptance testing procedures/activities/results, for the commissioning of energy/revenue metering schemes (complex),</w:t>
            </w:r>
            <w:r w:rsidRPr="000169A2">
              <w:t xml:space="preserve"> documents are issued and records are updated in accordance with established procedures.</w:t>
            </w:r>
          </w:p>
        </w:tc>
      </w:tr>
    </w:tbl>
    <w:p w:rsidR="00000000" w:rsidRPr="000169A2" w:rsidP="000169A2">
      <w:pPr>
        <w:pStyle w:val="BodyText"/>
      </w:pPr>
    </w:p>
    <w:p w:rsidR="00000000" w:rsidRPr="000169A2" w:rsidP="000169A2">
      <w:pPr>
        <w:pStyle w:val="AllowPageBreak"/>
      </w:pPr>
    </w:p>
    <w:p w:rsidR="00000000" w:rsidRPr="000169A2" w:rsidP="000169A2">
      <w:pPr>
        <w:pStyle w:val="Heading1"/>
      </w:pPr>
      <w:bookmarkStart w:id="9" w:name="O_464901"/>
      <w:bookmarkEnd w:id="9"/>
      <w:r w:rsidRPr="000169A2">
        <w:t>Required Skills and Knowledge</w:t>
      </w:r>
    </w:p>
    <w:tbl>
      <w:tblPr>
        <w:tblW w:w="0" w:type="auto"/>
        <w:tblLayout w:type="fixed"/>
        <w:tblCellMar>
          <w:left w:w="62" w:type="dxa"/>
          <w:right w:w="62" w:type="dxa"/>
        </w:tblCellMar>
        <w:tblLook w:val="0000"/>
      </w:tblPr>
      <w:tblGrid>
        <w:gridCol w:w="8460"/>
      </w:tblGrid>
      <w:tr w:rsidTr="0098215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rPr>
                <w:rStyle w:val="SpecialBold"/>
              </w:rPr>
              <w:t>REQUIRED SKILLS AND KNOWLEDGE</w:t>
            </w:r>
          </w:p>
        </w:tc>
      </w:tr>
      <w:tr w:rsidTr="0098215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rPr>
                <w:rStyle w:val="SpecialBold"/>
              </w:rPr>
              <w:t>8)</w:t>
            </w:r>
            <w:r w:rsidRPr="000169A2">
              <w:t xml:space="preserve"> Essential Knowledge and Associated Skills (EKAS): This describes the essential skills and knowledge and their level, required for this unit.</w:t>
            </w:r>
          </w:p>
          <w:p w:rsidR="00000000" w:rsidRPr="000169A2" w:rsidP="000169A2">
            <w:pPr>
              <w:pStyle w:val="BodyText"/>
            </w:pPr>
            <w:r w:rsidRPr="000169A2">
              <w:t>Evidence shall show that knowledge has been acquired of the commissioning of energy/revenue metering schemes (comp</w:t>
            </w:r>
            <w:r w:rsidRPr="000169A2">
              <w:t>lex).</w:t>
            </w:r>
          </w:p>
          <w:p w:rsidR="00000000" w:rsidRPr="000169A2" w:rsidP="000169A2">
            <w:pPr>
              <w:pStyle w:val="BodyText"/>
            </w:pPr>
            <w:r w:rsidRPr="000169A2">
              <w:t>All knowledge and skills detailed in this unit should be contextualised to current industry practices and technologies.</w:t>
            </w:r>
          </w:p>
          <w:p w:rsidR="00000000" w:rsidRPr="000169A2" w:rsidP="000169A2">
            <w:pPr>
              <w:pStyle w:val="BodyText"/>
            </w:pPr>
            <w:r w:rsidRPr="000169A2">
              <w:t xml:space="preserve">KS01-TTS47A </w:t>
            </w:r>
            <w:r w:rsidRPr="000169A2">
              <w:tab/>
              <w:t>Commissioning of complex energy/revenue metering schemes</w:t>
            </w:r>
          </w:p>
          <w:p w:rsidR="00000000" w:rsidRPr="000169A2" w:rsidP="000169A2">
            <w:pPr>
              <w:pStyle w:val="BodyText"/>
            </w:pPr>
            <w:r w:rsidRPr="000169A2">
              <w:t>Evidence shall show an understanding of the commissioning of</w:t>
            </w:r>
            <w:r w:rsidRPr="000169A2">
              <w:t xml:space="preserve"> complex energy/revenue metering schemes to an extent indicated by the following aspects: </w:t>
            </w:r>
          </w:p>
          <w:p w:rsidR="00000000" w:rsidRPr="000169A2" w:rsidP="000169A2">
            <w:pPr>
              <w:pStyle w:val="BodyText"/>
            </w:pPr>
            <w:r w:rsidRPr="000169A2">
              <w:t>T1</w:t>
            </w:r>
            <w:r w:rsidRPr="000169A2">
              <w:tab/>
              <w:t>Additional hardware components which add complexity and the possibility for greater uncertainty in overall accuracy</w:t>
            </w:r>
          </w:p>
          <w:p w:rsidR="00000000" w:rsidRPr="000169A2" w:rsidP="000169A2">
            <w:pPr>
              <w:pStyle w:val="BodyText"/>
            </w:pPr>
            <w:r w:rsidRPr="000169A2">
              <w:t>T2</w:t>
            </w:r>
            <w:r w:rsidRPr="000169A2">
              <w:tab/>
              <w:t>Calculations are more complex and require c</w:t>
            </w:r>
            <w:r w:rsidRPr="000169A2">
              <w:t>onsideration of multiple sources of errors to accurately determine the overall site errors</w:t>
            </w:r>
          </w:p>
          <w:p w:rsidR="00000000" w:rsidRPr="000169A2" w:rsidP="000169A2">
            <w:pPr>
              <w:pStyle w:val="BodyText"/>
            </w:pPr>
            <w:r w:rsidRPr="000169A2">
              <w:t>T3</w:t>
            </w:r>
            <w:r w:rsidRPr="000169A2">
              <w:tab/>
              <w:t>Calculation and verification of correct application of transformer losses, transmission line losses and correction factors in meter programming</w:t>
            </w:r>
          </w:p>
          <w:p w:rsidR="00000000" w:rsidRPr="000169A2" w:rsidP="000169A2">
            <w:pPr>
              <w:pStyle w:val="BodyText"/>
            </w:pPr>
            <w:r w:rsidRPr="000169A2">
              <w:t>T4</w:t>
            </w:r>
            <w:r w:rsidRPr="000169A2">
              <w:tab/>
              <w:t>Determining the</w:t>
            </w:r>
            <w:r w:rsidRPr="000169A2">
              <w:t xml:space="preserve"> inputs and relationships required of physical metering points to establish and verify logical metering schemes</w:t>
            </w:r>
          </w:p>
          <w:p w:rsidR="00000000" w:rsidRPr="000169A2" w:rsidP="000169A2">
            <w:pPr>
              <w:pStyle w:val="BodyText"/>
            </w:pPr>
            <w:r w:rsidRPr="000169A2">
              <w:t>T5</w:t>
            </w:r>
            <w:r w:rsidRPr="000169A2">
              <w:tab/>
              <w:t>Consideration to all sources of burden on the metering instrument transformers and ensuring the instrument transformer is operating within it</w:t>
            </w:r>
            <w:r w:rsidRPr="000169A2">
              <w:t>s accuracy limits</w:t>
            </w:r>
          </w:p>
          <w:p w:rsidR="00000000" w:rsidRPr="000169A2" w:rsidP="000169A2">
            <w:pPr>
              <w:pStyle w:val="BodyText"/>
            </w:pPr>
            <w:r w:rsidRPr="000169A2">
              <w:t>T6</w:t>
            </w:r>
            <w:r w:rsidRPr="000169A2">
              <w:tab/>
              <w:t>Communicating with market participants, including Meter Data Provider, Responsible Person</w:t>
            </w:r>
          </w:p>
          <w:p w:rsidR="00000000" w:rsidRPr="000169A2" w:rsidP="000169A2">
            <w:pPr>
              <w:pStyle w:val="BodyText"/>
            </w:pPr>
            <w:r w:rsidRPr="000169A2">
              <w:t>T7</w:t>
            </w:r>
            <w:r w:rsidRPr="000169A2">
              <w:tab/>
              <w:t>Knowledge of high fault currents</w:t>
            </w:r>
          </w:p>
          <w:p w:rsidR="00000000" w:rsidRPr="000169A2" w:rsidP="000169A2">
            <w:pPr>
              <w:pStyle w:val="BodyText"/>
            </w:pPr>
            <w:r w:rsidRPr="000169A2">
              <w:t>T8</w:t>
            </w:r>
            <w:r w:rsidRPr="000169A2">
              <w:tab/>
              <w:t>Risk assessments and safe systems of work</w:t>
            </w:r>
          </w:p>
        </w:tc>
      </w:tr>
    </w:tbl>
    <w:p w:rsidR="00000000" w:rsidRPr="000169A2" w:rsidP="000169A2">
      <w:pPr>
        <w:pStyle w:val="BodyText"/>
      </w:pPr>
    </w:p>
    <w:p w:rsidR="00000000" w:rsidRPr="000169A2" w:rsidP="000169A2">
      <w:pPr>
        <w:pStyle w:val="AllowPageBreak"/>
      </w:pPr>
    </w:p>
    <w:p w:rsidR="00000000" w:rsidRPr="000169A2" w:rsidP="000169A2">
      <w:pPr>
        <w:pStyle w:val="Heading1"/>
      </w:pPr>
      <w:bookmarkStart w:id="10" w:name="O_464896"/>
      <w:bookmarkEnd w:id="10"/>
      <w:r w:rsidRPr="000169A2">
        <w:t>Evidence Guide</w:t>
      </w:r>
    </w:p>
    <w:tbl>
      <w:tblPr>
        <w:tblW w:w="0" w:type="auto"/>
        <w:tblLayout w:type="fixed"/>
        <w:tblCellMar>
          <w:left w:w="62" w:type="dxa"/>
          <w:right w:w="62" w:type="dxa"/>
        </w:tblCellMar>
        <w:tblLook w:val="0000"/>
      </w:tblPr>
      <w:tblGrid>
        <w:gridCol w:w="8460"/>
      </w:tblGrid>
      <w:tr w:rsidTr="0098215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rPr>
                <w:rStyle w:val="SpecialBold"/>
              </w:rPr>
              <w:t>EVIDENCE GUIDE</w:t>
            </w:r>
          </w:p>
        </w:tc>
      </w:tr>
      <w:tr w:rsidTr="009821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rPr>
                <w:rStyle w:val="SpecialBold"/>
              </w:rPr>
              <w:t>9)</w:t>
            </w:r>
            <w:r w:rsidRPr="000169A2">
              <w:t xml:space="preserve"> This provides essential advice for assessment of the unit of competency and must be read in conjunction with the Performance Criteria and the Range Statement of the unit of competency and the Training Package Assessment Guidelines.</w:t>
            </w:r>
          </w:p>
          <w:p w:rsidR="00000000" w:rsidRPr="000169A2" w:rsidP="000169A2">
            <w:pPr>
              <w:pStyle w:val="BodyText"/>
            </w:pPr>
            <w:r w:rsidRPr="000169A2">
              <w:t>The Evidence Guide form</w:t>
            </w:r>
            <w:r w:rsidRPr="000169A2">
              <w:t>s an integral part of this Competency Standard Unit and shall be used in conjunction with all component parts of this unit and, performed in accordance with the Assessment Guidelines of this Training Package.</w:t>
            </w:r>
          </w:p>
        </w:tc>
      </w:tr>
    </w:tbl>
    <w:p w:rsidR="00000000" w:rsidRPr="000169A2" w:rsidP="000169A2">
      <w:pPr>
        <w:pStyle w:val="BodyText"/>
      </w:pPr>
    </w:p>
    <w:tbl>
      <w:tblPr>
        <w:tblW w:w="0" w:type="auto"/>
        <w:tblLayout w:type="fixed"/>
        <w:tblCellMar>
          <w:left w:w="62" w:type="dxa"/>
          <w:right w:w="62" w:type="dxa"/>
        </w:tblCellMar>
        <w:tblLook w:val="0000"/>
      </w:tblPr>
      <w:tblGrid>
        <w:gridCol w:w="1890"/>
        <w:gridCol w:w="6570"/>
      </w:tblGrid>
      <w:tr w:rsidTr="009821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rPr>
                <w:rStyle w:val="SpecialBold"/>
              </w:rPr>
              <w:t>9.1)</w:t>
            </w:r>
          </w:p>
        </w:tc>
      </w:tr>
      <w:tr w:rsidTr="009821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t>Longitudinal competency development approaches to assessment, such as Profiling, require data to be reliably gathered in a form that can be consistently interpreted over time. This approach is best utilised in Apprenticeship programs and reduces assessment</w:t>
            </w:r>
            <w:r w:rsidRPr="000169A2">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0169A2">
              <w:t>tency in a realistically simulated work environment. It is recognised that, in some circumstances, assessment in part or full can occur outside the workplace. However, it must be in accord with Industry and, Regulatory policy in this regard.</w:t>
            </w:r>
          </w:p>
          <w:p w:rsidR="00000000" w:rsidRPr="000169A2" w:rsidP="000169A2">
            <w:pPr>
              <w:pStyle w:val="BodyText"/>
            </w:pPr>
            <w:r w:rsidRPr="000169A2">
              <w:t>Methods chosen</w:t>
            </w:r>
            <w:r w:rsidRPr="000169A2">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0169A2">
              <w:t>equired and the critical nature of the competencies being assessed.</w:t>
            </w:r>
          </w:p>
          <w:p w:rsidR="00000000" w:rsidRPr="000169A2" w:rsidP="000169A2">
            <w:pPr>
              <w:pStyle w:val="BodyText"/>
            </w:pPr>
            <w:r w:rsidRPr="000169A2">
              <w:t>The critical safety nature of working with electricity, electrical equipment, gas or any other hazardous substance/material carries risk in deeming a person competent. Hence, sources of ev</w:t>
            </w:r>
            <w:r w:rsidRPr="000169A2">
              <w:t>idence need to be ‘rich’ in nature so as to minimise error in judgment.</w:t>
            </w:r>
          </w:p>
          <w:p w:rsidR="00000000" w:rsidRPr="000169A2" w:rsidP="000169A2">
            <w:pPr>
              <w:pStyle w:val="BodyText"/>
            </w:pPr>
            <w:r w:rsidRPr="000169A2">
              <w:t>Activities associated with normal every day work have a bearing on the decision as to how much and how detailed the data gathered will contribute to its ‘richness’. Some skills are mor</w:t>
            </w:r>
            <w:r w:rsidRPr="000169A2">
              <w:t>e critical to safety and operational requirements while the same skills may be more or less frequently practiced. These points are raised for the assessors to consider when choosing an assessment method and developing assessment instruments. Sample assessm</w:t>
            </w:r>
            <w:r w:rsidRPr="000169A2">
              <w:t>ent instruments are included for Assessors in the Assessment Guidelines of this Training Package.</w:t>
            </w:r>
          </w:p>
        </w:tc>
      </w:tr>
    </w:tbl>
    <w:p w:rsidR="00000000" w:rsidRPr="000169A2" w:rsidP="000169A2">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9821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rPr>
                <w:rStyle w:val="SpecialBold"/>
              </w:rPr>
              <w:t>9.2)</w:t>
            </w:r>
          </w:p>
        </w:tc>
      </w:tr>
      <w:tr w:rsidTr="009821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t>Before the critical aspects of evidence are considered all prerequisi</w:t>
            </w:r>
            <w:r w:rsidRPr="000169A2">
              <w:t>tes shall be met.</w:t>
            </w:r>
          </w:p>
          <w:p w:rsidR="00000000" w:rsidRPr="000169A2" w:rsidP="000169A2">
            <w:pPr>
              <w:pStyle w:val="BodyText"/>
            </w:pPr>
            <w:r w:rsidRPr="000169A2">
              <w:t>Evidence for competence in this unit shall be considered holistically. Each element and associated Performance Criteria shall be demonstrated on at least two occasions in accordance with the “Assessment Guidelines – UET12”. Evidence shall</w:t>
            </w:r>
            <w:r w:rsidRPr="000169A2">
              <w:t xml:space="preserve"> also comprise:</w:t>
            </w:r>
          </w:p>
          <w:p w:rsidR="00000000" w:rsidRPr="000169A2" w:rsidP="000169A2">
            <w:pPr>
              <w:pStyle w:val="ListBullet"/>
            </w:pPr>
            <w:r w:rsidRPr="000169A2">
              <w:t xml:space="preserve">A representative body of Performance Criteria demonstrated within the timeframes </w:t>
            </w:r>
            <w:r w:rsidRPr="000169A2">
              <w:t>typically expected of the discipline, work function and industrial environment. In particular this shall incorporate evidence that shows a candidate is able to:</w:t>
            </w:r>
          </w:p>
          <w:p w:rsidR="00000000" w:rsidRPr="000169A2" w:rsidP="000169A2">
            <w:pPr>
              <w:pStyle w:val="ListBullet2"/>
            </w:pPr>
            <w:r w:rsidRPr="000169A2">
              <w:t xml:space="preserve">Implement Occupational Health and Safety workplace procedures and practices including the use </w:t>
            </w:r>
            <w:r w:rsidRPr="000169A2">
              <w:t>of risk control measures as specified in the Performance Criteria and range; and</w:t>
            </w:r>
          </w:p>
          <w:p w:rsidR="00000000" w:rsidRPr="000169A2" w:rsidP="000169A2">
            <w:pPr>
              <w:pStyle w:val="ListBullet2"/>
            </w:pPr>
            <w:r w:rsidRPr="000169A2">
              <w:t>Apply sustainable energy principles and practices as specified in the Performance Criteria and range; and</w:t>
            </w:r>
          </w:p>
          <w:p w:rsidR="00000000" w:rsidRPr="000169A2" w:rsidP="000169A2">
            <w:pPr>
              <w:pStyle w:val="ListBullet2"/>
            </w:pPr>
            <w:r w:rsidRPr="000169A2">
              <w:t>Demonstrate an understanding of the essential knowledge and associate</w:t>
            </w:r>
            <w:r w:rsidRPr="000169A2">
              <w:t>d skills as described in this unit to such an extent that the learner’s performance outcome is reported in accordance with the preferred approach; namely a percentile graded result, where required by the regulated environment; and</w:t>
            </w:r>
          </w:p>
          <w:p w:rsidR="00000000" w:rsidRPr="000169A2" w:rsidP="000169A2">
            <w:pPr>
              <w:pStyle w:val="ListBullet2"/>
            </w:pPr>
            <w:r w:rsidRPr="000169A2">
              <w:t>Demonstrate an appropriat</w:t>
            </w:r>
            <w:r w:rsidRPr="000169A2">
              <w:t>e level of employability skills; and</w:t>
            </w:r>
          </w:p>
          <w:p w:rsidR="00000000" w:rsidRPr="000169A2" w:rsidP="000169A2">
            <w:pPr>
              <w:pStyle w:val="ListBullet"/>
            </w:pPr>
            <w:r w:rsidRPr="000169A2">
              <w:t>Conduct work observing the relevant Anti discrimination legislation, regulations, policies and workplace procedures; and</w:t>
            </w:r>
          </w:p>
          <w:p w:rsidR="00000000" w:rsidP="000169A2">
            <w:pPr>
              <w:pStyle w:val="ListBullet2"/>
              <w:rPr>
                <w:lang w:val="en-NZ"/>
              </w:rPr>
            </w:pPr>
            <w:r w:rsidRPr="000169A2">
              <w:t>Demonstrated performance across a representative range of contexts from the prescribed items bel</w:t>
            </w:r>
            <w:r w:rsidRPr="000169A2">
              <w:t>ow:</w:t>
            </w:r>
          </w:p>
        </w:tc>
      </w:tr>
      <w:tr w:rsidTr="009821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0169A2">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A2">
            <w:pPr>
              <w:pStyle w:val="BodyText"/>
              <w:rPr>
                <w:lang w:val="en-NZ"/>
              </w:rPr>
            </w:pPr>
            <w:r w:rsidRPr="000169A2">
              <w:rPr>
                <w:rStyle w:val="SpecialBold"/>
              </w:rPr>
              <w:t>Range of tools/equipment/materials/procedures/workplaces/other variables</w:t>
            </w:r>
          </w:p>
        </w:tc>
      </w:tr>
      <w:tr w:rsidTr="009821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0169A2">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9A2" w:rsidP="000169A2">
            <w:pPr>
              <w:pStyle w:val="BodyText"/>
            </w:pPr>
            <w:r w:rsidRPr="000169A2">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9A2" w:rsidP="000169A2">
            <w:pPr>
              <w:pStyle w:val="BodyText"/>
            </w:pPr>
            <w:r w:rsidRPr="000169A2">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A2">
            <w:pPr>
              <w:pStyle w:val="BodyText"/>
              <w:rPr>
                <w:lang w:val="en-NZ"/>
              </w:rPr>
            </w:pPr>
            <w:r w:rsidRPr="000169A2">
              <w:rPr>
                <w:rStyle w:val="SpecialBold"/>
              </w:rPr>
              <w:t>Item List</w:t>
            </w:r>
          </w:p>
        </w:tc>
      </w:tr>
      <w:tr w:rsidTr="009821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A2">
            <w:pPr>
              <w:pStyle w:val="BodyText"/>
              <w:rPr>
                <w:lang w:val="en-NZ"/>
              </w:rPr>
            </w:pPr>
            <w:r w:rsidRPr="000169A2">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A2">
            <w:pPr>
              <w:pStyle w:val="BodyText"/>
              <w:rPr>
                <w:lang w:val="en-NZ"/>
              </w:rPr>
            </w:pPr>
            <w:r w:rsidRPr="000169A2">
              <w:t>Perform, on at least three (3) occasions, the commissioning of at least seven (7) of the following complex metering scheme types: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9A2" w:rsidP="000169A2">
            <w:pPr>
              <w:pStyle w:val="BodyText"/>
            </w:pPr>
            <w:r w:rsidRPr="000169A2">
              <w:t>Multiple feeder HV and LV customers</w:t>
            </w:r>
          </w:p>
          <w:p w:rsidR="00000000" w:rsidRPr="000169A2" w:rsidP="000169A2">
            <w:pPr>
              <w:pStyle w:val="BodyText"/>
            </w:pPr>
            <w:r w:rsidRPr="000169A2">
              <w:t>Summation</w:t>
            </w:r>
          </w:p>
          <w:p w:rsidR="00000000" w:rsidRPr="000169A2" w:rsidP="000169A2">
            <w:pPr>
              <w:pStyle w:val="BodyText"/>
            </w:pPr>
            <w:r w:rsidRPr="000169A2">
              <w:t>Subtraction</w:t>
            </w:r>
          </w:p>
          <w:p w:rsidR="00000000" w:rsidRPr="000169A2" w:rsidP="000169A2">
            <w:pPr>
              <w:pStyle w:val="BodyText"/>
            </w:pPr>
            <w:r w:rsidRPr="000169A2">
              <w:t>Interposing</w:t>
            </w:r>
          </w:p>
          <w:p w:rsidR="00000000" w:rsidRPr="000169A2" w:rsidP="000169A2">
            <w:pPr>
              <w:pStyle w:val="BodyText"/>
            </w:pPr>
            <w:r w:rsidRPr="000169A2">
              <w:t>Voltage changeover schemes</w:t>
            </w:r>
          </w:p>
          <w:p w:rsidR="00000000" w:rsidRPr="000169A2" w:rsidP="000169A2">
            <w:pPr>
              <w:pStyle w:val="BodyText"/>
            </w:pPr>
            <w:r w:rsidRPr="000169A2">
              <w:t>Generation</w:t>
            </w:r>
          </w:p>
          <w:p w:rsidR="00000000" w:rsidRPr="000169A2" w:rsidP="000169A2">
            <w:pPr>
              <w:pStyle w:val="BodyText"/>
            </w:pPr>
            <w:r w:rsidRPr="000169A2">
              <w:t>Zone substation</w:t>
            </w:r>
          </w:p>
          <w:p w:rsidR="00000000" w:rsidRPr="000169A2" w:rsidP="000169A2">
            <w:pPr>
              <w:pStyle w:val="BodyText"/>
            </w:pPr>
            <w:r w:rsidRPr="000169A2">
              <w:t>Bu</w:t>
            </w:r>
            <w:r w:rsidRPr="000169A2">
              <w:t>lk supply</w:t>
            </w:r>
          </w:p>
          <w:p w:rsidR="00000000" w:rsidRPr="000169A2" w:rsidP="000169A2">
            <w:pPr>
              <w:pStyle w:val="BodyText"/>
            </w:pPr>
            <w:r w:rsidRPr="000169A2">
              <w:t xml:space="preserve">Interconnector </w:t>
            </w:r>
          </w:p>
          <w:p w:rsidR="00000000" w:rsidP="000169A2">
            <w:pPr>
              <w:pStyle w:val="BodyText"/>
              <w:rPr>
                <w:lang w:val="en-NZ"/>
              </w:rPr>
            </w:pPr>
            <w:r w:rsidRPr="000169A2">
              <w:t xml:space="preserve">Wholesale metering </w:t>
            </w:r>
          </w:p>
        </w:tc>
      </w:tr>
      <w:tr w:rsidTr="009821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A2">
            <w:pPr>
              <w:pStyle w:val="BodyText"/>
              <w:rPr>
                <w:lang w:val="en-NZ"/>
              </w:rPr>
            </w:pPr>
            <w:r w:rsidRPr="000169A2">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A2">
            <w:pPr>
              <w:pStyle w:val="BodyText"/>
              <w:rPr>
                <w:lang w:val="en-NZ"/>
              </w:rPr>
            </w:pPr>
            <w:r w:rsidRPr="000169A2">
              <w:t>Perform, on at least three (3) occasions, at least six (6) of the following activities: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9A2" w:rsidP="000169A2">
            <w:pPr>
              <w:pStyle w:val="BodyText"/>
            </w:pPr>
            <w:r w:rsidRPr="000169A2">
              <w:t>Isolation</w:t>
            </w:r>
          </w:p>
          <w:p w:rsidR="00000000" w:rsidRPr="000169A2" w:rsidP="000169A2">
            <w:pPr>
              <w:pStyle w:val="BodyText"/>
            </w:pPr>
            <w:r w:rsidRPr="000169A2">
              <w:t>Inspection</w:t>
            </w:r>
          </w:p>
          <w:p w:rsidR="00000000" w:rsidRPr="000169A2" w:rsidP="000169A2">
            <w:pPr>
              <w:pStyle w:val="BodyText"/>
            </w:pPr>
            <w:r w:rsidRPr="000169A2">
              <w:t>Monitoring</w:t>
            </w:r>
          </w:p>
          <w:p w:rsidR="00000000" w:rsidRPr="000169A2" w:rsidP="000169A2">
            <w:pPr>
              <w:pStyle w:val="BodyText"/>
            </w:pPr>
            <w:r w:rsidRPr="000169A2">
              <w:t>Testing</w:t>
            </w:r>
          </w:p>
          <w:p w:rsidR="00000000" w:rsidRPr="000169A2" w:rsidP="000169A2">
            <w:pPr>
              <w:pStyle w:val="BodyText"/>
            </w:pPr>
            <w:r w:rsidRPr="000169A2">
              <w:t>Adjustment</w:t>
            </w:r>
          </w:p>
          <w:p w:rsidR="00000000" w:rsidRPr="000169A2" w:rsidP="000169A2">
            <w:pPr>
              <w:pStyle w:val="BodyText"/>
            </w:pPr>
            <w:r w:rsidRPr="000169A2">
              <w:t>Repair</w:t>
            </w:r>
          </w:p>
          <w:p w:rsidR="00000000" w:rsidRPr="000169A2" w:rsidP="000169A2">
            <w:pPr>
              <w:pStyle w:val="BodyText"/>
            </w:pPr>
            <w:r w:rsidRPr="000169A2">
              <w:t>Refurbishment and or overhaul</w:t>
            </w:r>
          </w:p>
          <w:p w:rsidR="00000000" w:rsidP="000169A2">
            <w:pPr>
              <w:pStyle w:val="BodyText"/>
              <w:rPr>
                <w:lang w:val="en-NZ"/>
              </w:rPr>
            </w:pPr>
            <w:r w:rsidRPr="000169A2">
              <w:t>Functional checks of complex revenue metering schemes.</w:t>
            </w:r>
          </w:p>
        </w:tc>
      </w:tr>
      <w:tr w:rsidTr="009821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A2">
            <w:pPr>
              <w:pStyle w:val="BodyText"/>
              <w:rPr>
                <w:lang w:val="en-NZ"/>
              </w:rPr>
            </w:pPr>
            <w:r w:rsidRPr="000169A2">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A2">
            <w:pPr>
              <w:pStyle w:val="BodyText"/>
              <w:rPr>
                <w:lang w:val="en-NZ"/>
              </w:rPr>
            </w:pPr>
            <w:r w:rsidRPr="000169A2">
              <w:t>Perform, on at least three (3) occasions, the following activities: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9A2" w:rsidP="000169A2">
            <w:pPr>
              <w:pStyle w:val="BodyText"/>
            </w:pPr>
            <w:r w:rsidRPr="000169A2">
              <w:t>Ensuring meter function by the use of multiple proprietary software applications</w:t>
            </w:r>
          </w:p>
          <w:p w:rsidR="00000000" w:rsidRPr="000169A2" w:rsidP="000169A2">
            <w:pPr>
              <w:pStyle w:val="BodyText"/>
            </w:pPr>
            <w:r w:rsidRPr="000169A2">
              <w:t xml:space="preserve">Determining energy flows, voltage, current and </w:t>
            </w:r>
            <w:r w:rsidRPr="000169A2">
              <w:t>phasor relationships</w:t>
            </w:r>
          </w:p>
          <w:p w:rsidR="00000000" w:rsidRPr="000169A2" w:rsidP="000169A2">
            <w:pPr>
              <w:pStyle w:val="BodyText"/>
            </w:pPr>
            <w:r w:rsidRPr="000169A2">
              <w:t>Validation against independent information sources and test results to ensure that the installation is operating within prescribed limits (enterprise, manufacturers, regulated energy market requirements)</w:t>
            </w:r>
          </w:p>
          <w:p w:rsidR="00000000" w:rsidRPr="000169A2" w:rsidP="000169A2">
            <w:pPr>
              <w:pStyle w:val="BodyText"/>
            </w:pPr>
            <w:r w:rsidRPr="000169A2">
              <w:t xml:space="preserve">Validation of the actual meter </w:t>
            </w:r>
            <w:r w:rsidRPr="000169A2">
              <w:t>energy data</w:t>
            </w:r>
          </w:p>
          <w:p w:rsidR="00000000" w:rsidRPr="000169A2" w:rsidP="000169A2">
            <w:pPr>
              <w:pStyle w:val="BodyText"/>
            </w:pPr>
            <w:r w:rsidRPr="000169A2">
              <w:t>against Meter Data Provider remote data streams</w:t>
            </w:r>
          </w:p>
          <w:p w:rsidR="00000000" w:rsidRPr="000169A2" w:rsidP="000169A2">
            <w:pPr>
              <w:pStyle w:val="BodyText"/>
            </w:pPr>
            <w:r w:rsidRPr="000169A2">
              <w:t>Calculate and record the overall installation site</w:t>
            </w:r>
          </w:p>
          <w:p w:rsidR="00000000" w:rsidRPr="000169A2" w:rsidP="000169A2">
            <w:pPr>
              <w:pStyle w:val="BodyText"/>
            </w:pPr>
            <w:r w:rsidRPr="000169A2">
              <w:t>error and ensure compliance with regulated energy market compliance.</w:t>
            </w:r>
          </w:p>
          <w:p w:rsidR="00000000" w:rsidRPr="000169A2" w:rsidP="000169A2">
            <w:pPr>
              <w:pStyle w:val="BodyText"/>
            </w:pPr>
            <w:r w:rsidRPr="000169A2">
              <w:t>Endorse the sit</w:t>
            </w:r>
            <w:r w:rsidRPr="000169A2">
              <w:t>e overall accuracy and installation compliance as the technical representative authorised by the metering provider.</w:t>
            </w:r>
          </w:p>
          <w:p w:rsidR="00000000" w:rsidP="000169A2">
            <w:pPr>
              <w:pStyle w:val="BodyText"/>
              <w:rPr>
                <w:lang w:val="en-NZ"/>
              </w:rPr>
            </w:pPr>
            <w:r w:rsidRPr="000169A2">
              <w:t>Ensure all records of the commissioning of energy/revenue metering schemes (complex), are complete and forwarded to the appropriate authorit</w:t>
            </w:r>
            <w:r w:rsidRPr="000169A2">
              <w:t>y in accordance with regulatory requirements.</w:t>
            </w:r>
          </w:p>
        </w:tc>
      </w:tr>
      <w:tr w:rsidTr="009821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A2">
            <w:pPr>
              <w:pStyle w:val="BodyText"/>
              <w:rPr>
                <w:lang w:val="en-NZ"/>
              </w:rPr>
            </w:pPr>
            <w:r w:rsidRPr="000169A2">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69A2">
            <w:pPr>
              <w:pStyle w:val="BodyText"/>
              <w:rPr>
                <w:lang w:val="en-NZ"/>
              </w:rPr>
            </w:pPr>
            <w:r w:rsidRPr="000169A2">
              <w:t>Demonstrate, on at least one (1) occasion,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69A2" w:rsidP="000169A2">
            <w:pPr>
              <w:pStyle w:val="BodyText"/>
            </w:pPr>
            <w:r w:rsidRPr="000169A2">
              <w:t>Dealing with an unplanned event by drawing on essential knowledge and associated skills to provide appropriate solutions incorporated in the holist</w:t>
            </w:r>
            <w:r w:rsidRPr="000169A2">
              <w:t>ic assessment with the above listed items.</w:t>
            </w:r>
          </w:p>
        </w:tc>
      </w:tr>
    </w:tbl>
    <w:p w:rsidR="00000000" w:rsidRPr="000169A2" w:rsidP="000169A2">
      <w:pPr>
        <w:pStyle w:val="BodyText"/>
      </w:pPr>
    </w:p>
    <w:tbl>
      <w:tblPr>
        <w:tblW w:w="0" w:type="auto"/>
        <w:tblLayout w:type="fixed"/>
        <w:tblCellMar>
          <w:left w:w="62" w:type="dxa"/>
          <w:right w:w="62" w:type="dxa"/>
        </w:tblCellMar>
        <w:tblLook w:val="0000"/>
      </w:tblPr>
      <w:tblGrid>
        <w:gridCol w:w="1890"/>
        <w:gridCol w:w="6570"/>
      </w:tblGrid>
      <w:tr w:rsidTr="0098215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rPr>
                <w:rStyle w:val="SpecialBold"/>
              </w:rPr>
              <w:t>9.3)</w:t>
            </w:r>
          </w:p>
        </w:tc>
      </w:tr>
      <w:tr w:rsidTr="0098215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t>This unit should be assessed as it relates to normal work practice using procedures, information and resources typical of a workplace. This should include:</w:t>
            </w:r>
          </w:p>
          <w:p w:rsidR="00000000" w:rsidRPr="000169A2" w:rsidP="000169A2">
            <w:pPr>
              <w:pStyle w:val="ListBullet"/>
            </w:pPr>
            <w:r w:rsidRPr="000169A2">
              <w:t>OHS policy and work procedures and instructions.</w:t>
            </w:r>
          </w:p>
          <w:p w:rsidR="00000000" w:rsidRPr="000169A2" w:rsidP="000169A2">
            <w:pPr>
              <w:pStyle w:val="ListBullet"/>
            </w:pPr>
            <w:r w:rsidRPr="000169A2">
              <w:t>Suitable work environment, facilities, equipment and materials to undertake actual commissioning of energy/revenue metering schemes (complex).</w:t>
            </w:r>
          </w:p>
          <w:p w:rsidR="00000000" w:rsidRPr="000169A2" w:rsidP="000169A2">
            <w:pPr>
              <w:pStyle w:val="ListBullet"/>
            </w:pPr>
            <w:r w:rsidRPr="000169A2">
              <w:t xml:space="preserve">Operational access to relevant plant, drawings, manufacture’s </w:t>
            </w:r>
            <w:r w:rsidRPr="000169A2">
              <w:t>specifications/manuals and specialised testing equipment.</w:t>
            </w:r>
          </w:p>
          <w:p w:rsidR="00000000" w:rsidRPr="000169A2" w:rsidP="000169A2">
            <w:pPr>
              <w:pStyle w:val="BodyText"/>
            </w:pPr>
            <w:r w:rsidRPr="000169A2">
              <w:t>In addition to the resources listed above, in Context of and specific resources for assessment, evidence should show demonstrated competency working in realistic environment and a variety of conditi</w:t>
            </w:r>
            <w:r w:rsidRPr="000169A2">
              <w:t>ons.</w:t>
            </w:r>
          </w:p>
        </w:tc>
      </w:tr>
    </w:tbl>
    <w:p w:rsidR="00000000" w:rsidRPr="000169A2" w:rsidP="000169A2">
      <w:pPr>
        <w:pStyle w:val="BodyText"/>
      </w:pPr>
    </w:p>
    <w:tbl>
      <w:tblPr>
        <w:tblW w:w="0" w:type="auto"/>
        <w:tblLayout w:type="fixed"/>
        <w:tblCellMar>
          <w:left w:w="62" w:type="dxa"/>
          <w:right w:w="62" w:type="dxa"/>
        </w:tblCellMar>
        <w:tblLook w:val="0000"/>
      </w:tblPr>
      <w:tblGrid>
        <w:gridCol w:w="1890"/>
        <w:gridCol w:w="6570"/>
      </w:tblGrid>
      <w:tr w:rsidTr="009821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rPr>
                <w:rStyle w:val="SpecialBold"/>
              </w:rPr>
              <w:t>9.4)</w:t>
            </w:r>
          </w:p>
        </w:tc>
      </w:tr>
      <w:tr w:rsidTr="009821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t>This Competency Standard Unit shall be assessed by methods given in Volume 1, Part 3 “Assessment Guidelines”.</w:t>
            </w:r>
          </w:p>
          <w:p w:rsidR="00000000" w:rsidRPr="000169A2" w:rsidP="000169A2">
            <w:pPr>
              <w:pStyle w:val="BodyText"/>
            </w:pPr>
            <w:r w:rsidRPr="000169A2">
              <w:t xml:space="preserve">Note: </w:t>
            </w:r>
          </w:p>
          <w:p w:rsidR="00000000" w:rsidRPr="000169A2" w:rsidP="000169A2">
            <w:pPr>
              <w:pStyle w:val="BodyText"/>
            </w:pPr>
            <w:r w:rsidRPr="000169A2">
              <w:t>Competent performance with inherent safe working practices is expected in the Transmission, Distribution and Rail Traction Industry. This requires that the specified essential knowledge and associated skills are assessed in a structured environment which i</w:t>
            </w:r>
            <w:r w:rsidRPr="000169A2">
              <w:t>s primarily intended for learning/assessment and incorporates all necessary equipment and facilities for learners to develop and demonstrate the essential knowledge and associated skills described in this unit.</w:t>
            </w:r>
          </w:p>
        </w:tc>
      </w:tr>
    </w:tbl>
    <w:p w:rsidR="00000000" w:rsidRPr="000169A2" w:rsidP="000169A2">
      <w:pPr>
        <w:pStyle w:val="BodyText"/>
      </w:pPr>
    </w:p>
    <w:tbl>
      <w:tblPr>
        <w:tblW w:w="0" w:type="auto"/>
        <w:tblLayout w:type="fixed"/>
        <w:tblCellMar>
          <w:left w:w="62" w:type="dxa"/>
          <w:right w:w="62" w:type="dxa"/>
        </w:tblCellMar>
        <w:tblLook w:val="0000"/>
      </w:tblPr>
      <w:tblGrid>
        <w:gridCol w:w="1890"/>
        <w:gridCol w:w="1980"/>
        <w:gridCol w:w="4590"/>
      </w:tblGrid>
      <w:tr w:rsidTr="009821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rPr>
                <w:rStyle w:val="SpecialBold"/>
              </w:rPr>
              <w:t>Concurrent assessment and relationship with</w:t>
            </w:r>
            <w:r w:rsidRPr="000169A2">
              <w:rPr>
                <w:rStyle w:val="SpecialBold"/>
              </w:rPr>
              <w:t xml:space="preserve"> other units</w:t>
            </w:r>
          </w:p>
        </w:tc>
        <w:tc>
          <w:tcPr>
            <w:tcW w:w="6570" w:type="dxa"/>
            <w:gridSpan w:val="2"/>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rPr>
                <w:rStyle w:val="SpecialBold"/>
              </w:rPr>
              <w:t>9.5)</w:t>
            </w:r>
          </w:p>
        </w:tc>
      </w:tr>
      <w:tr w:rsidTr="00982158">
        <w:tblPrEx>
          <w:tblW w:w="0" w:type="auto"/>
          <w:tblLayout w:type="fixed"/>
          <w:tblCellMar>
            <w:left w:w="62" w:type="dxa"/>
            <w:right w:w="62" w:type="dxa"/>
          </w:tblCellMar>
          <w:tblLook w:val="0000"/>
        </w:tblPrEx>
        <w:trPr>
          <w:trHeight w:val="543"/>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For optimisation of training and assessment effort, competence in this unit may be assessed concurrently with the following units:</w:t>
            </w:r>
          </w:p>
        </w:tc>
      </w:tr>
      <w:tr w:rsidTr="0098215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t>UETTDRTS44A</w:t>
            </w:r>
          </w:p>
        </w:tc>
        <w:tc>
          <w:tcPr>
            <w:tcW w:w="459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t>Test and maintain energy/revenue metering schemes (complex)</w:t>
            </w:r>
          </w:p>
        </w:tc>
      </w:tr>
    </w:tbl>
    <w:p w:rsidR="00000000" w:rsidRPr="000169A2" w:rsidP="000169A2">
      <w:pPr>
        <w:pStyle w:val="BodyText"/>
      </w:pPr>
    </w:p>
    <w:p w:rsidR="00000000" w:rsidRPr="000169A2" w:rsidP="000169A2">
      <w:pPr>
        <w:pStyle w:val="AllowPageBreak"/>
      </w:pPr>
    </w:p>
    <w:p w:rsidR="00000000" w:rsidRPr="000169A2" w:rsidP="000169A2">
      <w:pPr>
        <w:pStyle w:val="Heading1"/>
      </w:pPr>
      <w:bookmarkStart w:id="11" w:name="O_464900"/>
      <w:bookmarkEnd w:id="11"/>
      <w:r w:rsidRPr="000169A2">
        <w:t>Range Statement</w:t>
      </w:r>
    </w:p>
    <w:tbl>
      <w:tblPr>
        <w:tblW w:w="0" w:type="auto"/>
        <w:tblLayout w:type="fixed"/>
        <w:tblCellMar>
          <w:left w:w="62" w:type="dxa"/>
          <w:right w:w="62" w:type="dxa"/>
        </w:tblCellMar>
        <w:tblLook w:val="0000"/>
      </w:tblPr>
      <w:tblGrid>
        <w:gridCol w:w="8460"/>
      </w:tblGrid>
      <w:tr w:rsidTr="0098215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rPr>
                <w:rStyle w:val="SpecialBold"/>
              </w:rPr>
              <w:t>RANGE STATEMENT</w:t>
            </w:r>
          </w:p>
        </w:tc>
      </w:tr>
      <w:tr w:rsidTr="009821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rPr>
                <w:rStyle w:val="SpecialBold"/>
              </w:rPr>
              <w:t>10)</w:t>
            </w:r>
            <w:r w:rsidRPr="000169A2">
              <w:t xml:space="preserve"> This relates to the unit of competency as a whole providing the range of contexts and conditions </w:t>
            </w:r>
            <w:r w:rsidRPr="000169A2">
              <w:t>to which the Performance Criteria apply. It allows for different work environments and situations that will affect performance.</w:t>
            </w:r>
          </w:p>
          <w:p w:rsidR="00000000" w:rsidRPr="000169A2" w:rsidP="000169A2">
            <w:pPr>
              <w:pStyle w:val="BodyText"/>
            </w:pPr>
            <w:r w:rsidRPr="000169A2">
              <w:t>This Competency Standard Unit shall be demonstrated in relation to the commissioning of energy/revenue metering schemes (complex</w:t>
            </w:r>
            <w:r w:rsidRPr="000169A2">
              <w:t>) and may include the following:</w:t>
            </w:r>
          </w:p>
          <w:p w:rsidR="00000000" w:rsidRPr="000169A2" w:rsidP="000169A2">
            <w:pPr>
              <w:pStyle w:val="BodyText"/>
            </w:pPr>
            <w:r w:rsidRPr="000169A2">
              <w:t>Complex metering schemes include multiple feeder HV and LV customers, summation, subtraction, interposing, Voltage changeover schemes, Generation, Zone substation, bulk supply, interconnector and wholesale metering installa</w:t>
            </w:r>
            <w:r w:rsidRPr="000169A2">
              <w:t>tions.</w:t>
            </w:r>
          </w:p>
          <w:p w:rsidR="00000000" w:rsidRPr="000169A2" w:rsidP="000169A2">
            <w:pPr>
              <w:pStyle w:val="BodyText"/>
            </w:pPr>
            <w:r w:rsidRPr="000169A2">
              <w:t>This includes isolation, inspection, monitoring, testing, adjustment, repair, refurbishment and or overhaul and functional checks of complex revenue metering schemes.</w:t>
            </w:r>
          </w:p>
          <w:p w:rsidR="00000000" w:rsidRPr="000169A2" w:rsidP="000169A2">
            <w:pPr>
              <w:pStyle w:val="BodyText"/>
            </w:pPr>
            <w:r w:rsidRPr="000169A2">
              <w:t>It also includes:</w:t>
            </w:r>
          </w:p>
          <w:p w:rsidR="00000000" w:rsidRPr="000169A2" w:rsidP="000169A2">
            <w:pPr>
              <w:pStyle w:val="ListBullet"/>
            </w:pPr>
            <w:r w:rsidRPr="000169A2">
              <w:t>ensuring meter function by the use of multiple proprietary soft</w:t>
            </w:r>
            <w:r w:rsidRPr="000169A2">
              <w:t>ware applications</w:t>
            </w:r>
          </w:p>
          <w:p w:rsidR="00000000" w:rsidRPr="000169A2" w:rsidP="000169A2">
            <w:pPr>
              <w:pStyle w:val="ListBullet"/>
            </w:pPr>
            <w:r w:rsidRPr="000169A2">
              <w:t>determining energy flows, voltage, current and phasor relationships</w:t>
            </w:r>
          </w:p>
          <w:p w:rsidR="00000000" w:rsidRPr="000169A2" w:rsidP="000169A2">
            <w:pPr>
              <w:pStyle w:val="ListBullet"/>
            </w:pPr>
            <w:r w:rsidRPr="000169A2">
              <w:t>Validation against independent information sources and test results to ensure that the installation is operating within prescribed limits (enterprise, manufacturers, regu</w:t>
            </w:r>
            <w:r w:rsidRPr="000169A2">
              <w:t>lated energy market requirements)</w:t>
            </w:r>
          </w:p>
          <w:p w:rsidR="00000000" w:rsidRPr="000169A2" w:rsidP="000169A2">
            <w:pPr>
              <w:pStyle w:val="ListBullet"/>
            </w:pPr>
            <w:r w:rsidRPr="000169A2">
              <w:t>Validation of the actual meter energy data against Meter Data Provider remote data streams</w:t>
            </w:r>
          </w:p>
          <w:p w:rsidR="00000000" w:rsidRPr="000169A2" w:rsidP="000169A2">
            <w:pPr>
              <w:pStyle w:val="ListBullet"/>
            </w:pPr>
            <w:r w:rsidRPr="000169A2">
              <w:t>Calculate and record the overall installation site error and ensure compliance with regulated energy market compliance.</w:t>
            </w:r>
          </w:p>
          <w:p w:rsidR="00000000" w:rsidRPr="000169A2" w:rsidP="000169A2">
            <w:pPr>
              <w:pStyle w:val="ListBullet"/>
            </w:pPr>
            <w:r w:rsidRPr="000169A2">
              <w:t>Endorse the</w:t>
            </w:r>
            <w:r w:rsidRPr="000169A2">
              <w:t xml:space="preserve"> site overall accuracy and installation compliance as the technical representative authorised by the metering provider.</w:t>
            </w:r>
          </w:p>
          <w:p w:rsidR="00000000" w:rsidRPr="000169A2" w:rsidP="000169A2">
            <w:pPr>
              <w:pStyle w:val="ListBullet"/>
            </w:pPr>
            <w:r w:rsidRPr="000169A2">
              <w:t>Ensure all records of the commissioning of energy/revenue metering schemes (complex), are complete and forwarded to the appropriate auth</w:t>
            </w:r>
            <w:r w:rsidRPr="000169A2">
              <w:t>ority in accordance with regulatory requirements.</w:t>
            </w:r>
          </w:p>
          <w:p w:rsidR="00000000" w:rsidRPr="000169A2" w:rsidP="000169A2">
            <w:pPr>
              <w:pStyle w:val="BodyText"/>
            </w:pPr>
            <w:r w:rsidRPr="000169A2">
              <w:t>It includes the requirements to prove the functionality of the metering scheme in accordance with electrical installation (state and national) standards, metrology procedures and compliance to tariff requir</w:t>
            </w:r>
            <w:r w:rsidRPr="000169A2">
              <w:t>ements.</w:t>
            </w:r>
          </w:p>
          <w:p w:rsidR="00000000" w:rsidRPr="000169A2" w:rsidP="000169A2">
            <w:pPr>
              <w:pStyle w:val="BodyText"/>
            </w:pPr>
            <w:r w:rsidRPr="000169A2">
              <w:t>The following constants and variables included in the element/Performance Criteria in this unit are fully described in the Definitions Section 1 of this volume and form an integral part of the Range Statement of this unit:</w:t>
            </w:r>
          </w:p>
          <w:p w:rsidR="00000000" w:rsidRPr="000169A2" w:rsidP="000169A2">
            <w:pPr>
              <w:pStyle w:val="ListBullet3"/>
            </w:pPr>
            <w:r w:rsidRPr="000169A2">
              <w:t>Appropriate and relevant</w:t>
            </w:r>
            <w:r w:rsidRPr="000169A2">
              <w:t xml:space="preserve"> persons (see Personnel)</w:t>
            </w:r>
          </w:p>
          <w:p w:rsidR="00000000" w:rsidRPr="000169A2" w:rsidP="000169A2">
            <w:pPr>
              <w:pStyle w:val="ListBullet3"/>
            </w:pPr>
            <w:r w:rsidRPr="000169A2">
              <w:t>Appropriate authorities</w:t>
            </w:r>
          </w:p>
          <w:p w:rsidR="00000000" w:rsidRPr="000169A2" w:rsidP="000169A2">
            <w:pPr>
              <w:pStyle w:val="ListBullet3"/>
            </w:pPr>
            <w:r w:rsidRPr="000169A2">
              <w:t>Appropriate work platform</w:t>
            </w:r>
          </w:p>
          <w:p w:rsidR="00000000" w:rsidRPr="000169A2" w:rsidP="000169A2">
            <w:pPr>
              <w:pStyle w:val="ListBullet3"/>
            </w:pPr>
            <w:r w:rsidRPr="000169A2">
              <w:t>Assessing risk</w:t>
            </w:r>
          </w:p>
          <w:p w:rsidR="00000000" w:rsidRPr="000169A2" w:rsidP="000169A2">
            <w:pPr>
              <w:pStyle w:val="ListBullet3"/>
            </w:pPr>
            <w:r w:rsidRPr="000169A2">
              <w:t>Assessment</w:t>
            </w:r>
          </w:p>
          <w:p w:rsidR="00000000" w:rsidRPr="000169A2" w:rsidP="000169A2">
            <w:pPr>
              <w:pStyle w:val="ListBullet3"/>
            </w:pPr>
            <w:r w:rsidRPr="000169A2">
              <w:t>Authorisation</w:t>
            </w:r>
          </w:p>
          <w:p w:rsidR="00000000" w:rsidRPr="000169A2" w:rsidP="000169A2">
            <w:pPr>
              <w:pStyle w:val="ListBullet3"/>
            </w:pPr>
            <w:r w:rsidRPr="000169A2">
              <w:t>Confined space</w:t>
            </w:r>
          </w:p>
          <w:p w:rsidR="00000000" w:rsidRPr="000169A2" w:rsidP="000169A2">
            <w:pPr>
              <w:pStyle w:val="ListBullet3"/>
            </w:pPr>
            <w:r w:rsidRPr="000169A2">
              <w:t>Diagnostic, testing and restoration</w:t>
            </w:r>
          </w:p>
          <w:p w:rsidR="00000000" w:rsidRPr="000169A2" w:rsidP="000169A2">
            <w:pPr>
              <w:pStyle w:val="ListBullet3"/>
            </w:pPr>
            <w:r w:rsidRPr="000169A2">
              <w:t>Documenting detail work events, record keeping and or storage of information</w:t>
            </w:r>
          </w:p>
          <w:p w:rsidR="00000000" w:rsidRPr="000169A2" w:rsidP="000169A2">
            <w:pPr>
              <w:pStyle w:val="ListBullet3"/>
            </w:pPr>
            <w:r w:rsidRPr="000169A2">
              <w:t>Drawings and specifications</w:t>
            </w:r>
          </w:p>
          <w:p w:rsidR="00000000" w:rsidRPr="000169A2" w:rsidP="000169A2">
            <w:pPr>
              <w:pStyle w:val="ListBullet3"/>
            </w:pPr>
            <w:r w:rsidRPr="000169A2">
              <w:t>Emergency</w:t>
            </w:r>
          </w:p>
          <w:p w:rsidR="00000000" w:rsidRPr="000169A2" w:rsidP="000169A2">
            <w:pPr>
              <w:pStyle w:val="ListBullet3"/>
            </w:pPr>
            <w:r w:rsidRPr="000169A2">
              <w:t>Environmental and sustainable energy procedures</w:t>
            </w:r>
          </w:p>
          <w:p w:rsidR="00000000" w:rsidRPr="000169A2" w:rsidP="000169A2">
            <w:pPr>
              <w:pStyle w:val="ListBullet3"/>
            </w:pPr>
            <w:r w:rsidRPr="000169A2">
              <w:t>Environmental legislation</w:t>
            </w:r>
          </w:p>
          <w:p w:rsidR="00000000" w:rsidRPr="000169A2" w:rsidP="000169A2">
            <w:pPr>
              <w:pStyle w:val="ListBullet3"/>
            </w:pPr>
            <w:r w:rsidRPr="000169A2">
              <w:t>Environmental management documentation</w:t>
            </w:r>
          </w:p>
          <w:p w:rsidR="00000000" w:rsidRPr="000169A2" w:rsidP="000169A2">
            <w:pPr>
              <w:pStyle w:val="ListBullet3"/>
            </w:pPr>
            <w:r w:rsidRPr="000169A2">
              <w:t>Established procedures</w:t>
            </w:r>
          </w:p>
          <w:p w:rsidR="00000000" w:rsidRPr="000169A2" w:rsidP="000169A2">
            <w:pPr>
              <w:pStyle w:val="ListBullet3"/>
            </w:pPr>
            <w:r w:rsidRPr="000169A2">
              <w:t>Fall prevention</w:t>
            </w:r>
          </w:p>
          <w:p w:rsidR="00000000" w:rsidRPr="000169A2" w:rsidP="000169A2">
            <w:pPr>
              <w:pStyle w:val="ListBullet3"/>
            </w:pPr>
            <w:r w:rsidRPr="000169A2">
              <w:t>Hazards</w:t>
            </w:r>
          </w:p>
          <w:p w:rsidR="00000000" w:rsidRPr="000169A2" w:rsidP="000169A2">
            <w:pPr>
              <w:pStyle w:val="ListBullet3"/>
            </w:pPr>
            <w:r w:rsidRPr="000169A2">
              <w:t>Identifying hazards</w:t>
            </w:r>
          </w:p>
          <w:p w:rsidR="00000000" w:rsidRPr="000169A2" w:rsidP="000169A2">
            <w:pPr>
              <w:pStyle w:val="ListBullet3"/>
            </w:pPr>
            <w:r w:rsidRPr="000169A2">
              <w:t>Inspect</w:t>
            </w:r>
          </w:p>
          <w:p w:rsidR="00000000" w:rsidRPr="000169A2" w:rsidP="000169A2">
            <w:pPr>
              <w:pStyle w:val="ListBullet3"/>
            </w:pPr>
            <w:r w:rsidRPr="000169A2">
              <w:t>Legislation</w:t>
            </w:r>
          </w:p>
          <w:p w:rsidR="00000000" w:rsidRPr="000169A2" w:rsidP="000169A2">
            <w:pPr>
              <w:pStyle w:val="ListBullet3"/>
            </w:pPr>
            <w:r w:rsidRPr="000169A2">
              <w:t>MSDS</w:t>
            </w:r>
          </w:p>
          <w:p w:rsidR="00000000" w:rsidRPr="000169A2" w:rsidP="000169A2">
            <w:pPr>
              <w:pStyle w:val="ListBullet3"/>
            </w:pPr>
            <w:r w:rsidRPr="000169A2">
              <w:t>Notification</w:t>
            </w:r>
          </w:p>
          <w:p w:rsidR="00000000" w:rsidRPr="000169A2" w:rsidP="000169A2">
            <w:pPr>
              <w:pStyle w:val="ListBullet3"/>
            </w:pPr>
            <w:r w:rsidRPr="000169A2">
              <w:t>OHS practices</w:t>
            </w:r>
          </w:p>
          <w:p w:rsidR="00000000" w:rsidRPr="000169A2" w:rsidP="000169A2">
            <w:pPr>
              <w:pStyle w:val="ListBullet3"/>
            </w:pPr>
            <w:r w:rsidRPr="000169A2">
              <w:t>OHS issues</w:t>
            </w:r>
          </w:p>
          <w:p w:rsidR="00000000" w:rsidRPr="000169A2" w:rsidP="000169A2">
            <w:pPr>
              <w:pStyle w:val="ListBullet3"/>
            </w:pPr>
            <w:r w:rsidRPr="000169A2">
              <w:t>Permits and/or permits to work</w:t>
            </w:r>
          </w:p>
          <w:p w:rsidR="00000000" w:rsidRPr="000169A2" w:rsidP="000169A2">
            <w:pPr>
              <w:pStyle w:val="ListBullet3"/>
            </w:pPr>
            <w:r w:rsidRPr="000169A2">
              <w:t>Personnel</w:t>
            </w:r>
          </w:p>
          <w:p w:rsidR="00000000" w:rsidRPr="000169A2" w:rsidP="000169A2">
            <w:pPr>
              <w:pStyle w:val="ListBullet3"/>
            </w:pPr>
            <w:r w:rsidRPr="000169A2">
              <w:t>Quality assurance systems</w:t>
            </w:r>
          </w:p>
          <w:p w:rsidR="00000000" w:rsidRPr="000169A2" w:rsidP="000169A2">
            <w:pPr>
              <w:pStyle w:val="ListBullet3"/>
            </w:pPr>
            <w:r w:rsidRPr="000169A2">
              <w:t>Requirements</w:t>
            </w:r>
          </w:p>
          <w:p w:rsidR="00000000" w:rsidRPr="000169A2" w:rsidP="000169A2">
            <w:pPr>
              <w:pStyle w:val="ListBullet3"/>
            </w:pPr>
            <w:r w:rsidRPr="000169A2">
              <w:t>Testing procedures</w:t>
            </w:r>
          </w:p>
          <w:p w:rsidR="00000000" w:rsidRPr="000169A2" w:rsidP="000169A2">
            <w:pPr>
              <w:pStyle w:val="ListBullet3"/>
            </w:pPr>
            <w:r w:rsidRPr="000169A2">
              <w:t>Work clearance systems</w:t>
            </w:r>
          </w:p>
        </w:tc>
      </w:tr>
    </w:tbl>
    <w:p w:rsidR="00000000" w:rsidRPr="000169A2" w:rsidP="000169A2">
      <w:pPr>
        <w:pStyle w:val="BodyText"/>
      </w:pPr>
    </w:p>
    <w:p w:rsidR="00000000" w:rsidRPr="000169A2" w:rsidP="000169A2">
      <w:pPr>
        <w:pStyle w:val="AllowPageBreak"/>
      </w:pPr>
    </w:p>
    <w:p w:rsidR="00000000" w:rsidRPr="000169A2" w:rsidP="000169A2">
      <w:pPr>
        <w:pStyle w:val="Heading1"/>
      </w:pPr>
      <w:bookmarkStart w:id="12" w:name="O_464903"/>
      <w:bookmarkEnd w:id="12"/>
      <w:r w:rsidRPr="000169A2">
        <w:t>Unit Sector(s)</w:t>
      </w:r>
    </w:p>
    <w:p w:rsidR="00000000" w:rsidRPr="000169A2" w:rsidP="000169A2">
      <w:pPr>
        <w:pStyle w:val="BodyText"/>
      </w:pPr>
      <w:r w:rsidRPr="000169A2">
        <w:t>Not applicable.</w:t>
      </w:r>
    </w:p>
    <w:p w:rsidR="00000000" w:rsidRPr="000169A2" w:rsidP="000169A2">
      <w:pPr>
        <w:pStyle w:val="AllowPageBreak"/>
      </w:pPr>
    </w:p>
    <w:p w:rsidR="00000000" w:rsidRPr="000169A2" w:rsidP="000169A2">
      <w:pPr>
        <w:pStyle w:val="Heading1"/>
      </w:pPr>
      <w:bookmarkStart w:id="13" w:name="O_464892"/>
      <w:bookmarkEnd w:id="13"/>
      <w:r w:rsidRPr="000169A2">
        <w:t>Competency Field</w:t>
      </w:r>
    </w:p>
    <w:tbl>
      <w:tblPr>
        <w:tblW w:w="0" w:type="auto"/>
        <w:tblLayout w:type="fixed"/>
        <w:tblCellMar>
          <w:left w:w="62" w:type="dxa"/>
          <w:right w:w="62" w:type="dxa"/>
        </w:tblCellMar>
        <w:tblLook w:val="0000"/>
      </w:tblPr>
      <w:tblGrid>
        <w:gridCol w:w="2700"/>
        <w:gridCol w:w="5760"/>
      </w:tblGrid>
      <w:tr w:rsidTr="009821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0169A2">
            <w:pPr>
              <w:pStyle w:val="BodyText"/>
              <w:rPr>
                <w:lang w:val="en-NZ"/>
              </w:rPr>
            </w:pPr>
            <w:r w:rsidRPr="000169A2">
              <w:rPr>
                <w:rStyle w:val="SpecialBold"/>
              </w:rPr>
              <w:t xml:space="preserve">11) </w:t>
            </w:r>
          </w:p>
        </w:tc>
      </w:tr>
      <w:tr w:rsidTr="009821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169A2" w:rsidP="000169A2">
            <w:pPr>
              <w:pStyle w:val="BodyText"/>
            </w:pPr>
            <w:r w:rsidRPr="000169A2">
              <w:t>Testing Units</w:t>
            </w:r>
          </w:p>
        </w:tc>
      </w:tr>
    </w:tbl>
    <w:p w:rsidR="00000000" w:rsidRPr="000169A2" w:rsidP="000169A2">
      <w:pPr>
        <w:pStyle w:val="BodyText"/>
      </w:pPr>
    </w:p>
    <w:p w:rsidR="00000000" w:rsidRPr="000169A2" w:rsidP="000169A2"/>
    <w:sectPr w:rsidSect="000169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A2" w:rsidRPr="00982158" w:rsidP="009821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158" w:rsidP="000169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982158" w:rsidP="000169A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982158" w:rsidP="000169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A2" w:rsidRPr="00982158" w:rsidP="009821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158" w:rsidRPr="002D2AF8" w:rsidP="000169A2">
    <w:pPr>
      <w:pStyle w:val="Header"/>
      <w:framePr w:wrap="around"/>
    </w:pPr>
    <w:r>
      <w:fldChar w:fldCharType="begin"/>
    </w:r>
    <w:r>
      <w:instrText xml:space="preserve"> TITLE   \* MERGEFORMAT </w:instrText>
    </w:r>
    <w:r>
      <w:fldChar w:fldCharType="separate"/>
    </w:r>
    <w:r>
      <w:t>UETTDRTS47A Commission energy/revenue metering schemes (complex)</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982158" w:rsidP="000169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2C0C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7C6F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A43C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9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69A2"/>
    <w:pPr>
      <w:spacing w:before="360" w:after="60"/>
      <w:outlineLvl w:val="0"/>
    </w:pPr>
    <w:rPr>
      <w:sz w:val="32"/>
    </w:rPr>
  </w:style>
  <w:style w:type="paragraph" w:styleId="Heading2">
    <w:name w:val="heading 2"/>
    <w:basedOn w:val="HeadingBase"/>
    <w:next w:val="BodyText"/>
    <w:link w:val="Heading2Char"/>
    <w:qFormat/>
    <w:rsid w:val="000169A2"/>
    <w:pPr>
      <w:keepLines/>
      <w:spacing w:before="240" w:after="120"/>
      <w:outlineLvl w:val="1"/>
    </w:pPr>
    <w:rPr>
      <w:sz w:val="28"/>
      <w:szCs w:val="40"/>
    </w:rPr>
  </w:style>
  <w:style w:type="paragraph" w:styleId="Heading3">
    <w:name w:val="heading 3"/>
    <w:basedOn w:val="HeadingBase"/>
    <w:next w:val="BodyText"/>
    <w:link w:val="Heading3Char"/>
    <w:qFormat/>
    <w:rsid w:val="000169A2"/>
    <w:pPr>
      <w:spacing w:before="180" w:after="120"/>
      <w:outlineLvl w:val="2"/>
    </w:pPr>
    <w:rPr>
      <w:spacing w:val="-10"/>
      <w:kern w:val="32"/>
    </w:rPr>
  </w:style>
  <w:style w:type="paragraph" w:styleId="Heading4">
    <w:name w:val="heading 4"/>
    <w:basedOn w:val="HeadingBase"/>
    <w:next w:val="BodyText"/>
    <w:link w:val="Heading4Char"/>
    <w:qFormat/>
    <w:rsid w:val="000169A2"/>
    <w:pPr>
      <w:spacing w:before="160" w:after="120"/>
      <w:outlineLvl w:val="3"/>
    </w:pPr>
    <w:rPr>
      <w:sz w:val="22"/>
    </w:rPr>
  </w:style>
  <w:style w:type="paragraph" w:styleId="Heading5">
    <w:name w:val="heading 5"/>
    <w:basedOn w:val="HeadingBase"/>
    <w:next w:val="Normal"/>
    <w:link w:val="Heading5Char"/>
    <w:qFormat/>
    <w:rsid w:val="000169A2"/>
    <w:pPr>
      <w:spacing w:before="80"/>
      <w:outlineLvl w:val="4"/>
    </w:pPr>
    <w:rPr>
      <w:color w:val="918585"/>
      <w:sz w:val="20"/>
    </w:rPr>
  </w:style>
  <w:style w:type="paragraph" w:styleId="Heading6">
    <w:name w:val="heading 6"/>
    <w:basedOn w:val="HeadingBase"/>
    <w:next w:val="Normal"/>
    <w:link w:val="Heading6Char"/>
    <w:qFormat/>
    <w:rsid w:val="000169A2"/>
    <w:pPr>
      <w:spacing w:before="60"/>
      <w:outlineLvl w:val="5"/>
    </w:pPr>
    <w:rPr>
      <w:color w:val="918585"/>
      <w:sz w:val="20"/>
    </w:rPr>
  </w:style>
  <w:style w:type="paragraph" w:styleId="Heading7">
    <w:name w:val="heading 7"/>
    <w:basedOn w:val="Normal"/>
    <w:next w:val="Normal"/>
    <w:link w:val="Heading7Char"/>
    <w:qFormat/>
    <w:rsid w:val="000169A2"/>
    <w:pPr>
      <w:ind w:left="720"/>
      <w:outlineLvl w:val="6"/>
    </w:pPr>
    <w:rPr>
      <w:i/>
    </w:rPr>
  </w:style>
  <w:style w:type="paragraph" w:styleId="Heading8">
    <w:name w:val="heading 8"/>
    <w:basedOn w:val="Normal"/>
    <w:next w:val="Normal"/>
    <w:link w:val="Heading8Char"/>
    <w:qFormat/>
    <w:rsid w:val="000169A2"/>
    <w:pPr>
      <w:ind w:left="720"/>
      <w:outlineLvl w:val="7"/>
    </w:pPr>
    <w:rPr>
      <w:i/>
    </w:rPr>
  </w:style>
  <w:style w:type="paragraph" w:styleId="Heading9">
    <w:name w:val="heading 9"/>
    <w:basedOn w:val="Normal"/>
    <w:next w:val="Normal"/>
    <w:link w:val="Heading9Char"/>
    <w:qFormat/>
    <w:rsid w:val="000169A2"/>
    <w:pPr>
      <w:ind w:left="720"/>
      <w:outlineLvl w:val="8"/>
    </w:pPr>
    <w:rPr>
      <w:i/>
    </w:rPr>
  </w:style>
  <w:style w:type="character" w:default="1" w:styleId="DefaultParagraphFont">
    <w:name w:val="Default Paragraph Font"/>
    <w:uiPriority w:val="1"/>
    <w:unhideWhenUsed/>
    <w:rsid w:val="000169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69A2"/>
  </w:style>
  <w:style w:type="character" w:customStyle="1" w:styleId="Heading1Char">
    <w:name w:val="Heading 1 Char"/>
    <w:basedOn w:val="DefaultParagraphFont"/>
    <w:link w:val="Heading1"/>
    <w:rsid w:val="000169A2"/>
    <w:rPr>
      <w:rFonts w:ascii="Times New Roman" w:eastAsia="Times New Roman" w:hAnsi="Times New Roman" w:cs="Times New Roman"/>
      <w:b/>
      <w:sz w:val="32"/>
      <w:szCs w:val="20"/>
      <w:lang w:eastAsia="en-US"/>
    </w:rPr>
  </w:style>
  <w:style w:type="paragraph" w:styleId="BodyText">
    <w:name w:val="Body Text"/>
    <w:basedOn w:val="Normal"/>
    <w:link w:val="BodyTextChar"/>
    <w:rsid w:val="000169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69A2"/>
    <w:rPr>
      <w:rFonts w:ascii="Times New Roman" w:eastAsia="Times New Roman" w:hAnsi="Times New Roman" w:cs="Times New Roman"/>
      <w:sz w:val="24"/>
      <w:lang w:eastAsia="en-US"/>
    </w:rPr>
  </w:style>
  <w:style w:type="paragraph" w:styleId="ListBullet">
    <w:name w:val="List Bullet"/>
    <w:basedOn w:val="List"/>
    <w:rsid w:val="000169A2"/>
    <w:pPr>
      <w:numPr>
        <w:numId w:val="14"/>
      </w:numPr>
      <w:tabs>
        <w:tab w:val="clear" w:pos="340"/>
      </w:tabs>
      <w:spacing w:before="40" w:after="40"/>
    </w:pPr>
  </w:style>
  <w:style w:type="character" w:customStyle="1" w:styleId="SpecialBold">
    <w:name w:val="Special Bold"/>
    <w:basedOn w:val="DefaultParagraphFont"/>
    <w:rsid w:val="000169A2"/>
    <w:rPr>
      <w:b/>
      <w:spacing w:val="0"/>
    </w:rPr>
  </w:style>
  <w:style w:type="paragraph" w:styleId="ListBullet2">
    <w:name w:val="List Bullet 2"/>
    <w:basedOn w:val="List2"/>
    <w:rsid w:val="000169A2"/>
    <w:pPr>
      <w:numPr>
        <w:numId w:val="15"/>
      </w:numPr>
      <w:tabs>
        <w:tab w:val="clear" w:pos="680"/>
      </w:tabs>
    </w:pPr>
  </w:style>
  <w:style w:type="paragraph" w:customStyle="1" w:styleId="SuperHeading">
    <w:name w:val="SuperHeading"/>
    <w:basedOn w:val="Normal"/>
    <w:rsid w:val="000169A2"/>
    <w:pPr>
      <w:spacing w:before="240" w:after="120"/>
      <w:outlineLvl w:val="0"/>
    </w:pPr>
    <w:rPr>
      <w:rFonts w:ascii="Times New Roman" w:hAnsi="Times New Roman"/>
      <w:b/>
      <w:sz w:val="32"/>
    </w:rPr>
  </w:style>
  <w:style w:type="paragraph" w:customStyle="1" w:styleId="AllowPageBreak">
    <w:name w:val="AllowPageBreak"/>
    <w:rsid w:val="000169A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169A2"/>
    <w:pPr>
      <w:numPr>
        <w:numId w:val="3"/>
      </w:numPr>
      <w:tabs>
        <w:tab w:val="clear" w:pos="1021"/>
      </w:tabs>
      <w:ind w:left="1037" w:hanging="357"/>
    </w:pPr>
  </w:style>
  <w:style w:type="character" w:customStyle="1" w:styleId="Heading2Char">
    <w:name w:val="Heading 2 Char"/>
    <w:basedOn w:val="DefaultParagraphFont"/>
    <w:link w:val="Heading2"/>
    <w:rsid w:val="000169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69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69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69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69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69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69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69A2"/>
    <w:rPr>
      <w:rFonts w:ascii="Courier New" w:eastAsia="Times New Roman" w:hAnsi="Courier New" w:cs="Times New Roman"/>
      <w:i/>
      <w:szCs w:val="20"/>
      <w:lang w:eastAsia="en-US"/>
    </w:rPr>
  </w:style>
  <w:style w:type="paragraph" w:customStyle="1" w:styleId="HeadingBase">
    <w:name w:val="Heading Base"/>
    <w:rsid w:val="000169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69A2"/>
    <w:pPr>
      <w:tabs>
        <w:tab w:val="right" w:leader="dot" w:pos="9072"/>
      </w:tabs>
      <w:ind w:left="567"/>
    </w:pPr>
    <w:rPr>
      <w:szCs w:val="22"/>
    </w:rPr>
  </w:style>
  <w:style w:type="paragraph" w:customStyle="1" w:styleId="TOCBase">
    <w:name w:val="TOC Base"/>
    <w:rsid w:val="000169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69A2"/>
    <w:pPr>
      <w:tabs>
        <w:tab w:val="right" w:leader="dot" w:pos="9072"/>
      </w:tabs>
      <w:spacing w:before="40" w:after="40"/>
      <w:ind w:left="284"/>
    </w:pPr>
    <w:rPr>
      <w:rFonts w:ascii="Times New Roman" w:hAnsi="Times New Roman"/>
    </w:rPr>
  </w:style>
  <w:style w:type="paragraph" w:styleId="TOC1">
    <w:name w:val="toc 1"/>
    <w:basedOn w:val="TOCBase"/>
    <w:next w:val="Normal"/>
    <w:rsid w:val="000169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69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69A2"/>
    <w:rPr>
      <w:rFonts w:ascii="Times New Roman" w:eastAsia="Times New Roman" w:hAnsi="Times New Roman" w:cs="Times New Roman"/>
      <w:sz w:val="16"/>
      <w:lang w:eastAsia="en-US"/>
    </w:rPr>
  </w:style>
  <w:style w:type="paragraph" w:styleId="Title">
    <w:name w:val="Title"/>
    <w:basedOn w:val="HeadingBase"/>
    <w:link w:val="TitleChar"/>
    <w:qFormat/>
    <w:rsid w:val="000169A2"/>
    <w:pPr>
      <w:spacing w:before="5040"/>
      <w:jc w:val="center"/>
    </w:pPr>
    <w:rPr>
      <w:sz w:val="48"/>
      <w:szCs w:val="72"/>
      <w:lang w:val="en-US"/>
    </w:rPr>
  </w:style>
  <w:style w:type="character" w:customStyle="1" w:styleId="TitleChar">
    <w:name w:val="Title Char"/>
    <w:basedOn w:val="DefaultParagraphFont"/>
    <w:link w:val="Title"/>
    <w:rsid w:val="000169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69A2"/>
    <w:pPr>
      <w:tabs>
        <w:tab w:val="left" w:pos="3600"/>
        <w:tab w:val="left" w:pos="3958"/>
      </w:tabs>
    </w:pPr>
  </w:style>
  <w:style w:type="paragraph" w:styleId="List">
    <w:name w:val="List"/>
    <w:basedOn w:val="BodyText"/>
    <w:next w:val="BodyText"/>
    <w:rsid w:val="000169A2"/>
    <w:pPr>
      <w:tabs>
        <w:tab w:val="left" w:pos="340"/>
      </w:tabs>
      <w:spacing w:before="60" w:after="60"/>
      <w:ind w:left="340" w:hanging="340"/>
    </w:pPr>
  </w:style>
  <w:style w:type="paragraph" w:customStyle="1" w:styleId="Note">
    <w:name w:val="Note"/>
    <w:basedOn w:val="BodyText"/>
    <w:rsid w:val="000169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69A2"/>
    <w:pPr>
      <w:framePr w:wrap="auto" w:hAnchor="text" w:y="6049"/>
    </w:pPr>
    <w:rPr>
      <w:color w:val="000000"/>
      <w:sz w:val="40"/>
    </w:rPr>
  </w:style>
  <w:style w:type="paragraph" w:customStyle="1" w:styleId="TOCTitle">
    <w:name w:val="TOCTitle"/>
    <w:basedOn w:val="Heading1"/>
    <w:rsid w:val="000169A2"/>
    <w:pPr>
      <w:spacing w:after="240"/>
      <w:jc w:val="center"/>
      <w:outlineLvl w:val="9"/>
    </w:pPr>
    <w:rPr>
      <w:caps/>
    </w:rPr>
  </w:style>
  <w:style w:type="paragraph" w:customStyle="1" w:styleId="Version">
    <w:name w:val="Version"/>
    <w:rsid w:val="000169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169A2"/>
    <w:pPr>
      <w:keepNext w:val="0"/>
      <w:tabs>
        <w:tab w:val="right" w:pos="4176"/>
      </w:tabs>
      <w:ind w:left="198" w:hanging="198"/>
    </w:pPr>
    <w:rPr>
      <w:rFonts w:ascii="Garamond" w:hAnsi="Garamond"/>
    </w:rPr>
  </w:style>
  <w:style w:type="paragraph" w:styleId="IndexHeading">
    <w:name w:val="index heading"/>
    <w:basedOn w:val="Normal"/>
    <w:next w:val="Index1"/>
    <w:semiHidden/>
    <w:rsid w:val="000169A2"/>
    <w:pPr>
      <w:spacing w:before="120" w:after="120"/>
    </w:pPr>
    <w:rPr>
      <w:rFonts w:ascii="Arial" w:hAnsi="Arial"/>
      <w:b/>
      <w:color w:val="918585"/>
      <w:sz w:val="24"/>
    </w:rPr>
  </w:style>
  <w:style w:type="paragraph" w:styleId="Header">
    <w:name w:val="header"/>
    <w:basedOn w:val="Normal"/>
    <w:link w:val="HeaderChar"/>
    <w:rsid w:val="000169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69A2"/>
    <w:rPr>
      <w:rFonts w:ascii="Times New Roman" w:eastAsia="Times New Roman" w:hAnsi="Times New Roman" w:cs="Times New Roman"/>
      <w:sz w:val="16"/>
      <w:szCs w:val="20"/>
      <w:lang w:val="en-GB" w:eastAsia="en-US"/>
    </w:rPr>
  </w:style>
  <w:style w:type="paragraph" w:customStyle="1" w:styleId="Chapter">
    <w:name w:val="Chapter"/>
    <w:basedOn w:val="Normal"/>
    <w:rsid w:val="000169A2"/>
    <w:pPr>
      <w:spacing w:before="240"/>
    </w:pPr>
    <w:rPr>
      <w:rFonts w:ascii="Times New Roman" w:hAnsi="Times New Roman"/>
      <w:smallCaps/>
      <w:spacing w:val="80"/>
      <w:sz w:val="28"/>
    </w:rPr>
  </w:style>
  <w:style w:type="paragraph" w:customStyle="1" w:styleId="InChapter">
    <w:name w:val="InChapter"/>
    <w:basedOn w:val="Heading3"/>
    <w:rsid w:val="000169A2"/>
    <w:pPr>
      <w:spacing w:after="240"/>
      <w:outlineLvl w:val="9"/>
    </w:pPr>
    <w:rPr>
      <w:noProof/>
    </w:rPr>
  </w:style>
  <w:style w:type="paragraph" w:styleId="Index2">
    <w:name w:val="index 2"/>
    <w:basedOn w:val="Normal"/>
    <w:next w:val="Normal"/>
    <w:semiHidden/>
    <w:rsid w:val="000169A2"/>
    <w:pPr>
      <w:tabs>
        <w:tab w:val="right" w:pos="4176"/>
      </w:tabs>
      <w:ind w:left="568" w:hanging="284"/>
    </w:pPr>
    <w:rPr>
      <w:rFonts w:ascii="Garamond" w:hAnsi="Garamond"/>
    </w:rPr>
  </w:style>
  <w:style w:type="paragraph" w:customStyle="1" w:styleId="Byline">
    <w:name w:val="Byline"/>
    <w:rsid w:val="000169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69A2"/>
    <w:pPr>
      <w:tabs>
        <w:tab w:val="clear" w:pos="3600"/>
        <w:tab w:val="clear" w:pos="3958"/>
      </w:tabs>
      <w:jc w:val="right"/>
    </w:pPr>
  </w:style>
  <w:style w:type="character" w:styleId="Emphasis">
    <w:name w:val="Emphasis"/>
    <w:basedOn w:val="DefaultParagraphFont"/>
    <w:qFormat/>
    <w:rsid w:val="000169A2"/>
    <w:rPr>
      <w:i/>
    </w:rPr>
  </w:style>
  <w:style w:type="paragraph" w:styleId="Caption">
    <w:name w:val="caption"/>
    <w:basedOn w:val="BodyText"/>
    <w:next w:val="Normal"/>
    <w:qFormat/>
    <w:rsid w:val="000169A2"/>
    <w:pPr>
      <w:framePr w:w="2268" w:hSpace="181" w:vSpace="181" w:wrap="around" w:vAnchor="text" w:hAnchor="page" w:x="1135" w:y="285" w:anchorLock="1"/>
    </w:pPr>
    <w:rPr>
      <w:i/>
    </w:rPr>
  </w:style>
  <w:style w:type="paragraph" w:customStyle="1" w:styleId="MiniTOCTitle">
    <w:name w:val="MiniTOCTitle"/>
    <w:basedOn w:val="Heading4"/>
    <w:rsid w:val="000169A2"/>
    <w:pPr>
      <w:spacing w:before="240"/>
      <w:outlineLvl w:val="9"/>
    </w:pPr>
    <w:rPr>
      <w:noProof/>
      <w:sz w:val="24"/>
    </w:rPr>
  </w:style>
  <w:style w:type="paragraph" w:customStyle="1" w:styleId="MiniTOCItem">
    <w:name w:val="MiniTOCItem"/>
    <w:basedOn w:val="ListBullet"/>
    <w:rsid w:val="000169A2"/>
    <w:pPr>
      <w:numPr>
        <w:numId w:val="0"/>
      </w:numPr>
      <w:tabs>
        <w:tab w:val="right" w:leader="dot" w:pos="6521"/>
      </w:tabs>
      <w:spacing w:before="0" w:after="0"/>
    </w:pPr>
  </w:style>
  <w:style w:type="paragraph" w:customStyle="1" w:styleId="TOFTitle">
    <w:name w:val="TOFTitle"/>
    <w:basedOn w:val="TOCTitle"/>
    <w:rsid w:val="000169A2"/>
  </w:style>
  <w:style w:type="paragraph" w:styleId="TableofFigures">
    <w:name w:val="table of figures"/>
    <w:basedOn w:val="Normal"/>
    <w:next w:val="Normal"/>
    <w:semiHidden/>
    <w:rsid w:val="000169A2"/>
    <w:pPr>
      <w:tabs>
        <w:tab w:val="right" w:leader="dot" w:pos="9072"/>
      </w:tabs>
      <w:ind w:left="970" w:hanging="403"/>
    </w:pPr>
    <w:rPr>
      <w:rFonts w:ascii="Times New Roman" w:hAnsi="Times New Roman"/>
      <w:b/>
    </w:rPr>
  </w:style>
  <w:style w:type="paragraph" w:styleId="ListNumber">
    <w:name w:val="List Number"/>
    <w:basedOn w:val="List"/>
    <w:rsid w:val="000169A2"/>
    <w:pPr>
      <w:numPr>
        <w:numId w:val="12"/>
      </w:numPr>
    </w:pPr>
  </w:style>
  <w:style w:type="character" w:customStyle="1" w:styleId="WingdingSymbols">
    <w:name w:val="Wingding Symbols"/>
    <w:rsid w:val="000169A2"/>
    <w:rPr>
      <w:rFonts w:ascii="Wingdings" w:hAnsi="Wingdings"/>
    </w:rPr>
  </w:style>
  <w:style w:type="paragraph" w:customStyle="1" w:styleId="TableHeading">
    <w:name w:val="Table Heading"/>
    <w:basedOn w:val="HeadingBase"/>
    <w:rsid w:val="000169A2"/>
    <w:pPr>
      <w:keepLines/>
      <w:pBdr>
        <w:bottom w:val="single" w:sz="6" w:space="1" w:color="918585"/>
      </w:pBdr>
      <w:spacing w:before="240"/>
    </w:pPr>
  </w:style>
  <w:style w:type="character" w:customStyle="1" w:styleId="HotSpot">
    <w:name w:val="HotSpot"/>
    <w:rsid w:val="000169A2"/>
    <w:rPr>
      <w:color w:val="0033CC"/>
      <w:u w:val="none"/>
    </w:rPr>
  </w:style>
  <w:style w:type="paragraph" w:customStyle="1" w:styleId="BodyTextRight">
    <w:name w:val="Body Text Right"/>
    <w:basedOn w:val="BodyText"/>
    <w:rsid w:val="000169A2"/>
    <w:pPr>
      <w:spacing w:before="0" w:after="0"/>
      <w:jc w:val="right"/>
    </w:pPr>
  </w:style>
  <w:style w:type="paragraph" w:styleId="Index3">
    <w:name w:val="index 3"/>
    <w:basedOn w:val="ListNumber2"/>
    <w:next w:val="Normal"/>
    <w:semiHidden/>
    <w:rsid w:val="000169A2"/>
    <w:pPr>
      <w:numPr>
        <w:numId w:val="0"/>
      </w:numPr>
      <w:tabs>
        <w:tab w:val="right" w:leader="dot" w:pos="4176"/>
      </w:tabs>
    </w:pPr>
  </w:style>
  <w:style w:type="paragraph" w:styleId="ListNumber2">
    <w:name w:val="List Number 2"/>
    <w:basedOn w:val="List2"/>
    <w:rsid w:val="000169A2"/>
    <w:pPr>
      <w:numPr>
        <w:numId w:val="11"/>
      </w:numPr>
      <w:tabs>
        <w:tab w:val="clear" w:pos="1060"/>
      </w:tabs>
    </w:pPr>
  </w:style>
  <w:style w:type="paragraph" w:customStyle="1" w:styleId="MarginNote">
    <w:name w:val="Margin Note"/>
    <w:basedOn w:val="BodyText"/>
    <w:rsid w:val="000169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69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69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69A2"/>
    <w:rPr>
      <w:sz w:val="32"/>
    </w:rPr>
  </w:style>
  <w:style w:type="paragraph" w:customStyle="1" w:styleId="HeadingProcedure">
    <w:name w:val="Heading Procedure"/>
    <w:basedOn w:val="HeadingBase"/>
    <w:next w:val="Normal"/>
    <w:rsid w:val="000169A2"/>
    <w:pPr>
      <w:tabs>
        <w:tab w:val="left" w:pos="0"/>
      </w:tabs>
      <w:spacing w:before="120" w:after="60"/>
    </w:pPr>
    <w:rPr>
      <w:i/>
      <w:color w:val="918585"/>
      <w:sz w:val="22"/>
    </w:rPr>
  </w:style>
  <w:style w:type="paragraph" w:customStyle="1" w:styleId="TableBodyText">
    <w:name w:val="Table Body Text"/>
    <w:basedOn w:val="BodyText"/>
    <w:rsid w:val="000169A2"/>
    <w:pPr>
      <w:spacing w:before="60" w:after="60"/>
    </w:pPr>
  </w:style>
  <w:style w:type="paragraph" w:styleId="ListContinue">
    <w:name w:val="List Continue"/>
    <w:basedOn w:val="List"/>
    <w:rsid w:val="000169A2"/>
    <w:pPr>
      <w:ind w:firstLine="0"/>
    </w:pPr>
  </w:style>
  <w:style w:type="paragraph" w:customStyle="1" w:styleId="ListNote">
    <w:name w:val="List Note"/>
    <w:basedOn w:val="List"/>
    <w:rsid w:val="000169A2"/>
    <w:pPr>
      <w:pBdr>
        <w:top w:val="single" w:sz="6" w:space="2" w:color="918585"/>
        <w:bottom w:val="single" w:sz="6" w:space="2" w:color="918585"/>
      </w:pBdr>
      <w:tabs>
        <w:tab w:val="left" w:pos="1021"/>
      </w:tabs>
      <w:ind w:firstLine="0"/>
    </w:pPr>
  </w:style>
  <w:style w:type="paragraph" w:customStyle="1" w:styleId="Warning">
    <w:name w:val="Warning"/>
    <w:basedOn w:val="BodyText"/>
    <w:rsid w:val="000169A2"/>
    <w:pPr>
      <w:shd w:val="clear" w:color="auto" w:fill="D9D9D9"/>
      <w:tabs>
        <w:tab w:val="left" w:pos="992"/>
      </w:tabs>
      <w:ind w:left="119" w:right="119"/>
    </w:pPr>
    <w:rPr>
      <w:sz w:val="20"/>
    </w:rPr>
  </w:style>
  <w:style w:type="paragraph" w:customStyle="1" w:styleId="MarginIcons">
    <w:name w:val="Margin Icons"/>
    <w:basedOn w:val="BodyText"/>
    <w:rsid w:val="000169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69A2"/>
    <w:rPr>
      <w:rFonts w:ascii="Courier New" w:hAnsi="Courier New"/>
    </w:rPr>
  </w:style>
  <w:style w:type="paragraph" w:customStyle="1" w:styleId="NoteBullet">
    <w:name w:val="Note Bullet"/>
    <w:basedOn w:val="Note"/>
    <w:rsid w:val="000169A2"/>
    <w:pPr>
      <w:tabs>
        <w:tab w:val="clear" w:pos="680"/>
      </w:tabs>
      <w:spacing w:before="60" w:after="60"/>
    </w:pPr>
  </w:style>
  <w:style w:type="paragraph" w:customStyle="1" w:styleId="SubHeading2">
    <w:name w:val="SubHeading2"/>
    <w:basedOn w:val="HeadingBase"/>
    <w:rsid w:val="000169A2"/>
    <w:pPr>
      <w:spacing w:before="240" w:after="60"/>
    </w:pPr>
    <w:rPr>
      <w:sz w:val="20"/>
    </w:rPr>
  </w:style>
  <w:style w:type="paragraph" w:customStyle="1" w:styleId="SubHeading1">
    <w:name w:val="SubHeading1"/>
    <w:basedOn w:val="HeadingBase"/>
    <w:rsid w:val="000169A2"/>
    <w:pPr>
      <w:spacing w:before="240" w:after="60"/>
    </w:pPr>
    <w:rPr>
      <w:color w:val="918585"/>
      <w:sz w:val="22"/>
    </w:rPr>
  </w:style>
  <w:style w:type="paragraph" w:customStyle="1" w:styleId="SideHeading">
    <w:name w:val="Side Heading"/>
    <w:basedOn w:val="HeadingBase"/>
    <w:rsid w:val="000169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69A2"/>
    <w:pPr>
      <w:numPr>
        <w:numId w:val="13"/>
      </w:numPr>
    </w:pPr>
  </w:style>
  <w:style w:type="paragraph" w:styleId="PlainText">
    <w:name w:val="Plain Text"/>
    <w:basedOn w:val="Normal"/>
    <w:link w:val="PlainTextChar"/>
    <w:rsid w:val="000169A2"/>
    <w:rPr>
      <w:sz w:val="20"/>
    </w:rPr>
  </w:style>
  <w:style w:type="character" w:customStyle="1" w:styleId="PlainTextChar">
    <w:name w:val="Plain Text Char"/>
    <w:basedOn w:val="DefaultParagraphFont"/>
    <w:link w:val="PlainText"/>
    <w:rsid w:val="000169A2"/>
    <w:rPr>
      <w:rFonts w:ascii="Courier New" w:eastAsia="Times New Roman" w:hAnsi="Courier New" w:cs="Times New Roman"/>
      <w:sz w:val="20"/>
      <w:szCs w:val="20"/>
      <w:lang w:eastAsia="en-US"/>
    </w:rPr>
  </w:style>
  <w:style w:type="character" w:customStyle="1" w:styleId="MenuOption">
    <w:name w:val="Menu Option"/>
    <w:basedOn w:val="DefaultParagraphFont"/>
    <w:rsid w:val="000169A2"/>
    <w:rPr>
      <w:b/>
      <w:smallCaps/>
    </w:rPr>
  </w:style>
  <w:style w:type="paragraph" w:customStyle="1" w:styleId="TableListNumber">
    <w:name w:val="Table List Number"/>
    <w:basedOn w:val="ListNumber"/>
    <w:rsid w:val="000169A2"/>
    <w:pPr>
      <w:numPr>
        <w:numId w:val="0"/>
      </w:numPr>
    </w:pPr>
  </w:style>
  <w:style w:type="paragraph" w:styleId="TOC4">
    <w:name w:val="toc 4"/>
    <w:basedOn w:val="TOCBase"/>
    <w:next w:val="Normal"/>
    <w:semiHidden/>
    <w:rsid w:val="000169A2"/>
    <w:pPr>
      <w:tabs>
        <w:tab w:val="right" w:leader="dot" w:pos="9071"/>
      </w:tabs>
      <w:ind w:left="1701"/>
    </w:pPr>
  </w:style>
  <w:style w:type="paragraph" w:customStyle="1" w:styleId="ListAlpha">
    <w:name w:val="List Alpha"/>
    <w:basedOn w:val="List"/>
    <w:rsid w:val="000169A2"/>
    <w:pPr>
      <w:numPr>
        <w:numId w:val="10"/>
      </w:numPr>
    </w:pPr>
  </w:style>
  <w:style w:type="paragraph" w:customStyle="1" w:styleId="ListAlpha2">
    <w:name w:val="List Alpha 2"/>
    <w:basedOn w:val="List2"/>
    <w:rsid w:val="000169A2"/>
    <w:pPr>
      <w:numPr>
        <w:numId w:val="9"/>
      </w:numPr>
    </w:pPr>
  </w:style>
  <w:style w:type="paragraph" w:styleId="List2">
    <w:name w:val="List 2"/>
    <w:basedOn w:val="BodyText"/>
    <w:rsid w:val="000169A2"/>
    <w:pPr>
      <w:tabs>
        <w:tab w:val="left" w:pos="680"/>
      </w:tabs>
      <w:spacing w:before="60" w:after="60"/>
      <w:ind w:left="680" w:hanging="340"/>
    </w:pPr>
  </w:style>
  <w:style w:type="paragraph" w:styleId="List3">
    <w:name w:val="List 3"/>
    <w:basedOn w:val="BodyText"/>
    <w:rsid w:val="000169A2"/>
    <w:pPr>
      <w:tabs>
        <w:tab w:val="left" w:pos="1021"/>
      </w:tabs>
      <w:spacing w:before="60" w:after="60"/>
      <w:ind w:left="1020" w:hanging="340"/>
    </w:pPr>
  </w:style>
  <w:style w:type="paragraph" w:styleId="List4">
    <w:name w:val="List 4"/>
    <w:basedOn w:val="BodyText"/>
    <w:rsid w:val="000169A2"/>
    <w:pPr>
      <w:tabs>
        <w:tab w:val="left" w:pos="1361"/>
      </w:tabs>
      <w:spacing w:before="60" w:after="60"/>
      <w:ind w:left="1361" w:hanging="340"/>
    </w:pPr>
  </w:style>
  <w:style w:type="paragraph" w:styleId="List5">
    <w:name w:val="List 5"/>
    <w:basedOn w:val="BodyText"/>
    <w:rsid w:val="000169A2"/>
    <w:pPr>
      <w:tabs>
        <w:tab w:val="left" w:pos="1701"/>
      </w:tabs>
      <w:spacing w:before="60" w:after="60"/>
      <w:ind w:left="1701" w:hanging="340"/>
    </w:pPr>
  </w:style>
  <w:style w:type="paragraph" w:styleId="ListBullet4">
    <w:name w:val="List Bullet 4"/>
    <w:basedOn w:val="List4"/>
    <w:rsid w:val="000169A2"/>
    <w:pPr>
      <w:numPr>
        <w:numId w:val="4"/>
      </w:numPr>
    </w:pPr>
  </w:style>
  <w:style w:type="paragraph" w:styleId="ListBullet5">
    <w:name w:val="List Bullet 5"/>
    <w:basedOn w:val="List5"/>
    <w:rsid w:val="000169A2"/>
    <w:pPr>
      <w:numPr>
        <w:numId w:val="5"/>
      </w:numPr>
    </w:pPr>
  </w:style>
  <w:style w:type="paragraph" w:styleId="ListContinue2">
    <w:name w:val="List Continue 2"/>
    <w:basedOn w:val="List2"/>
    <w:rsid w:val="000169A2"/>
    <w:pPr>
      <w:ind w:firstLine="0"/>
    </w:pPr>
  </w:style>
  <w:style w:type="paragraph" w:styleId="ListContinue3">
    <w:name w:val="List Continue 3"/>
    <w:basedOn w:val="List3"/>
    <w:rsid w:val="000169A2"/>
    <w:pPr>
      <w:ind w:left="1021" w:firstLine="0"/>
    </w:pPr>
  </w:style>
  <w:style w:type="paragraph" w:styleId="ListContinue4">
    <w:name w:val="List Continue 4"/>
    <w:basedOn w:val="List4"/>
    <w:rsid w:val="000169A2"/>
    <w:pPr>
      <w:ind w:firstLine="0"/>
    </w:pPr>
  </w:style>
  <w:style w:type="paragraph" w:styleId="ListContinue5">
    <w:name w:val="List Continue 5"/>
    <w:basedOn w:val="List5"/>
    <w:rsid w:val="000169A2"/>
    <w:pPr>
      <w:ind w:firstLine="0"/>
    </w:pPr>
  </w:style>
  <w:style w:type="paragraph" w:styleId="ListNumber3">
    <w:name w:val="List Number 3"/>
    <w:basedOn w:val="List3"/>
    <w:rsid w:val="000169A2"/>
    <w:pPr>
      <w:numPr>
        <w:numId w:val="6"/>
      </w:numPr>
    </w:pPr>
  </w:style>
  <w:style w:type="paragraph" w:styleId="ListNumber4">
    <w:name w:val="List Number 4"/>
    <w:basedOn w:val="List4"/>
    <w:rsid w:val="000169A2"/>
    <w:pPr>
      <w:numPr>
        <w:numId w:val="7"/>
      </w:numPr>
    </w:pPr>
  </w:style>
  <w:style w:type="paragraph" w:styleId="ListNumber5">
    <w:name w:val="List Number 5"/>
    <w:basedOn w:val="List5"/>
    <w:rsid w:val="000169A2"/>
    <w:pPr>
      <w:numPr>
        <w:numId w:val="8"/>
      </w:numPr>
    </w:pPr>
  </w:style>
  <w:style w:type="paragraph" w:styleId="BlockText">
    <w:name w:val="Block Text"/>
    <w:basedOn w:val="Normal"/>
    <w:rsid w:val="000169A2"/>
    <w:pPr>
      <w:spacing w:after="120"/>
      <w:ind w:left="1440" w:right="1440"/>
    </w:pPr>
  </w:style>
  <w:style w:type="character" w:customStyle="1" w:styleId="Subscript">
    <w:name w:val="Subscript"/>
    <w:basedOn w:val="DefaultParagraphFont"/>
    <w:rsid w:val="000169A2"/>
    <w:rPr>
      <w:sz w:val="16"/>
      <w:vertAlign w:val="subscript"/>
    </w:rPr>
  </w:style>
  <w:style w:type="character" w:customStyle="1" w:styleId="Superscript">
    <w:name w:val="Superscript"/>
    <w:basedOn w:val="DefaultParagraphFont"/>
    <w:rsid w:val="000169A2"/>
    <w:rPr>
      <w:sz w:val="16"/>
      <w:vertAlign w:val="superscript"/>
    </w:rPr>
  </w:style>
  <w:style w:type="character" w:customStyle="1" w:styleId="Symbols">
    <w:name w:val="Symbols"/>
    <w:basedOn w:val="DefaultParagraphFont"/>
    <w:rsid w:val="000169A2"/>
    <w:rPr>
      <w:rFonts w:ascii="Symbol" w:hAnsi="Symbol"/>
    </w:rPr>
  </w:style>
  <w:style w:type="character" w:customStyle="1" w:styleId="MenuOptions">
    <w:name w:val="Menu Options"/>
    <w:basedOn w:val="DefaultParagraphFont"/>
    <w:rsid w:val="000169A2"/>
    <w:rPr>
      <w:rFonts w:ascii="Arial Narrow" w:hAnsi="Arial Narrow"/>
      <w:smallCaps/>
    </w:rPr>
  </w:style>
  <w:style w:type="character" w:customStyle="1" w:styleId="Buttons">
    <w:name w:val="Buttons"/>
    <w:basedOn w:val="DefaultParagraphFont"/>
    <w:rsid w:val="000169A2"/>
    <w:rPr>
      <w:b/>
    </w:rPr>
  </w:style>
  <w:style w:type="character" w:customStyle="1" w:styleId="Underlined">
    <w:name w:val="Underlined"/>
    <w:basedOn w:val="DefaultParagraphFont"/>
    <w:rsid w:val="000169A2"/>
    <w:rPr>
      <w:u w:val="single"/>
    </w:rPr>
  </w:style>
  <w:style w:type="paragraph" w:customStyle="1" w:styleId="TableBodyTextRight">
    <w:name w:val="Table Body Text Right"/>
    <w:basedOn w:val="TableBodyText"/>
    <w:rsid w:val="000169A2"/>
    <w:pPr>
      <w:widowControl w:val="0"/>
      <w:autoSpaceDE w:val="0"/>
      <w:autoSpaceDN w:val="0"/>
      <w:adjustRightInd w:val="0"/>
      <w:jc w:val="right"/>
    </w:pPr>
    <w:rPr>
      <w:rFonts w:cs="Arial"/>
      <w:szCs w:val="18"/>
    </w:rPr>
  </w:style>
  <w:style w:type="paragraph" w:customStyle="1" w:styleId="CopyrightText">
    <w:name w:val="Copyright Text"/>
    <w:basedOn w:val="BodyText"/>
    <w:rsid w:val="000169A2"/>
    <w:rPr>
      <w:sz w:val="18"/>
    </w:rPr>
  </w:style>
  <w:style w:type="paragraph" w:customStyle="1" w:styleId="BodySmallRight">
    <w:name w:val="Body Small Right"/>
    <w:basedOn w:val="BodyTextRight"/>
    <w:rsid w:val="000169A2"/>
    <w:rPr>
      <w:sz w:val="18"/>
      <w:szCs w:val="18"/>
    </w:rPr>
  </w:style>
  <w:style w:type="paragraph" w:customStyle="1" w:styleId="MarginEdition">
    <w:name w:val="Margin Edition"/>
    <w:basedOn w:val="MarginNote"/>
    <w:rsid w:val="000169A2"/>
    <w:pPr>
      <w:spacing w:before="0" w:after="0"/>
    </w:pPr>
    <w:rPr>
      <w:rFonts w:ascii="Times New Roman" w:hAnsi="Times New Roman"/>
      <w:color w:val="999999"/>
    </w:rPr>
  </w:style>
  <w:style w:type="paragraph" w:customStyle="1" w:styleId="Spacer">
    <w:name w:val="Spacer"/>
    <w:basedOn w:val="Normal"/>
    <w:rsid w:val="000169A2"/>
    <w:rPr>
      <w:sz w:val="2"/>
      <w:szCs w:val="2"/>
    </w:rPr>
  </w:style>
  <w:style w:type="character" w:customStyle="1" w:styleId="Small">
    <w:name w:val="Small"/>
    <w:basedOn w:val="DefaultParagraphFont"/>
    <w:rsid w:val="000169A2"/>
    <w:rPr>
      <w:sz w:val="16"/>
    </w:rPr>
  </w:style>
  <w:style w:type="paragraph" w:customStyle="1" w:styleId="WideTable">
    <w:name w:val="Wide Table"/>
    <w:basedOn w:val="Normal"/>
    <w:rsid w:val="000169A2"/>
    <w:pPr>
      <w:ind w:left="-1418"/>
    </w:pPr>
    <w:rPr>
      <w:sz w:val="2"/>
      <w:szCs w:val="2"/>
    </w:rPr>
  </w:style>
  <w:style w:type="character" w:styleId="PageNumber">
    <w:name w:val="page number"/>
    <w:basedOn w:val="DefaultParagraphFont"/>
    <w:rsid w:val="000169A2"/>
  </w:style>
  <w:style w:type="paragraph" w:styleId="Quote">
    <w:name w:val="Quote"/>
    <w:basedOn w:val="Heading1"/>
    <w:link w:val="QuoteChar"/>
    <w:qFormat/>
    <w:rsid w:val="000169A2"/>
    <w:rPr>
      <w:b w:val="0"/>
      <w:sz w:val="72"/>
      <w:szCs w:val="72"/>
      <w:lang w:val="en-NZ"/>
    </w:rPr>
  </w:style>
  <w:style w:type="character" w:customStyle="1" w:styleId="QuoteChar">
    <w:name w:val="Quote Char"/>
    <w:basedOn w:val="DefaultParagraphFont"/>
    <w:link w:val="Quote"/>
    <w:rsid w:val="000169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69A2"/>
    <w:pPr>
      <w:pageBreakBefore/>
    </w:pPr>
  </w:style>
  <w:style w:type="paragraph" w:customStyle="1" w:styleId="Border">
    <w:name w:val="Border"/>
    <w:basedOn w:val="Normal"/>
    <w:qFormat/>
    <w:rsid w:val="000169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69A2"/>
    <w:rPr>
      <w:b/>
      <w:bCs/>
      <w:i/>
      <w:iCs/>
      <w:color w:val="auto"/>
    </w:rPr>
  </w:style>
  <w:style w:type="paragraph" w:styleId="IntenseQuote">
    <w:name w:val="Intense Quote"/>
    <w:basedOn w:val="Normal"/>
    <w:next w:val="Normal"/>
    <w:link w:val="IntenseQuoteChar"/>
    <w:uiPriority w:val="30"/>
    <w:qFormat/>
    <w:rsid w:val="000169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69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69A2"/>
    <w:rPr>
      <w:smallCaps/>
      <w:color w:val="auto"/>
      <w:u w:val="single"/>
    </w:rPr>
  </w:style>
  <w:style w:type="character" w:styleId="IntenseReference">
    <w:name w:val="Intense Reference"/>
    <w:basedOn w:val="DefaultParagraphFont"/>
    <w:uiPriority w:val="32"/>
    <w:qFormat/>
    <w:rsid w:val="000169A2"/>
    <w:rPr>
      <w:b/>
      <w:bCs/>
      <w:smallCaps/>
      <w:color w:val="auto"/>
      <w:spacing w:val="5"/>
      <w:u w:val="single"/>
    </w:rPr>
  </w:style>
  <w:style w:type="paragraph" w:customStyle="1" w:styleId="2ColumnHeading">
    <w:name w:val="2Column Heading"/>
    <w:basedOn w:val="BodyText"/>
    <w:qFormat/>
    <w:rsid w:val="000169A2"/>
    <w:pPr>
      <w:spacing w:after="60"/>
      <w:ind w:left="-2268"/>
    </w:pPr>
    <w:rPr>
      <w:b/>
    </w:rPr>
  </w:style>
  <w:style w:type="paragraph" w:customStyle="1" w:styleId="Heading1TOC">
    <w:name w:val="Heading1 TOC"/>
    <w:basedOn w:val="Normal"/>
    <w:qFormat/>
    <w:rsid w:val="000169A2"/>
    <w:pPr>
      <w:spacing w:before="240" w:after="120"/>
    </w:pPr>
    <w:rPr>
      <w:rFonts w:ascii="Times New Roman" w:hAnsi="Times New Roman"/>
      <w:b/>
      <w:sz w:val="32"/>
    </w:rPr>
  </w:style>
  <w:style w:type="paragraph" w:customStyle="1" w:styleId="Heading2TOC">
    <w:name w:val="Heading2 TOC"/>
    <w:basedOn w:val="Normal"/>
    <w:qFormat/>
    <w:rsid w:val="000169A2"/>
    <w:pPr>
      <w:spacing w:before="240" w:after="60"/>
    </w:pPr>
    <w:rPr>
      <w:rFonts w:ascii="Times New Roman" w:hAnsi="Times New Roman"/>
      <w:b/>
      <w:sz w:val="28"/>
    </w:rPr>
  </w:style>
  <w:style w:type="character" w:customStyle="1" w:styleId="Underline">
    <w:name w:val="Underline"/>
    <w:basedOn w:val="DefaultParagraphFont"/>
    <w:qFormat/>
    <w:rsid w:val="000169A2"/>
    <w:rPr>
      <w:u w:val="single"/>
    </w:rPr>
  </w:style>
  <w:style w:type="character" w:customStyle="1" w:styleId="BoldandItalics">
    <w:name w:val="Bold and Italics"/>
    <w:qFormat/>
    <w:rsid w:val="000169A2"/>
    <w:rPr>
      <w:b/>
      <w:i/>
      <w:u w:val="none"/>
    </w:rPr>
  </w:style>
  <w:style w:type="paragraph" w:styleId="BalloonText">
    <w:name w:val="Balloon Text"/>
    <w:basedOn w:val="Normal"/>
    <w:link w:val="BalloonTextChar"/>
    <w:rsid w:val="000169A2"/>
    <w:rPr>
      <w:rFonts w:ascii="Tahoma" w:hAnsi="Tahoma" w:cs="Tahoma"/>
      <w:sz w:val="16"/>
      <w:szCs w:val="16"/>
    </w:rPr>
  </w:style>
  <w:style w:type="character" w:customStyle="1" w:styleId="BalloonTextChar">
    <w:name w:val="Balloon Text Char"/>
    <w:basedOn w:val="DefaultParagraphFont"/>
    <w:link w:val="BalloonText"/>
    <w:rsid w:val="000169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69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69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69A2"/>
    <w:rPr>
      <w:b/>
      <w:color w:val="660033"/>
      <w:spacing w:val="0"/>
    </w:rPr>
  </w:style>
  <w:style w:type="paragraph" w:customStyle="1" w:styleId="Nameditemlist">
    <w:name w:val="Named item list"/>
    <w:basedOn w:val="BodyText"/>
    <w:qFormat/>
    <w:rsid w:val="000169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3228</Words>
  <Characters>20924</Characters>
  <Application>Microsoft Office Word</Application>
  <DocSecurity>0</DocSecurity>
  <Lines>873</Lines>
  <Paragraphs>333</Paragraphs>
  <ScaleCrop>false</ScaleCrop>
  <Company>Author-it Software Corporation Ltd.</Company>
  <LinksUpToDate>false</LinksUpToDate>
  <CharactersWithSpaces>23881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UETTDRTS47A Commission energy/revenue metering schemes (complex)</dc:title>
  <dc:subject>Approved</dc:subject>
  <dc:creator>E-OZ Training Standards</dc:creator>
  <cp:keywords>Release: 1</cp:keywords>
  <dc:description>Review Date: 12 April 2008</dc:description>
  <cp:lastModifiedBy>TPCMS</cp:lastModifiedBy>
  <cp:revision>3</cp:revision>
  <dcterms:created xsi:type="dcterms:W3CDTF">2013-10-25T06:08:00Z</dcterms:created>
  <dcterms:modified xsi:type="dcterms:W3CDTF">2013-10-25T06:08:00Z</dcterms:modified>
</cp:coreProperties>
</file>