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743" w:rsidP="00855743">
      <w:pPr>
        <w:pStyle w:val="Title"/>
      </w:pPr>
      <w:bookmarkStart w:id="0" w:name="_GoBack"/>
      <w:bookmarkEnd w:id="0"/>
      <w:r>
        <w:fldChar w:fldCharType="begin"/>
      </w:r>
      <w:r>
        <w:instrText xml:space="preserve"> TITLE   \* MERGEFORMAT </w:instrText>
      </w:r>
      <w:r>
        <w:fldChar w:fldCharType="separate"/>
      </w:r>
      <w:r>
        <w:t>UETTDRTS45A Manage compliance with national electricity market metrology practices and procedures</w:t>
      </w:r>
      <w:r>
        <w:fldChar w:fldCharType="end"/>
      </w:r>
    </w:p>
    <w:p w:rsidR="00855743" w:rsidP="00855743">
      <w:pPr>
        <w:pStyle w:val="Version"/>
        <w:sectPr w:rsidSect="00EB0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AA0" w:rsidP="00EB0AA0">
      <w:pPr>
        <w:pStyle w:val="SuperHeading"/>
      </w:pPr>
      <w:r w:rsidRPr="00EB0AA0">
        <w:t>UETTDRTS45A Manage compliance with national electricity market metrology practices and procedures</w:t>
      </w:r>
    </w:p>
    <w:p w:rsidR="00000000" w:rsidRPr="00EB0AA0" w:rsidP="00EB0AA0">
      <w:pPr>
        <w:pStyle w:val="Heading1"/>
      </w:pPr>
      <w:bookmarkStart w:id="1" w:name="O_464874"/>
      <w:bookmarkEnd w:id="1"/>
      <w:r w:rsidRPr="00EB0AA0">
        <w:t>Modification History</w:t>
      </w:r>
    </w:p>
    <w:p w:rsidR="00000000" w:rsidRPr="00EB0AA0" w:rsidP="00EB0AA0">
      <w:pPr>
        <w:pStyle w:val="BodyText"/>
      </w:pPr>
      <w:r w:rsidRPr="00EB0AA0">
        <w:t>Not applicable.</w:t>
      </w:r>
    </w:p>
    <w:p w:rsidR="00000000" w:rsidRPr="00EB0AA0" w:rsidP="00EB0AA0">
      <w:pPr>
        <w:pStyle w:val="AllowPageBreak"/>
      </w:pPr>
    </w:p>
    <w:p w:rsidR="00000000" w:rsidRPr="00EB0AA0" w:rsidP="00EB0AA0">
      <w:pPr>
        <w:pStyle w:val="Heading1"/>
      </w:pPr>
      <w:bookmarkStart w:id="2" w:name="O_464872"/>
      <w:bookmarkEnd w:id="2"/>
      <w:r w:rsidRPr="00EB0AA0">
        <w:t>Unit Descriptor</w:t>
      </w:r>
    </w:p>
    <w:tbl>
      <w:tblPr>
        <w:tblW w:w="0" w:type="auto"/>
        <w:tblLayout w:type="fixed"/>
        <w:tblCellMar>
          <w:left w:w="62" w:type="dxa"/>
          <w:right w:w="62" w:type="dxa"/>
        </w:tblCellMar>
        <w:tblLook w:val="0000"/>
      </w:tblPr>
      <w:tblGrid>
        <w:gridCol w:w="2700"/>
        <w:gridCol w:w="5760"/>
      </w:tblGrid>
      <w:tr w:rsidTr="008557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1)</w:t>
            </w:r>
            <w:r w:rsidRPr="00EB0AA0">
              <w:t xml:space="preserve"> </w:t>
            </w:r>
            <w:r w:rsidRPr="00EB0AA0">
              <w:rPr>
                <w:rStyle w:val="SpecialBold"/>
              </w:rPr>
              <w:t>Scope:</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A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1.1) Descriptor</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 xml:space="preserve">This Competency Standard Unit covers the management of compliance with national electricity market metrology practice and procedures.  It includes </w:t>
            </w:r>
            <w:r w:rsidRPr="00EB0AA0">
              <w:t>managing work functions to ensure the compliance of a Customer’s Revenue metering Installation. This includes demonstrating detailed knowledge of the role and responsibilities as the representative of the Metering Provider. It also includes the establishme</w:t>
            </w:r>
            <w:r w:rsidRPr="00EB0AA0">
              <w:t>nt/maintenance of relationships with other market participants and management of compliance with organisational policies, procedures and the National Electricity Market.</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3" w:name="O_464861"/>
      <w:bookmarkEnd w:id="3"/>
      <w:r w:rsidRPr="00EB0AA0">
        <w:t>Application of the Unit</w:t>
      </w:r>
    </w:p>
    <w:tbl>
      <w:tblPr>
        <w:tblW w:w="0" w:type="auto"/>
        <w:tblLayout w:type="fixed"/>
        <w:tblCellMar>
          <w:left w:w="62" w:type="dxa"/>
          <w:right w:w="62" w:type="dxa"/>
        </w:tblCellMar>
        <w:tblLook w:val="0000"/>
      </w:tblPr>
      <w:tblGrid>
        <w:gridCol w:w="2672"/>
        <w:gridCol w:w="5699"/>
      </w:tblGrid>
      <w:tr w:rsidTr="008557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2)</w:t>
            </w:r>
          </w:p>
        </w:tc>
      </w:tr>
      <w:tr w:rsidTr="008557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This competency standard is suitable for employment-based programs under an approved contract of training at the AQF level of the qualification in which the unit is first packaged or higher.</w:t>
            </w:r>
          </w:p>
          <w:p w:rsidR="00000000" w:rsidRPr="00EB0AA0" w:rsidP="00EB0AA0">
            <w:pPr>
              <w:pStyle w:val="BodyText"/>
            </w:pPr>
            <w:r w:rsidRPr="00EB0AA0">
              <w:t>The unit may be selected as an elective from the relevant schedul</w:t>
            </w:r>
            <w:r w:rsidRPr="00EB0AA0">
              <w:t>e (see qualification packaging rules) provided that all prerequisite units are undertaken or addressed through recognition processes.</w:t>
            </w:r>
          </w:p>
          <w:p w:rsidR="00000000" w:rsidRPr="00EB0AA0" w:rsidP="00EB0AA0">
            <w:pPr>
              <w:pStyle w:val="BodyText"/>
            </w:pPr>
            <w:r w:rsidRPr="00EB0AA0">
              <w:t>This unit may be included in a skill set provided that it is listed in the schedule of electives (see Qualification Framew</w:t>
            </w:r>
            <w:r w:rsidRPr="00EB0AA0">
              <w:t>ork) and all prerequisite units are undertaken or addressed through recognition processes.</w:t>
            </w:r>
          </w:p>
          <w:p w:rsidR="00000000" w:rsidRPr="00EB0AA0" w:rsidP="00EB0AA0">
            <w:pPr>
              <w:pStyle w:val="BodyText"/>
            </w:pPr>
            <w:r w:rsidRPr="00EB0AA0">
              <w:t xml:space="preserve">Delivery and assessment of this unit should be undertaken within regard to the requirements of License </w:t>
            </w:r>
            <w:r w:rsidRPr="00EB0AA0">
              <w:t>to Practice (1.2 above), Prerequisite Competencies and Literac</w:t>
            </w:r>
            <w:r w:rsidRPr="00EB0AA0">
              <w:t>y and Numeracy skills (2 above) and the  recommendations for concurrent assessment and relationship with other units (9.5 below).</w:t>
            </w:r>
          </w:p>
          <w:p w:rsidR="00000000" w:rsidRPr="00EB0AA0" w:rsidP="00EB0AA0">
            <w:pPr>
              <w:pStyle w:val="BodyText"/>
            </w:pPr>
            <w:r w:rsidRPr="00EB0AA0">
              <w:t>Practice in the workplace and during training is also subject to regulations directly related to occupational health and safet</w:t>
            </w:r>
            <w:r w:rsidRPr="00EB0AA0">
              <w:t>y and where applicable contracts of training such as apprenticeships.</w:t>
            </w:r>
          </w:p>
          <w:p w:rsidR="00000000" w:rsidRPr="00EB0AA0" w:rsidP="00EB0AA0">
            <w:pPr>
              <w:pStyle w:val="BodyText"/>
            </w:pPr>
            <w:r w:rsidRPr="00EB0AA0">
              <w:t>Note:</w:t>
            </w:r>
          </w:p>
          <w:p w:rsidR="00000000" w:rsidRPr="00EB0AA0" w:rsidP="00EB0AA0">
            <w:pPr>
              <w:pStyle w:val="BodyText"/>
            </w:pPr>
            <w:r w:rsidRPr="00EB0AA0">
              <w:t>1. Compliance with permits may be required in various jurisdictions and typically relates to the operation of plant, machinery and equipment such as elevating work platforms, powde</w:t>
            </w:r>
            <w:r w:rsidRPr="00EB0AA0">
              <w:t>r operated fixing tools, power operated tools, vehicles, road signage and traffic control and lifting equipment. Permits may also be required for some work environments such as confined spaces, working aloft, near live electrical apparatus and site rehabil</w:t>
            </w:r>
            <w:r w:rsidRPr="00EB0AA0">
              <w:t>itation.</w:t>
            </w:r>
          </w:p>
          <w:p w:rsidR="00000000" w:rsidRPr="00EB0AA0" w:rsidP="00EB0AA0">
            <w:pPr>
              <w:pStyle w:val="BodyText"/>
            </w:pPr>
            <w:r w:rsidRPr="00EB0AA0">
              <w:t>2. Compliance may be required in various jurisdictions relating to currency in First Aid, confined space, lifting, risk safety measures etc.</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4" w:name="O_464868"/>
      <w:bookmarkEnd w:id="4"/>
      <w:r w:rsidRPr="00EB0AA0">
        <w:t>Licensing/Regulatory Information</w:t>
      </w:r>
    </w:p>
    <w:tbl>
      <w:tblPr>
        <w:tblW w:w="0" w:type="auto"/>
        <w:tblLayout w:type="fixed"/>
        <w:tblCellMar>
          <w:left w:w="62" w:type="dxa"/>
          <w:right w:w="62" w:type="dxa"/>
        </w:tblCellMar>
        <w:tblLook w:val="0000"/>
      </w:tblPr>
      <w:tblGrid>
        <w:gridCol w:w="2700"/>
        <w:gridCol w:w="5760"/>
      </w:tblGrid>
      <w:tr w:rsidTr="008557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 xml:space="preserve">3) </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The skills and knowledge described in this unit requires a licence/registration to practice in the work place subject to regulations for undertaking of electrical work. Practice in workplace and during training is also subject to regulations directly relat</w:t>
            </w:r>
            <w:r w:rsidRPr="00EB0AA0">
              <w:t>ed to Occupational Health and Safety, electricity/telecommunications/gas/water industry safety and compliance, industrial relations, environmental protection, anti discrimination and training. Commonwealth, State/Territory or Local Government legislation a</w:t>
            </w:r>
            <w:r w:rsidRPr="00EB0AA0">
              <w:t>nd regulations may exist that limits the age of operating certain equipment.</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5" w:name="O_464869"/>
      <w:bookmarkEnd w:id="5"/>
      <w:r w:rsidRPr="00EB0AA0">
        <w:t>Pre-Requisites</w:t>
      </w:r>
    </w:p>
    <w:tbl>
      <w:tblPr>
        <w:tblW w:w="0" w:type="auto"/>
        <w:tblLayout w:type="fixed"/>
        <w:tblCellMar>
          <w:left w:w="62" w:type="dxa"/>
          <w:right w:w="62" w:type="dxa"/>
        </w:tblCellMar>
        <w:tblLook w:val="0000"/>
      </w:tblPr>
      <w:tblGrid>
        <w:gridCol w:w="2700"/>
        <w:gridCol w:w="1890"/>
        <w:gridCol w:w="3870"/>
      </w:tblGrid>
      <w:tr w:rsidTr="008557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 xml:space="preserve">4) </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4.1)</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Granting of competency in this unit shall be made only after competency in the following unit(s) has/have been confirmed.</w:t>
            </w:r>
          </w:p>
          <w:p w:rsidR="00000000" w:rsidRPr="00EB0AA0" w:rsidP="00EB0AA0">
            <w:pPr>
              <w:pStyle w:val="BodyText"/>
            </w:pPr>
            <w:r w:rsidRPr="00EB0AA0">
              <w:t xml:space="preserve">Where pre-requisite pathways have been identified. All competencies in the Common Unit Group must be have been completed plus all the </w:t>
            </w:r>
            <w:r w:rsidRPr="00EB0AA0">
              <w:t>competencies in one (1) of the identified Pathway Unit Group(s):</w:t>
            </w:r>
          </w:p>
          <w:p w:rsidR="00000000" w:rsidP="00EB0AA0">
            <w:pPr>
              <w:pStyle w:val="BodyText"/>
              <w:rPr>
                <w:lang w:val="en-NZ"/>
              </w:rPr>
            </w:pPr>
            <w:r w:rsidRPr="00EB0AA0">
              <w:t>Common Unit Group</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Unit Code</w:t>
            </w:r>
          </w:p>
        </w:tc>
        <w:tc>
          <w:tcPr>
            <w:tcW w:w="387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Unit Title</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Apply Occupational Health and Safety regulations, codes and practices in the workplace</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UEENEEE102A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Fabricate, assemble and dismantle utilities industry components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Solve problems in d.c. 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UEENEEE105A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Fix and secure electrotechnology equipment</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Use drawings, diagrams, schedules, standards, codes and specifications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UEENEEE137A</w:t>
            </w:r>
          </w:p>
        </w:tc>
        <w:tc>
          <w:tcPr>
            <w:tcW w:w="387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Document and apply measures to control OHS risks associated with electrotechnology work</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UEENEEG006A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Solve problems in single and three phase low voltage machines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UEENEEG033A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Solve problems in single and three phase low voltage electrical ap</w:t>
            </w:r>
            <w:r w:rsidRPr="00EB0AA0">
              <w:t>paratus and 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UEENEEG063A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Arrange circuits, control and protection for general electrical installations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UEENEEG076A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Install and replace low voltage current transformer metering</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UEENEEG101A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Solve problems in electromagnetic devices and related 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Solve problems in electromagnetic devices and related 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UEENEEG103A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Install low voltage wiring and accessories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UEENEEG104A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Install appliances, switchgear and associated</w:t>
            </w:r>
            <w:r w:rsidRPr="00EB0AA0">
              <w:t xml:space="preserve"> accessories for low voltage electrical installations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RPr="00EB0AA0" w:rsidP="00EB0AA0">
            <w:pPr>
              <w:pStyle w:val="BodyText"/>
            </w:pPr>
            <w:r w:rsidRPr="00EB0AA0">
              <w:t>UEENEEG105A</w:t>
            </w:r>
          </w:p>
        </w:tc>
        <w:tc>
          <w:tcPr>
            <w:tcW w:w="387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746"/>
            </w:tblGrid>
            <w:tr>
              <w:tblPrEx>
                <w:tblW w:w="0" w:type="auto"/>
                <w:tblLayout w:type="fixed"/>
                <w:tblCellMar>
                  <w:left w:w="62" w:type="dxa"/>
                  <w:right w:w="62" w:type="dxa"/>
                </w:tblCellMar>
                <w:tblLook w:val="0000"/>
              </w:tblPrEx>
              <w:tc>
                <w:tcPr>
                  <w:tcW w:w="3746" w:type="dxa"/>
                  <w:shd w:val="clear" w:color="auto" w:fill="FFFFFF"/>
                  <w:tcMar>
                    <w:top w:w="0" w:type="dxa"/>
                    <w:left w:w="62" w:type="dxa"/>
                    <w:bottom w:w="0" w:type="dxa"/>
                    <w:right w:w="62" w:type="dxa"/>
                  </w:tcMar>
                </w:tcPr>
                <w:p w:rsidR="00000000" w:rsidRPr="00EB0AA0" w:rsidP="00EB0AA0">
                  <w:pPr>
                    <w:pStyle w:val="BodyText"/>
                  </w:pPr>
                  <w:r w:rsidRPr="00EB0AA0">
                    <w:t>Verify compliance and functionality of low voltage general electrical installations</w:t>
                  </w:r>
                </w:p>
              </w:tc>
            </w:tr>
          </w:tbl>
          <w:p w:rsidR="00000000" w:rsidP="00EB0AA0">
            <w:pPr>
              <w:pStyle w:val="BodyText"/>
              <w:rPr>
                <w:lang w:val="en-NZ"/>
              </w:rPr>
            </w:pP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UEENEEG106A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Terminate cables, cords and accessories for low voltage 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UEENEEG107A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Select wiring systems and cables for low voltage general electrical installations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UEENEEG108A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 xml:space="preserve">Trouble-shoot and repair faults in low voltage electrical apparatus and </w:t>
            </w:r>
            <w:r w:rsidRPr="00EB0AA0">
              <w:t>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UEENEEG109A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Develop and connect electrical control circuits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UEENEEG171A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Ins</w:t>
            </w:r>
            <w:r w:rsidRPr="00EB0AA0">
              <w:t>tall, set up and commission interval metering</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UETTDREL11A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Apply sustainable energy and environmental procedures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UETTDREL15A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Respond to power systems technical enquiries and requests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UETTDREL16A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Working safely near live electrical apparatus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UETTDRTS37A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Perform current injection testing using phantom load</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UETTDRTS38A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Install and replace high voltage metering and associated equipment</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UETTDRTS39A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Maintain compliance with national electricity market metrology practices and procedures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w:t>
            </w:r>
            <w:r w:rsidRPr="00EB0AA0">
              <w:t>TS40A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Test and maintain energy/revenue metering schemes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UETTDRTS41A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Install and replace complex energy/revenue metering schemes and associated equipment</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UETTDRTS42A</w:t>
            </w:r>
          </w:p>
        </w:tc>
        <w:tc>
          <w:tcPr>
            <w:tcW w:w="387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Management of energy registration data errors for revenue billing purposes</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EB0AA0">
            <w:pPr>
              <w:pStyle w:val="BodyText"/>
              <w:rPr>
                <w:lang w:val="en-NZ"/>
              </w:rPr>
            </w:pPr>
            <w:r w:rsidRPr="00EB0AA0">
              <w:t>UETTDRTS43A</w:t>
            </w:r>
          </w:p>
        </w:tc>
        <w:tc>
          <w:tcPr>
            <w:tcW w:w="3870" w:type="dxa"/>
            <w:tcBorders>
              <w:top w:val="nil"/>
              <w:left w:val="nil"/>
              <w:bottom w:val="nil"/>
              <w:right w:val="nil"/>
            </w:tcBorders>
            <w:tcMar>
              <w:top w:w="0" w:type="dxa"/>
              <w:left w:w="62" w:type="dxa"/>
              <w:bottom w:w="0" w:type="dxa"/>
              <w:right w:w="62" w:type="dxa"/>
            </w:tcMar>
            <w:vAlign w:val="center"/>
          </w:tcPr>
          <w:p w:rsidR="00000000" w:rsidRPr="00EB0AA0" w:rsidP="00EB0AA0">
            <w:pPr>
              <w:pStyle w:val="BodyText"/>
            </w:pPr>
            <w:r w:rsidRPr="00EB0AA0">
              <w:t>Commission energy/revenue metering schemes</w:t>
            </w:r>
          </w:p>
        </w:tc>
      </w:tr>
    </w:tbl>
    <w:p w:rsidR="00000000" w:rsidRPr="00EB0AA0" w:rsidP="00EB0A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5574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 xml:space="preserve">4.2) </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 xml:space="preserve">Participants are best equipped to achieve this unit if they have reading, writing and numeracy skills indicated by the following scales. Description </w:t>
            </w:r>
            <w:r w:rsidRPr="00EB0AA0">
              <w:t>of each scale is given in Volume 2, Part 3 “Literacy and Numeracy”</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Reading</w:t>
            </w:r>
          </w:p>
        </w:tc>
        <w:tc>
          <w:tcPr>
            <w:tcW w:w="81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5</w:t>
            </w:r>
          </w:p>
        </w:tc>
        <w:tc>
          <w:tcPr>
            <w:tcW w:w="99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Writing</w:t>
            </w:r>
          </w:p>
        </w:tc>
        <w:tc>
          <w:tcPr>
            <w:tcW w:w="90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5</w:t>
            </w:r>
          </w:p>
        </w:tc>
        <w:tc>
          <w:tcPr>
            <w:tcW w:w="12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Numeracy</w:t>
            </w:r>
          </w:p>
        </w:tc>
        <w:tc>
          <w:tcPr>
            <w:tcW w:w="72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5</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6" w:name="O_464865"/>
      <w:bookmarkEnd w:id="6"/>
      <w:r w:rsidRPr="00EB0AA0">
        <w:t>Employability Skills Information</w:t>
      </w:r>
    </w:p>
    <w:tbl>
      <w:tblPr>
        <w:tblW w:w="0" w:type="auto"/>
        <w:tblLayout w:type="fixed"/>
        <w:tblCellMar>
          <w:left w:w="62" w:type="dxa"/>
          <w:right w:w="62" w:type="dxa"/>
        </w:tblCellMar>
        <w:tblLook w:val="0000"/>
      </w:tblPr>
      <w:tblGrid>
        <w:gridCol w:w="2700"/>
        <w:gridCol w:w="5760"/>
      </w:tblGrid>
      <w:tr w:rsidTr="008557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 xml:space="preserve">5) </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The</w:t>
            </w:r>
            <w:r w:rsidRPr="00EB0AA0">
              <w:t xml:space="preserve"> required outcomes described in this unit of competency contain applicable facets of Employability Skills. The Employability Skills Summary of the qualification in which this unit of competency is packaged will assist in identifying Employability Skill req</w:t>
            </w:r>
            <w:r w:rsidRPr="00EB0AA0">
              <w:t>uirements.</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7" w:name="O_464864"/>
      <w:bookmarkEnd w:id="7"/>
      <w:r w:rsidRPr="00EB0AA0">
        <w:t>Elements and Performance Criteria Pre-Content</w:t>
      </w:r>
    </w:p>
    <w:tbl>
      <w:tblPr>
        <w:tblW w:w="0" w:type="auto"/>
        <w:tblLayout w:type="fixed"/>
        <w:tblCellMar>
          <w:left w:w="62" w:type="dxa"/>
          <w:right w:w="62" w:type="dxa"/>
        </w:tblCellMar>
        <w:tblLook w:val="0000"/>
      </w:tblPr>
      <w:tblGrid>
        <w:gridCol w:w="2700"/>
        <w:gridCol w:w="5760"/>
      </w:tblGrid>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6)</w:t>
            </w:r>
            <w:r w:rsidRPr="00EB0A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Performance Criteria describe the required performance needed to demonstrate achievement of the element. Assessment of performance is to be consistent with the Evidence Guide.</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8" w:name="O_464863"/>
      <w:bookmarkEnd w:id="8"/>
      <w:r w:rsidRPr="00EB0AA0">
        <w:t>Elements and Performance Criteria</w:t>
      </w:r>
    </w:p>
    <w:tbl>
      <w:tblPr>
        <w:tblW w:w="0" w:type="auto"/>
        <w:tblLayout w:type="fixed"/>
        <w:tblCellMar>
          <w:left w:w="62" w:type="dxa"/>
          <w:right w:w="62" w:type="dxa"/>
        </w:tblCellMar>
        <w:tblLook w:val="0000"/>
      </w:tblPr>
      <w:tblGrid>
        <w:gridCol w:w="405"/>
        <w:gridCol w:w="2295"/>
        <w:gridCol w:w="812"/>
        <w:gridCol w:w="4948"/>
      </w:tblGrid>
      <w:tr w:rsidTr="0085574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PERFORMANCE CRITER</w:t>
            </w:r>
            <w:r w:rsidRPr="00EB0AA0">
              <w:rPr>
                <w:rStyle w:val="SpecialBold"/>
              </w:rPr>
              <w:t>IA</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w:t>
            </w:r>
          </w:p>
        </w:tc>
        <w:tc>
          <w:tcPr>
            <w:tcW w:w="2295"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Plan for the management of compliance with national electricity market metrology practices and procedures</w:t>
            </w: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1.1</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OHS practices/procedures and environmental and sustainable energy procedures, which may influence the management of compliance with national electricity market metrology practices and procedures are reviewed and determined.</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1.2</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Purpose of the management</w:t>
            </w:r>
            <w:r w:rsidRPr="00EB0AA0">
              <w:t xml:space="preserve"> of compliance with national electricity market metrology practices and procedures is established after data is analysed and expected outcomes of the work are confirmed with the appropriate personnel.</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1.3</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 xml:space="preserve">Organisational established procedures, policies </w:t>
            </w:r>
            <w:r w:rsidRPr="00EB0AA0">
              <w:t>and specifications for the management of compliance with national electricity market metrology practices and procedures are obtained or established with the appropriate personnel.</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1.4</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Management of compliance with national electricity market metrology practices and procedures are discussed with/directed to the appropriate personnel in order to ascertain the project brief.</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1.5</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 xml:space="preserve">Management of compliance with national electricity market </w:t>
            </w:r>
            <w:r w:rsidRPr="00EB0AA0">
              <w:t>metrology practices and procedures parameters are established from organisational established procedures, policies and specifications.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1.6</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Equipment/tools and personal protective equipment is selected based on specified Performance Criteria and establis</w:t>
            </w:r>
            <w:r w:rsidRPr="00EB0AA0">
              <w:t>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1.7</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Work roles and tasks are allocated according to requirements and individuals’ competencies.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1.8</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Work is prioritised and sequenced for the most efficient/effective outcome, completed within an acceptable timeframe to a quality standard and in accordance with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1.9</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Liaison and communication issues with other/authorised personne</w:t>
            </w:r>
            <w:r w:rsidRPr="00EB0AA0">
              <w:t>l, authorities, clients and customers are resolved and activities coordinated to carry out work.</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1.10</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Risk control measures are identified, prioritised and evaluated against the work schedule.</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1.11</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Relevant internal/external work permits are obtained</w:t>
            </w:r>
            <w:r w:rsidRPr="00EB0AA0">
              <w:t xml:space="preserve"> to coordinate the performance of work according to requirements and/or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w:t>
            </w:r>
          </w:p>
        </w:tc>
        <w:tc>
          <w:tcPr>
            <w:tcW w:w="2295" w:type="dxa"/>
            <w:vMerge w:val="restart"/>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Carry out the management of compliance with national electricity market metrology practices and procedures</w:t>
            </w: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2.1</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OHS and sustainable energy principles, functionality and practices to prevent the incidents of accidents and minimise waste are incorporated into the project in accordance with requirements and/or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2.2</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 xml:space="preserve">First Aid, Rescue and other </w:t>
            </w:r>
            <w:r w:rsidRPr="00EB0AA0">
              <w:t>related work procedures are performed according to requirements and/or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2.3</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Lifting, climbing, and use of powertools/equipment, techniques and practices are safely exercised according to requirements.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2.4</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Hazard warnings and safety signs are recognized and hazards and assessed OHS risks are reported to the immediate authorised persons for directions according to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2.5</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Remedial actions are taken to overcome any shortfalls encountered</w:t>
            </w:r>
            <w:r w:rsidRPr="00EB0AA0">
              <w:t xml:space="preserve"> in the work schedule according to requirements and/or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2.6</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Testing equipment is used in accordance with the work schedule and requirements and/or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2.7</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Routine management of compliance issue with national</w:t>
            </w:r>
            <w:r w:rsidRPr="00EB0AA0">
              <w:t xml:space="preserve"> electricity market metrology practices &amp; procedures is carried out in accordance with the work schedule</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2.8</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 xml:space="preserve">Technical advice is given regarding potential hazards, safety risks and control measures so that monitoring and preventative action can be </w:t>
            </w:r>
            <w:r w:rsidRPr="00EB0AA0">
              <w:t>undertaken and/or appropriate authorities consulted, where necessary, in accordance with requirements and established procedures.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2.9</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 xml:space="preserve">Essential knowledge and associated skills are applied in the management of compliance with national electricity market </w:t>
            </w:r>
            <w:r w:rsidRPr="00EB0AA0">
              <w:t>metrology practices and procedures to ensure completion in an agreed timeframe according to requirements.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2.10</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Solutions to non-routine problems are identified and actioned, using essential knowledge and associated skills, according to requirements.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2.11</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Quality of work is monitored against personal performance agreement and/or established organisational and professional standards.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3</w:t>
            </w:r>
          </w:p>
        </w:tc>
        <w:tc>
          <w:tcPr>
            <w:tcW w:w="2295"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Complete the management of compliance with national electricity market metrology practices and procedures</w:t>
            </w: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3.1</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Final co</w:t>
            </w:r>
            <w:r w:rsidRPr="00EB0AA0">
              <w:t>mpliance inspections with management of compliance with national electricity market metrology practices and procedures are undertaken to ensure they conform to all requirements and include all specifications and documents needed to complete the project.</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3.2</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Appropriate internal/external personnel are notified of completion and reports and/or completion documents are finalised/commissioned according to established procedures and timeframes.</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3.3</w:t>
            </w:r>
          </w:p>
        </w:tc>
        <w:tc>
          <w:tcPr>
            <w:tcW w:w="4948"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Reports and/or completion documents are submitted to relev</w:t>
            </w:r>
            <w:r w:rsidRPr="00EB0AA0">
              <w:t>ant personnel/organisations for approval and, where applicable, statutory or regulatory approval.</w:t>
            </w:r>
          </w:p>
        </w:tc>
      </w:tr>
      <w:tr w:rsidTr="00855743">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t>3.4</w:t>
            </w:r>
          </w:p>
        </w:tc>
        <w:tc>
          <w:tcPr>
            <w:tcW w:w="4948"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Approved copies of routine testing and acceptance testing procedures/activities/results, for the management of compliance with national electricity mar</w:t>
            </w:r>
            <w:r w:rsidRPr="00EB0AA0">
              <w:t>ket metrology practices and procedures, documents are issued and records are updated in accordance with established procedures.</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9" w:name="O_464871"/>
      <w:bookmarkEnd w:id="9"/>
      <w:r w:rsidRPr="00EB0AA0">
        <w:t>Required Skills and Knowledge</w:t>
      </w:r>
    </w:p>
    <w:tbl>
      <w:tblPr>
        <w:tblW w:w="0" w:type="auto"/>
        <w:tblLayout w:type="fixed"/>
        <w:tblCellMar>
          <w:left w:w="62" w:type="dxa"/>
          <w:right w:w="62" w:type="dxa"/>
        </w:tblCellMar>
        <w:tblLook w:val="0000"/>
      </w:tblPr>
      <w:tblGrid>
        <w:gridCol w:w="8460"/>
      </w:tblGrid>
      <w:tr w:rsidTr="008557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REQUIRED SKILLS AND KNOWLEDGE</w:t>
            </w:r>
          </w:p>
        </w:tc>
      </w:tr>
      <w:tr w:rsidTr="0085574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8)</w:t>
            </w:r>
            <w:r w:rsidRPr="00EB0AA0">
              <w:t xml:space="preserve"> Essential Knowledge and Associated Skills (EKAS): This describes the essential skills and knowledge and their level, required for this unit.</w:t>
            </w:r>
          </w:p>
          <w:p w:rsidR="00000000" w:rsidRPr="00EB0AA0" w:rsidP="00EB0AA0">
            <w:pPr>
              <w:pStyle w:val="BodyText"/>
            </w:pPr>
            <w:r w:rsidRPr="00EB0AA0">
              <w:t xml:space="preserve">Evidence shall show that knowledge has been acquired of management of compliance with national electricity market </w:t>
            </w:r>
            <w:r w:rsidRPr="00EB0AA0">
              <w:t>metrology practices and procedures.</w:t>
            </w:r>
          </w:p>
          <w:p w:rsidR="00000000" w:rsidRPr="00EB0AA0" w:rsidP="00EB0AA0">
            <w:pPr>
              <w:pStyle w:val="BodyText"/>
            </w:pPr>
            <w:r w:rsidRPr="00EB0AA0">
              <w:t>All knowledge and skills detailed in this unit should be contextualised to current industry practices and technologies.</w:t>
            </w:r>
          </w:p>
          <w:p w:rsidR="00000000" w:rsidRPr="00EB0AA0" w:rsidP="00EB0AA0">
            <w:pPr>
              <w:pStyle w:val="BodyText"/>
            </w:pPr>
            <w:r w:rsidRPr="00EB0AA0">
              <w:t xml:space="preserve">KS01-TTS45A </w:t>
            </w:r>
            <w:r w:rsidRPr="00EB0AA0">
              <w:tab/>
              <w:t>Management of Revenue Metering operations within a Regulated Energy Market</w:t>
            </w:r>
          </w:p>
          <w:p w:rsidR="00000000" w:rsidRPr="00EB0AA0" w:rsidP="00EB0AA0">
            <w:pPr>
              <w:pStyle w:val="BodyText"/>
            </w:pPr>
            <w:r w:rsidRPr="00EB0AA0">
              <w:t>Evidence sha</w:t>
            </w:r>
            <w:r w:rsidRPr="00EB0AA0">
              <w:t xml:space="preserve">ll show an understanding of the rules, regulations, policies and procedures applicable to meter service management and provision in a regulated energy market to an extent indicated by the following aspects: </w:t>
            </w:r>
          </w:p>
          <w:p w:rsidR="00000000" w:rsidRPr="00EB0AA0" w:rsidP="00EB0AA0">
            <w:pPr>
              <w:pStyle w:val="BodyText"/>
            </w:pPr>
            <w:r w:rsidRPr="00EB0AA0">
              <w:t>T1</w:t>
            </w:r>
            <w:r w:rsidRPr="00EB0AA0">
              <w:tab/>
              <w:t>Standards, Codes, Rules and Regulations appli</w:t>
            </w:r>
            <w:r w:rsidRPr="00EB0AA0">
              <w:t>cable to operation within a Regulated Energy Market</w:t>
            </w:r>
          </w:p>
          <w:p w:rsidR="00000000" w:rsidRPr="00EB0AA0" w:rsidP="00EB0AA0">
            <w:pPr>
              <w:pStyle w:val="BodyText"/>
            </w:pPr>
            <w:r w:rsidRPr="00EB0AA0">
              <w:t>T2</w:t>
            </w:r>
            <w:r w:rsidRPr="00EB0AA0">
              <w:tab/>
              <w:t>Detailed knowledge of the roles and responsibilities of a Market participant (Meter Data Provider, Meter Provider or Responsible Person) operating within a Regulated Energy Market</w:t>
            </w:r>
          </w:p>
          <w:p w:rsidR="00000000" w:rsidRPr="00EB0AA0" w:rsidP="00EB0AA0">
            <w:pPr>
              <w:pStyle w:val="BodyText"/>
            </w:pPr>
            <w:r w:rsidRPr="00EB0AA0">
              <w:t>T3</w:t>
            </w:r>
            <w:r w:rsidRPr="00EB0AA0">
              <w:tab/>
              <w:t>Detailed knowledge</w:t>
            </w:r>
            <w:r w:rsidRPr="00EB0AA0">
              <w:t xml:space="preserve"> and understanding of the composition of a Meter Asset Management Plan (MAMP)</w:t>
            </w:r>
          </w:p>
          <w:p w:rsidR="00000000" w:rsidRPr="00EB0AA0" w:rsidP="00EB0AA0">
            <w:pPr>
              <w:pStyle w:val="BodyText"/>
            </w:pPr>
            <w:r w:rsidRPr="00EB0AA0">
              <w:t>T4</w:t>
            </w:r>
            <w:r w:rsidRPr="00EB0AA0">
              <w:tab/>
              <w:t>Knowledge and understanding of and ability to apply the provisions of the organisations meter asset management plan</w:t>
            </w:r>
          </w:p>
          <w:p w:rsidR="00000000" w:rsidRPr="00EB0AA0" w:rsidP="00EB0AA0">
            <w:pPr>
              <w:pStyle w:val="BodyText"/>
            </w:pPr>
            <w:r w:rsidRPr="00EB0AA0">
              <w:t>T5</w:t>
            </w:r>
            <w:r w:rsidRPr="00EB0AA0">
              <w:tab/>
              <w:t>Co-ordinating job activities for multiple discipline wor</w:t>
            </w:r>
            <w:r w:rsidRPr="00EB0AA0">
              <w:t>k groups</w:t>
            </w:r>
          </w:p>
          <w:p w:rsidR="00000000" w:rsidRPr="00EB0AA0" w:rsidP="00EB0AA0">
            <w:pPr>
              <w:pStyle w:val="BodyText"/>
            </w:pPr>
            <w:r w:rsidRPr="00EB0AA0">
              <w:t>T6</w:t>
            </w:r>
            <w:r w:rsidRPr="00EB0AA0">
              <w:tab/>
              <w:t>Auditing for compliance within the Regulated Energy Market</w:t>
            </w:r>
          </w:p>
          <w:p w:rsidR="00000000" w:rsidRPr="00EB0AA0" w:rsidP="00EB0AA0">
            <w:pPr>
              <w:pStyle w:val="BodyText"/>
            </w:pPr>
            <w:r w:rsidRPr="00EB0AA0">
              <w:t>T7</w:t>
            </w:r>
            <w:r w:rsidRPr="00EB0AA0">
              <w:tab/>
              <w:t>ISO accreditation applicable to operation within a Regulated Energy Market</w:t>
            </w:r>
          </w:p>
          <w:p w:rsidR="00000000" w:rsidRPr="00EB0AA0" w:rsidP="00EB0AA0">
            <w:pPr>
              <w:pStyle w:val="BodyText"/>
            </w:pPr>
            <w:r w:rsidRPr="00EB0AA0">
              <w:t>T8</w:t>
            </w:r>
            <w:r w:rsidRPr="00EB0AA0">
              <w:tab/>
              <w:t>Compliance with the organisations Service Level Requirements within the Regulated Energy Market</w:t>
            </w:r>
          </w:p>
          <w:p w:rsidR="00000000" w:rsidRPr="00EB0AA0" w:rsidP="00EB0AA0">
            <w:pPr>
              <w:pStyle w:val="BodyText"/>
            </w:pPr>
            <w:r w:rsidRPr="00EB0AA0">
              <w:t>T9</w:t>
            </w:r>
            <w:r w:rsidRPr="00EB0AA0">
              <w:tab/>
              <w:t>Manag</w:t>
            </w:r>
            <w:r w:rsidRPr="00EB0AA0">
              <w:t>ement of customer, client and regulator negotiations and correspondence within a Regulated Energy Market</w:t>
            </w:r>
          </w:p>
          <w:p w:rsidR="00000000" w:rsidRPr="00EB0AA0" w:rsidP="00EB0AA0">
            <w:pPr>
              <w:pStyle w:val="BodyText"/>
            </w:pPr>
            <w:r w:rsidRPr="00EB0AA0">
              <w:t>T10</w:t>
            </w:r>
            <w:r w:rsidRPr="00EB0AA0">
              <w:tab/>
              <w:t>Maintain meter data within a Regulated Energy Market</w:t>
            </w:r>
          </w:p>
          <w:p w:rsidR="00000000" w:rsidRPr="00EB0AA0" w:rsidP="00EB0AA0">
            <w:pPr>
              <w:pStyle w:val="BodyText"/>
            </w:pPr>
            <w:r w:rsidRPr="00EB0AA0">
              <w:t>T11</w:t>
            </w:r>
            <w:r w:rsidRPr="00EB0AA0">
              <w:tab/>
              <w:t>Manage registration of customer metering installations within the Regulated Energy Market</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10" w:name="O_464866"/>
      <w:bookmarkEnd w:id="10"/>
      <w:r w:rsidRPr="00EB0AA0">
        <w:t>Evidence Guide</w:t>
      </w:r>
    </w:p>
    <w:tbl>
      <w:tblPr>
        <w:tblW w:w="0" w:type="auto"/>
        <w:tblLayout w:type="fixed"/>
        <w:tblCellMar>
          <w:left w:w="62" w:type="dxa"/>
          <w:right w:w="62" w:type="dxa"/>
        </w:tblCellMar>
        <w:tblLook w:val="0000"/>
      </w:tblPr>
      <w:tblGrid>
        <w:gridCol w:w="8460"/>
      </w:tblGrid>
      <w:tr w:rsidTr="008557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EVIDENCE GUIDE</w:t>
            </w:r>
          </w:p>
        </w:tc>
      </w:tr>
      <w:tr w:rsidTr="008557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9)</w:t>
            </w:r>
            <w:r w:rsidRPr="00EB0AA0">
              <w:t xml:space="preserve"> This provides essential advice for assessment of the unit of competency and must be read in conjunction </w:t>
            </w:r>
            <w:r w:rsidRPr="00EB0AA0">
              <w:t>with the Performance Criteria and the Range Statement of the unit of competency and the Training Package Assessment Guidelines.</w:t>
            </w:r>
          </w:p>
          <w:p w:rsidR="00000000" w:rsidRPr="00EB0AA0" w:rsidP="00EB0AA0">
            <w:pPr>
              <w:pStyle w:val="BodyText"/>
            </w:pPr>
            <w:r w:rsidRPr="00EB0AA0">
              <w:t>The Evidence Guide forms an integral part of this Competency Standard Unit and shall be used in conjunction with all component p</w:t>
            </w:r>
            <w:r w:rsidRPr="00EB0AA0">
              <w:t>arts of this unit and, performed in accordance with the Assessment Guidelines of this Training Package.</w:t>
            </w:r>
          </w:p>
        </w:tc>
      </w:tr>
    </w:tbl>
    <w:p w:rsidR="00000000" w:rsidRPr="00EB0AA0" w:rsidP="00EB0AA0">
      <w:pPr>
        <w:pStyle w:val="BodyText"/>
      </w:pPr>
    </w:p>
    <w:tbl>
      <w:tblPr>
        <w:tblW w:w="0" w:type="auto"/>
        <w:tblLayout w:type="fixed"/>
        <w:tblCellMar>
          <w:left w:w="62" w:type="dxa"/>
          <w:right w:w="62" w:type="dxa"/>
        </w:tblCellMar>
        <w:tblLook w:val="0000"/>
      </w:tblPr>
      <w:tblGrid>
        <w:gridCol w:w="1890"/>
        <w:gridCol w:w="6570"/>
      </w:tblGrid>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9.1)</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Longitudinal competency development approaches to assessment, such as Profiling, require data to be reliably gathered in a form that can be consistently interpreted over time. This approach is best utilised in Apprenticeship programs and reduces assessment</w:t>
            </w:r>
            <w:r w:rsidRPr="00EB0AA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B0AA0">
              <w:t>tency in a realistically simulated work environment. It is recognised that, in some circumstances, assessment in part or full can occur outside the workplace. However, it must be in accord with Industry and, Regulatory policy in this regard.</w:t>
            </w:r>
          </w:p>
          <w:p w:rsidR="00000000" w:rsidRPr="00EB0AA0" w:rsidP="00EB0AA0">
            <w:pPr>
              <w:pStyle w:val="BodyText"/>
            </w:pPr>
            <w:r w:rsidRPr="00EB0AA0">
              <w:t>Methods chosen</w:t>
            </w:r>
            <w:r w:rsidRPr="00EB0AA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B0AA0">
              <w:t>equired and the critical nature of the competencies being assessed.</w:t>
            </w:r>
          </w:p>
          <w:p w:rsidR="00000000" w:rsidRPr="00EB0AA0" w:rsidP="00EB0AA0">
            <w:pPr>
              <w:pStyle w:val="BodyText"/>
            </w:pPr>
            <w:r w:rsidRPr="00EB0AA0">
              <w:t>The critical safety nature of working with electricity, electrical equipment, gas or any other hazardous substance/material carries risk in deeming a person competent. Hence, sources of ev</w:t>
            </w:r>
            <w:r w:rsidRPr="00EB0AA0">
              <w:t>idence need to be ‘rich’ in nature so as to minimise error in judgment.</w:t>
            </w:r>
          </w:p>
          <w:p w:rsidR="00000000" w:rsidRPr="00EB0AA0" w:rsidP="00EB0AA0">
            <w:pPr>
              <w:pStyle w:val="BodyText"/>
            </w:pPr>
            <w:r w:rsidRPr="00EB0AA0">
              <w:t>Activities associated with normal every day work have a bearing on the decision as to how much and how detailed the data gathered will contribute to its ‘richness’. Some skills are mor</w:t>
            </w:r>
            <w:r w:rsidRPr="00EB0AA0">
              <w:t>e critical to safety and operational requirements while the same skills may be more or less frequently practiced. These points are raised for the assessors to consider when choosing an assessment method and developing assessment instruments. Sample assessm</w:t>
            </w:r>
            <w:r w:rsidRPr="00EB0AA0">
              <w:t>ent instruments are included for Assessors in the Assessment Guidelines of this Training Package.</w:t>
            </w:r>
          </w:p>
        </w:tc>
      </w:tr>
    </w:tbl>
    <w:p w:rsidR="00000000" w:rsidRPr="00EB0AA0" w:rsidP="00EB0AA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9.2)</w:t>
            </w:r>
          </w:p>
        </w:tc>
      </w:tr>
      <w:tr w:rsidTr="00855743">
        <w:tblPrEx>
          <w:tblW w:w="0" w:type="auto"/>
          <w:tblLayout w:type="fixed"/>
          <w:tblCellMar>
            <w:left w:w="62" w:type="dxa"/>
            <w:right w:w="62" w:type="dxa"/>
          </w:tblCellMar>
          <w:tblLook w:val="0000"/>
        </w:tblPrEx>
        <w:trPr>
          <w:trHeight w:val="69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Before the critical aspects of evidence are considered all prerequisi</w:t>
            </w:r>
            <w:r w:rsidRPr="00EB0AA0">
              <w:t>tes shall be met.</w:t>
            </w:r>
          </w:p>
          <w:p w:rsidR="00000000" w:rsidRPr="00EB0AA0" w:rsidP="00EB0AA0">
            <w:pPr>
              <w:pStyle w:val="BodyText"/>
            </w:pPr>
            <w:r w:rsidRPr="00EB0AA0">
              <w:t xml:space="preserve">Evidence for competence in this unit shall be considered holistically. Each element and associated Performance Criteria shall be demonstrated on at least two occasions in accordance with the “Assessment Guidelines – UET12”. Evidence </w:t>
            </w:r>
            <w:r w:rsidRPr="00EB0AA0">
              <w:t>shall also comprise:</w:t>
            </w:r>
          </w:p>
          <w:p w:rsidR="00000000" w:rsidRPr="00EB0AA0" w:rsidP="00EB0AA0">
            <w:pPr>
              <w:pStyle w:val="ListBullet"/>
            </w:pPr>
            <w:r w:rsidRPr="00EB0AA0">
              <w:t>A representative body of Performance Criteria demonstrated within the timeframes typically expected of the discipline, work function and industrial environment. In particular this shall incorporate evidence that shows a candidate is ab</w:t>
            </w:r>
            <w:r w:rsidRPr="00EB0AA0">
              <w:t>le to:</w:t>
            </w:r>
          </w:p>
          <w:p w:rsidR="00000000" w:rsidRPr="00EB0AA0" w:rsidP="00EB0AA0">
            <w:pPr>
              <w:pStyle w:val="ListBullet2"/>
            </w:pPr>
            <w:r w:rsidRPr="00EB0AA0">
              <w:t>Implement Occupational Health and Safety workplace procedures and practices including the use of risk control measures as specified in the Performance Criteria and range; and</w:t>
            </w:r>
          </w:p>
          <w:p w:rsidR="00000000" w:rsidRPr="00EB0AA0" w:rsidP="00EB0AA0">
            <w:pPr>
              <w:pStyle w:val="ListBullet2"/>
            </w:pPr>
            <w:r w:rsidRPr="00EB0AA0">
              <w:t>Apply sustainable energy principles and practices as specified in the Per</w:t>
            </w:r>
            <w:r w:rsidRPr="00EB0AA0">
              <w:t>formance Criteria and range; and</w:t>
            </w:r>
          </w:p>
          <w:p w:rsidR="00000000" w:rsidRPr="00EB0AA0" w:rsidP="00EB0AA0">
            <w:pPr>
              <w:pStyle w:val="ListBullet2"/>
            </w:pPr>
            <w:r w:rsidRPr="00EB0AA0">
              <w:t xml:space="preserve">Demonstrate an understanding of the essential knowledge and associated skills as described in this unit to such an extent that the learner’s performance outcome is reported in accordance with the preferred approach; namely </w:t>
            </w:r>
            <w:r w:rsidRPr="00EB0AA0">
              <w:t>a percentile graded result, where required by the regulated environment; and</w:t>
            </w:r>
          </w:p>
          <w:p w:rsidR="00000000" w:rsidRPr="00EB0AA0" w:rsidP="00EB0AA0">
            <w:pPr>
              <w:pStyle w:val="ListBullet2"/>
            </w:pPr>
            <w:r w:rsidRPr="00EB0AA0">
              <w:t>Demonstrate an appropriate level of employability skills; and</w:t>
            </w:r>
          </w:p>
          <w:p w:rsidR="00000000" w:rsidRPr="00EB0AA0" w:rsidP="00EB0AA0">
            <w:pPr>
              <w:pStyle w:val="ListBullet"/>
            </w:pPr>
            <w:r w:rsidRPr="00EB0AA0">
              <w:t xml:space="preserve">Conduct work observing the relevant Anti discrimination legislation, regulations, policies and workplace procedures; </w:t>
            </w:r>
            <w:r w:rsidRPr="00EB0AA0">
              <w:t>and</w:t>
            </w:r>
          </w:p>
          <w:p w:rsidR="00000000" w:rsidP="00EB0AA0">
            <w:pPr>
              <w:pStyle w:val="ListBullet2"/>
              <w:rPr>
                <w:lang w:val="en-NZ"/>
              </w:rPr>
            </w:pPr>
            <w:r w:rsidRPr="00EB0AA0">
              <w:t>Demonstrated performance across a representative range of contexts from the prescribed items below:</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B0AA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rPr>
                <w:rStyle w:val="SpecialBold"/>
              </w:rPr>
              <w:t>Range of tools/equipment/materials/procedures/workplaces/other variables</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B0AA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AA0" w:rsidP="00EB0AA0">
            <w:pPr>
              <w:pStyle w:val="BodyText"/>
            </w:pPr>
            <w:r w:rsidRPr="00EB0AA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AA0" w:rsidP="00EB0AA0">
            <w:pPr>
              <w:pStyle w:val="BodyText"/>
            </w:pPr>
            <w:r w:rsidRPr="00EB0AA0">
              <w:rPr>
                <w:rStyle w:val="SpecialBold"/>
              </w:rPr>
              <w:t>The minimum n</w:t>
            </w:r>
            <w:r w:rsidRPr="00EB0AA0">
              <w:rPr>
                <w:rStyle w:val="SpecialBold"/>
              </w:rPr>
              <w:t xml:space="preserve">umber of items on which skill is to be </w:t>
            </w:r>
            <w:r w:rsidRPr="00EB0AA0">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rPr>
                <w:rStyle w:val="SpecialBold"/>
              </w:rPr>
              <w:t>Item List</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Perform, on at least one (1) occasions, any one (1) of the following activities: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AA0" w:rsidP="00EB0AA0">
            <w:pPr>
              <w:pStyle w:val="BodyText"/>
            </w:pPr>
            <w:r w:rsidRPr="00EB0AA0">
              <w:t>Ensuring compliance to the meter assets management plan</w:t>
            </w:r>
          </w:p>
          <w:p w:rsidR="00000000" w:rsidP="00EB0AA0">
            <w:pPr>
              <w:pStyle w:val="BodyText"/>
              <w:rPr>
                <w:lang w:val="en-NZ"/>
              </w:rPr>
            </w:pPr>
            <w:r w:rsidRPr="00EB0AA0">
              <w:t>Conducting appropriate fi</w:t>
            </w:r>
            <w:r w:rsidRPr="00EB0AA0">
              <w:t>eld audits on behalf r or with representative of the Regulated Energy Market.</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Perform, on at least one (1)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Coordination of job activities for multiple discipline work groups</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Perform, on at least one (1) occasion</w:t>
            </w:r>
            <w:r w:rsidRPr="00EB0AA0">
              <w:t>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Managing work functions to ensure the compliance of a Customer’s Revenue metering Installation</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Perform, on at least two (2) occasion,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Establish/maintain relationships with other market participants</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Perform, on at least three (3) occasion,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Management of compliance with organisational policies, procedures and the National Electricity Market requirements</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AA0">
            <w:pPr>
              <w:pStyle w:val="BodyText"/>
              <w:rPr>
                <w:lang w:val="en-NZ"/>
              </w:rPr>
            </w:pPr>
            <w:r w:rsidRPr="00EB0AA0">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AA0" w:rsidP="00EB0AA0">
            <w:pPr>
              <w:pStyle w:val="BodyText"/>
            </w:pPr>
            <w:r w:rsidRPr="00EB0AA0">
              <w:t>Dealing wi</w:t>
            </w:r>
            <w:r w:rsidRPr="00EB0AA0">
              <w:t>th an unplanned event by drawing on essential knowledge and associated skills to provide appropriate solutions incorporated in the holistic assessment with the above listed items.</w:t>
            </w:r>
          </w:p>
        </w:tc>
      </w:tr>
    </w:tbl>
    <w:p w:rsidR="00000000" w:rsidRPr="00EB0AA0" w:rsidP="00EB0AA0">
      <w:pPr>
        <w:pStyle w:val="BodyText"/>
      </w:pPr>
    </w:p>
    <w:tbl>
      <w:tblPr>
        <w:tblW w:w="0" w:type="auto"/>
        <w:tblLayout w:type="fixed"/>
        <w:tblCellMar>
          <w:left w:w="62" w:type="dxa"/>
          <w:right w:w="62" w:type="dxa"/>
        </w:tblCellMar>
        <w:tblLook w:val="0000"/>
      </w:tblPr>
      <w:tblGrid>
        <w:gridCol w:w="1890"/>
        <w:gridCol w:w="6570"/>
      </w:tblGrid>
      <w:tr w:rsidTr="0085574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9.3)</w:t>
            </w:r>
          </w:p>
        </w:tc>
      </w:tr>
      <w:tr w:rsidTr="0085574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This unit should be assessed as it relates to normal work practice using procedures, information and resources typical of a workplace. This should include:</w:t>
            </w:r>
          </w:p>
          <w:p w:rsidR="00000000" w:rsidRPr="00EB0AA0" w:rsidP="00EB0AA0">
            <w:pPr>
              <w:pStyle w:val="ListBullet"/>
            </w:pPr>
            <w:r w:rsidRPr="00EB0AA0">
              <w:t>OHS policy and work procedures and instructions.</w:t>
            </w:r>
          </w:p>
          <w:p w:rsidR="00000000" w:rsidRPr="00EB0AA0" w:rsidP="00EB0AA0">
            <w:pPr>
              <w:pStyle w:val="ListBullet"/>
            </w:pPr>
            <w:r w:rsidRPr="00EB0AA0">
              <w:t>Suitable work environment, facilities, equipment an</w:t>
            </w:r>
            <w:r w:rsidRPr="00EB0AA0">
              <w:t>d materials to undertake actual management of compliance with national electricity market metrology practices and procedures.</w:t>
            </w:r>
          </w:p>
          <w:p w:rsidR="00000000" w:rsidRPr="00EB0AA0" w:rsidP="00EB0AA0">
            <w:pPr>
              <w:pStyle w:val="ListBullet"/>
            </w:pPr>
            <w:r w:rsidRPr="00EB0AA0">
              <w:t>Operational access to relevant plant, drawings, manufacture’s specifications/manuals and specialised testing equipment.</w:t>
            </w:r>
          </w:p>
          <w:p w:rsidR="00000000" w:rsidRPr="00EB0AA0" w:rsidP="00EB0AA0">
            <w:pPr>
              <w:pStyle w:val="BodyText"/>
            </w:pPr>
            <w:r w:rsidRPr="00EB0AA0">
              <w:t>In additio</w:t>
            </w:r>
            <w:r w:rsidRPr="00EB0AA0">
              <w:t>n to the resources listed above, in Context of and specific resources for assessment, evidence should show demonstrated competency working in realistic environment and a variety of conditions.</w:t>
            </w:r>
          </w:p>
        </w:tc>
      </w:tr>
    </w:tbl>
    <w:p w:rsidR="00000000" w:rsidRPr="00EB0AA0" w:rsidP="00EB0AA0">
      <w:pPr>
        <w:pStyle w:val="BodyText"/>
      </w:pPr>
    </w:p>
    <w:tbl>
      <w:tblPr>
        <w:tblW w:w="0" w:type="auto"/>
        <w:tblLayout w:type="fixed"/>
        <w:tblCellMar>
          <w:left w:w="62" w:type="dxa"/>
          <w:right w:w="62" w:type="dxa"/>
        </w:tblCellMar>
        <w:tblLook w:val="0000"/>
      </w:tblPr>
      <w:tblGrid>
        <w:gridCol w:w="1890"/>
        <w:gridCol w:w="6570"/>
      </w:tblGrid>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9.4)</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This Competency Standard Unit shall be assessed by methods given in Volume 1, Part 3 “Assessment Guidelines”.</w:t>
            </w:r>
          </w:p>
          <w:p w:rsidR="00000000" w:rsidRPr="00EB0AA0" w:rsidP="00EB0AA0">
            <w:pPr>
              <w:pStyle w:val="BodyText"/>
            </w:pPr>
            <w:r w:rsidRPr="00EB0AA0">
              <w:t>Note:</w:t>
            </w:r>
          </w:p>
          <w:p w:rsidR="00000000" w:rsidRPr="00EB0AA0" w:rsidP="00EB0AA0">
            <w:pPr>
              <w:pStyle w:val="BodyText"/>
            </w:pPr>
            <w:r w:rsidRPr="00EB0AA0">
              <w:t>Competent performance with inherent safe working practices is expected in the Transmission, Distribution and Rail Traction Industry. This re</w:t>
            </w:r>
            <w:r w:rsidRPr="00EB0AA0">
              <w:t>quires that the specified essential knowledge and associated skills are assessed in a structured environment which is primarily intended for learning/assessment and incorporates all necessary equipment and facilities for learners to develop and demonstrate</w:t>
            </w:r>
            <w:r w:rsidRPr="00EB0AA0">
              <w:t xml:space="preserve"> the essential knowledge and associated skills described in this unit.</w:t>
            </w:r>
          </w:p>
        </w:tc>
      </w:tr>
    </w:tbl>
    <w:p w:rsidR="00000000" w:rsidRPr="00EB0AA0" w:rsidP="00EB0AA0">
      <w:pPr>
        <w:pStyle w:val="BodyText"/>
      </w:pPr>
    </w:p>
    <w:tbl>
      <w:tblPr>
        <w:tblW w:w="0" w:type="auto"/>
        <w:tblLayout w:type="fixed"/>
        <w:tblCellMar>
          <w:left w:w="62" w:type="dxa"/>
          <w:right w:w="62" w:type="dxa"/>
        </w:tblCellMar>
        <w:tblLook w:val="0000"/>
      </w:tblPr>
      <w:tblGrid>
        <w:gridCol w:w="1890"/>
        <w:gridCol w:w="6570"/>
      </w:tblGrid>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9.5)</w:t>
            </w:r>
          </w:p>
        </w:tc>
      </w:tr>
      <w:tr w:rsidTr="008557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For optimisation of training and assessment effort, competence in this unit may be assessed concurrently with the follow</w:t>
            </w:r>
            <w:r w:rsidRPr="00EB0AA0">
              <w:t xml:space="preserve">ing units: </w:t>
            </w:r>
          </w:p>
          <w:p w:rsidR="00000000" w:rsidRPr="00EB0AA0" w:rsidP="00EB0AA0">
            <w:pPr>
              <w:pStyle w:val="BodyText"/>
            </w:pPr>
            <w:r w:rsidRPr="00EB0AA0">
              <w:t>UETTDRTS44A</w:t>
            </w:r>
            <w:r w:rsidRPr="00EB0AA0">
              <w:tab/>
              <w:t>Test and maintain energy/revenue metering schemes (complex)</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11" w:name="O_464870"/>
      <w:bookmarkEnd w:id="11"/>
      <w:r w:rsidRPr="00EB0AA0">
        <w:t>Range Statement</w:t>
      </w:r>
    </w:p>
    <w:tbl>
      <w:tblPr>
        <w:tblW w:w="0" w:type="auto"/>
        <w:tblLayout w:type="fixed"/>
        <w:tblCellMar>
          <w:left w:w="62" w:type="dxa"/>
          <w:right w:w="62" w:type="dxa"/>
        </w:tblCellMar>
        <w:tblLook w:val="0000"/>
      </w:tblPr>
      <w:tblGrid>
        <w:gridCol w:w="8460"/>
      </w:tblGrid>
      <w:tr w:rsidTr="00855743">
        <w:tblPrEx>
          <w:tblW w:w="0" w:type="auto"/>
          <w:tblLayout w:type="fixed"/>
          <w:tblCellMar>
            <w:left w:w="62" w:type="dxa"/>
            <w:right w:w="62" w:type="dxa"/>
          </w:tblCellMar>
          <w:tblLook w:val="0000"/>
        </w:tblPrEx>
        <w:trPr>
          <w:trHeight w:val="541"/>
          <w:tblHeader/>
        </w:trPr>
        <w:tc>
          <w:tcPr>
            <w:tcW w:w="84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RANGE STATEMENT</w:t>
            </w:r>
          </w:p>
        </w:tc>
      </w:tr>
      <w:tr w:rsidTr="008557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10)</w:t>
            </w:r>
            <w:r w:rsidRPr="00EB0AA0">
              <w:t xml:space="preserve"> This relates to the unit of competency as a whole providing the range of contexts and conditions </w:t>
            </w:r>
            <w:r w:rsidRPr="00EB0AA0">
              <w:t>to which the Performance Criteria apply. It allows for different work environments and situations that will affect performance.</w:t>
            </w:r>
          </w:p>
          <w:p w:rsidR="00000000" w:rsidRPr="00EB0AA0" w:rsidP="00EB0AA0">
            <w:pPr>
              <w:pStyle w:val="BodyText"/>
            </w:pPr>
            <w:r w:rsidRPr="00EB0AA0">
              <w:t>This Competency Standard Unit shall be demonstrated in relation to the management of compliance with national electricity market</w:t>
            </w:r>
            <w:r w:rsidRPr="00EB0AA0">
              <w:t xml:space="preserve"> metrology practices and procedures and may include the following: </w:t>
            </w:r>
          </w:p>
          <w:p w:rsidR="00000000" w:rsidRPr="00EB0AA0" w:rsidP="00EB0AA0">
            <w:pPr>
              <w:pStyle w:val="BodyText"/>
            </w:pPr>
            <w:r w:rsidRPr="00EB0AA0">
              <w:t xml:space="preserve">Management of compliance with national electricity market metrology practice and procedures. </w:t>
            </w:r>
          </w:p>
          <w:p w:rsidR="00000000" w:rsidRPr="00EB0AA0" w:rsidP="00EB0AA0">
            <w:pPr>
              <w:pStyle w:val="BodyText"/>
            </w:pPr>
            <w:r w:rsidRPr="00EB0AA0">
              <w:t xml:space="preserve">Responsible for ensuring compliance to the meter assets management plan </w:t>
            </w:r>
          </w:p>
          <w:p w:rsidR="00000000" w:rsidRPr="00EB0AA0" w:rsidP="00EB0AA0">
            <w:pPr>
              <w:pStyle w:val="BodyText"/>
            </w:pPr>
            <w:r w:rsidRPr="00EB0AA0">
              <w:t>Will be required to c</w:t>
            </w:r>
            <w:r w:rsidRPr="00EB0AA0">
              <w:t>oordinate job activities for multiple discipline work groups.</w:t>
            </w:r>
          </w:p>
          <w:p w:rsidR="00000000" w:rsidRPr="00EB0AA0" w:rsidP="00EB0AA0">
            <w:pPr>
              <w:pStyle w:val="BodyText"/>
            </w:pPr>
            <w:r w:rsidRPr="00EB0AA0">
              <w:t>Conducting appropriate field audits on behalf of/or with representative(s) of the Regulated Energy Market.</w:t>
            </w:r>
          </w:p>
          <w:p w:rsidR="00000000" w:rsidRPr="00EB0AA0" w:rsidP="00EB0AA0">
            <w:pPr>
              <w:pStyle w:val="BodyText"/>
            </w:pPr>
            <w:r w:rsidRPr="00EB0AA0">
              <w:t>It includes managing work functions to ensure the compliance of a Customer’s Revenue me</w:t>
            </w:r>
            <w:r w:rsidRPr="00EB0AA0">
              <w:t xml:space="preserve">tering Installation. </w:t>
            </w:r>
          </w:p>
          <w:p w:rsidR="00000000" w:rsidRPr="00EB0AA0" w:rsidP="00EB0AA0">
            <w:pPr>
              <w:pStyle w:val="BodyText"/>
            </w:pPr>
            <w:r w:rsidRPr="00EB0AA0">
              <w:t>They may be responsible for seeking exemptions to national regulations.</w:t>
            </w:r>
          </w:p>
          <w:p w:rsidR="00000000" w:rsidRPr="00EB0AA0" w:rsidP="00EB0AA0">
            <w:pPr>
              <w:pStyle w:val="BodyText"/>
            </w:pPr>
            <w:r w:rsidRPr="00EB0AA0">
              <w:t xml:space="preserve">This includes demonstrating detailed knowledge of the role and responsibilities as the representative of the Metering Provider. </w:t>
            </w:r>
          </w:p>
          <w:p w:rsidR="00000000" w:rsidRPr="00EB0AA0" w:rsidP="00EB0AA0">
            <w:pPr>
              <w:pStyle w:val="BodyText"/>
            </w:pPr>
            <w:r w:rsidRPr="00EB0AA0">
              <w:t>It also includes the establishmen</w:t>
            </w:r>
            <w:r w:rsidRPr="00EB0AA0">
              <w:t>t/maintenance of relationships with other market participants and management of compliance with organisational policies, procedures and the National Electricity Market.</w:t>
            </w:r>
          </w:p>
          <w:p w:rsidR="00000000" w:rsidRPr="00EB0AA0" w:rsidP="00EB0AA0">
            <w:pPr>
              <w:pStyle w:val="BodyText"/>
            </w:pPr>
            <w:r w:rsidRPr="00EB0AA0">
              <w:t>The following constants and variables included in the element/Performance Criteria in t</w:t>
            </w:r>
            <w:r w:rsidRPr="00EB0AA0">
              <w:t>his unit are fully described in the Definitions Section 1 of this volume and form an integral part of the Range Statement of this unit:</w:t>
            </w:r>
          </w:p>
          <w:p w:rsidR="00000000" w:rsidRPr="00EB0AA0" w:rsidP="00EB0AA0">
            <w:pPr>
              <w:pStyle w:val="ListBullet3"/>
            </w:pPr>
            <w:r w:rsidRPr="00EB0AA0">
              <w:t>Appropriate and relevant persons (see Personnel)</w:t>
            </w:r>
          </w:p>
          <w:p w:rsidR="00000000" w:rsidRPr="00EB0AA0" w:rsidP="00EB0AA0">
            <w:pPr>
              <w:pStyle w:val="ListBullet3"/>
            </w:pPr>
            <w:r w:rsidRPr="00EB0AA0">
              <w:t>Appropriate authorities</w:t>
            </w:r>
          </w:p>
          <w:p w:rsidR="00000000" w:rsidRPr="00EB0AA0" w:rsidP="00EB0AA0">
            <w:pPr>
              <w:pStyle w:val="ListBullet3"/>
            </w:pPr>
            <w:r w:rsidRPr="00EB0AA0">
              <w:t>Appropriate work platform</w:t>
            </w:r>
          </w:p>
          <w:p w:rsidR="00000000" w:rsidRPr="00EB0AA0" w:rsidP="00EB0AA0">
            <w:pPr>
              <w:pStyle w:val="ListBullet3"/>
            </w:pPr>
            <w:r w:rsidRPr="00EB0AA0">
              <w:t>Assessing risk</w:t>
            </w:r>
          </w:p>
          <w:p w:rsidR="00000000" w:rsidRPr="00EB0AA0" w:rsidP="00EB0AA0">
            <w:pPr>
              <w:pStyle w:val="ListBullet3"/>
            </w:pPr>
            <w:r w:rsidRPr="00EB0AA0">
              <w:t>Assessment</w:t>
            </w:r>
          </w:p>
          <w:p w:rsidR="00000000" w:rsidRPr="00EB0AA0" w:rsidP="00EB0AA0">
            <w:pPr>
              <w:pStyle w:val="ListBullet3"/>
            </w:pPr>
            <w:r w:rsidRPr="00EB0AA0">
              <w:t>Authorisation</w:t>
            </w:r>
          </w:p>
          <w:p w:rsidR="00000000" w:rsidRPr="00EB0AA0" w:rsidP="00EB0AA0">
            <w:pPr>
              <w:pStyle w:val="ListBullet3"/>
            </w:pPr>
            <w:r w:rsidRPr="00EB0AA0">
              <w:t>Confined space</w:t>
            </w:r>
          </w:p>
          <w:p w:rsidR="00000000" w:rsidRPr="00EB0AA0" w:rsidP="00EB0AA0">
            <w:pPr>
              <w:pStyle w:val="ListBullet3"/>
            </w:pPr>
            <w:r w:rsidRPr="00EB0AA0">
              <w:t>Diagnostic, testing and restoration</w:t>
            </w:r>
          </w:p>
          <w:p w:rsidR="00000000" w:rsidRPr="00EB0AA0" w:rsidP="00EB0AA0">
            <w:pPr>
              <w:pStyle w:val="ListBullet3"/>
            </w:pPr>
            <w:r w:rsidRPr="00EB0AA0">
              <w:t>Documenting detail work events, record keeping and or storage of information</w:t>
            </w:r>
          </w:p>
          <w:p w:rsidR="00000000" w:rsidRPr="00EB0AA0" w:rsidP="00EB0AA0">
            <w:pPr>
              <w:pStyle w:val="ListBullet3"/>
            </w:pPr>
            <w:r w:rsidRPr="00EB0AA0">
              <w:t>Drawings and specifications</w:t>
            </w:r>
          </w:p>
          <w:p w:rsidR="00000000" w:rsidRPr="00EB0AA0" w:rsidP="00EB0AA0">
            <w:pPr>
              <w:pStyle w:val="ListBullet3"/>
            </w:pPr>
            <w:r w:rsidRPr="00EB0AA0">
              <w:t>Emergency</w:t>
            </w:r>
          </w:p>
          <w:p w:rsidR="00000000" w:rsidRPr="00EB0AA0" w:rsidP="00EB0AA0">
            <w:pPr>
              <w:pStyle w:val="ListBullet3"/>
            </w:pPr>
            <w:r w:rsidRPr="00EB0AA0">
              <w:t>Environmental and sustainable energy procedures</w:t>
            </w:r>
          </w:p>
          <w:p w:rsidR="00000000" w:rsidRPr="00EB0AA0" w:rsidP="00EB0AA0">
            <w:pPr>
              <w:pStyle w:val="ListBullet3"/>
            </w:pPr>
            <w:r w:rsidRPr="00EB0AA0">
              <w:t>Environmental leg</w:t>
            </w:r>
            <w:r w:rsidRPr="00EB0AA0">
              <w:t>islation</w:t>
            </w:r>
          </w:p>
          <w:p w:rsidR="00000000" w:rsidRPr="00EB0AA0" w:rsidP="00EB0AA0">
            <w:pPr>
              <w:pStyle w:val="ListBullet3"/>
            </w:pPr>
            <w:r w:rsidRPr="00EB0AA0">
              <w:t>Environmental management documentation</w:t>
            </w:r>
          </w:p>
          <w:p w:rsidR="00000000" w:rsidRPr="00EB0AA0" w:rsidP="00EB0AA0">
            <w:pPr>
              <w:pStyle w:val="ListBullet3"/>
            </w:pPr>
            <w:r w:rsidRPr="00EB0AA0">
              <w:t>Established procedures</w:t>
            </w:r>
          </w:p>
          <w:p w:rsidR="00000000" w:rsidRPr="00EB0AA0" w:rsidP="00EB0AA0">
            <w:pPr>
              <w:pStyle w:val="ListBullet3"/>
            </w:pPr>
            <w:r w:rsidRPr="00EB0AA0">
              <w:t>Fall prevention</w:t>
            </w:r>
          </w:p>
          <w:p w:rsidR="00000000" w:rsidRPr="00EB0AA0" w:rsidP="00EB0AA0">
            <w:pPr>
              <w:pStyle w:val="ListBullet3"/>
            </w:pPr>
            <w:r w:rsidRPr="00EB0AA0">
              <w:t>Hazards</w:t>
            </w:r>
          </w:p>
          <w:p w:rsidR="00000000" w:rsidRPr="00EB0AA0" w:rsidP="00EB0AA0">
            <w:pPr>
              <w:pStyle w:val="ListBullet3"/>
            </w:pPr>
            <w:r w:rsidRPr="00EB0AA0">
              <w:t>Identifying hazards</w:t>
            </w:r>
          </w:p>
          <w:p w:rsidR="00000000" w:rsidRPr="00EB0AA0" w:rsidP="00EB0AA0">
            <w:pPr>
              <w:pStyle w:val="ListBullet3"/>
            </w:pPr>
            <w:r w:rsidRPr="00EB0AA0">
              <w:t>Inspect</w:t>
            </w:r>
          </w:p>
          <w:p w:rsidR="00000000" w:rsidRPr="00EB0AA0" w:rsidP="00EB0AA0">
            <w:pPr>
              <w:pStyle w:val="ListBullet3"/>
            </w:pPr>
            <w:r w:rsidRPr="00EB0AA0">
              <w:t>Legislation</w:t>
            </w:r>
          </w:p>
          <w:p w:rsidR="00000000" w:rsidRPr="00EB0AA0" w:rsidP="00EB0AA0">
            <w:pPr>
              <w:pStyle w:val="ListBullet3"/>
            </w:pPr>
            <w:r w:rsidRPr="00EB0AA0">
              <w:t>MSDS</w:t>
            </w:r>
          </w:p>
          <w:p w:rsidR="00000000" w:rsidRPr="00EB0AA0" w:rsidP="00EB0AA0">
            <w:pPr>
              <w:pStyle w:val="ListBullet3"/>
            </w:pPr>
            <w:r w:rsidRPr="00EB0AA0">
              <w:t>Notification</w:t>
            </w:r>
          </w:p>
          <w:p w:rsidR="00000000" w:rsidRPr="00EB0AA0" w:rsidP="00EB0AA0">
            <w:pPr>
              <w:pStyle w:val="ListBullet3"/>
            </w:pPr>
            <w:r w:rsidRPr="00EB0AA0">
              <w:t>OHS practices</w:t>
            </w:r>
          </w:p>
          <w:p w:rsidR="00000000" w:rsidRPr="00EB0AA0" w:rsidP="00EB0AA0">
            <w:pPr>
              <w:pStyle w:val="ListBullet3"/>
            </w:pPr>
            <w:r w:rsidRPr="00EB0AA0">
              <w:t>OHS issues</w:t>
            </w:r>
          </w:p>
          <w:p w:rsidR="00000000" w:rsidRPr="00EB0AA0" w:rsidP="00EB0AA0">
            <w:pPr>
              <w:pStyle w:val="ListBullet3"/>
            </w:pPr>
            <w:r w:rsidRPr="00EB0AA0">
              <w:t>Permits and/or permits to work</w:t>
            </w:r>
          </w:p>
          <w:p w:rsidR="00000000" w:rsidRPr="00EB0AA0" w:rsidP="00EB0AA0">
            <w:pPr>
              <w:pStyle w:val="ListBullet3"/>
            </w:pPr>
            <w:r w:rsidRPr="00EB0AA0">
              <w:t>Personnel</w:t>
            </w:r>
          </w:p>
          <w:p w:rsidR="00000000" w:rsidRPr="00EB0AA0" w:rsidP="00EB0AA0">
            <w:pPr>
              <w:pStyle w:val="ListBullet3"/>
            </w:pPr>
            <w:r w:rsidRPr="00EB0AA0">
              <w:t>Quality assurance systems</w:t>
            </w:r>
          </w:p>
          <w:p w:rsidR="00000000" w:rsidRPr="00EB0AA0" w:rsidP="00EB0AA0">
            <w:pPr>
              <w:pStyle w:val="ListBullet3"/>
            </w:pPr>
            <w:r w:rsidRPr="00EB0AA0">
              <w:t>Requirements</w:t>
            </w:r>
          </w:p>
          <w:p w:rsidR="00000000" w:rsidRPr="00EB0AA0" w:rsidP="00EB0AA0">
            <w:pPr>
              <w:pStyle w:val="ListBullet3"/>
            </w:pPr>
            <w:r w:rsidRPr="00EB0AA0">
              <w:t>Testing procedures</w:t>
            </w:r>
          </w:p>
          <w:p w:rsidR="00000000" w:rsidRPr="00EB0AA0" w:rsidP="00EB0AA0">
            <w:pPr>
              <w:pStyle w:val="ListBullet3"/>
            </w:pPr>
            <w:r w:rsidRPr="00EB0AA0">
              <w:t>Work clearance systems</w:t>
            </w:r>
          </w:p>
        </w:tc>
      </w:tr>
    </w:tbl>
    <w:p w:rsidR="00000000" w:rsidRPr="00EB0AA0" w:rsidP="00EB0AA0">
      <w:pPr>
        <w:pStyle w:val="BodyText"/>
      </w:pPr>
    </w:p>
    <w:p w:rsidR="00000000" w:rsidRPr="00EB0AA0" w:rsidP="00EB0AA0">
      <w:pPr>
        <w:pStyle w:val="AllowPageBreak"/>
      </w:pPr>
    </w:p>
    <w:p w:rsidR="00000000" w:rsidRPr="00EB0AA0" w:rsidP="00EB0AA0">
      <w:pPr>
        <w:pStyle w:val="Heading1"/>
      </w:pPr>
      <w:bookmarkStart w:id="12" w:name="O_464873"/>
      <w:bookmarkEnd w:id="12"/>
      <w:r w:rsidRPr="00EB0AA0">
        <w:t>Unit Sector(s)</w:t>
      </w:r>
    </w:p>
    <w:p w:rsidR="00000000" w:rsidRPr="00EB0AA0" w:rsidP="00EB0AA0">
      <w:pPr>
        <w:pStyle w:val="BodyText"/>
      </w:pPr>
      <w:r w:rsidRPr="00EB0AA0">
        <w:t>Not applicable.</w:t>
      </w:r>
    </w:p>
    <w:p w:rsidR="00000000" w:rsidRPr="00EB0AA0" w:rsidP="00EB0AA0">
      <w:pPr>
        <w:pStyle w:val="AllowPageBreak"/>
      </w:pPr>
    </w:p>
    <w:p w:rsidR="00000000" w:rsidRPr="00EB0AA0" w:rsidP="00EB0AA0">
      <w:pPr>
        <w:pStyle w:val="Heading1"/>
      </w:pPr>
      <w:bookmarkStart w:id="13" w:name="O_464862"/>
      <w:bookmarkEnd w:id="13"/>
      <w:r w:rsidRPr="00EB0AA0">
        <w:t>Competency Field</w:t>
      </w:r>
    </w:p>
    <w:tbl>
      <w:tblPr>
        <w:tblW w:w="0" w:type="auto"/>
        <w:tblLayout w:type="fixed"/>
        <w:tblCellMar>
          <w:left w:w="62" w:type="dxa"/>
          <w:right w:w="62" w:type="dxa"/>
        </w:tblCellMar>
        <w:tblLook w:val="0000"/>
      </w:tblPr>
      <w:tblGrid>
        <w:gridCol w:w="2700"/>
        <w:gridCol w:w="5760"/>
      </w:tblGrid>
      <w:tr w:rsidTr="008557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0AA0">
            <w:pPr>
              <w:pStyle w:val="BodyText"/>
              <w:rPr>
                <w:lang w:val="en-NZ"/>
              </w:rPr>
            </w:pPr>
            <w:r w:rsidRPr="00EB0AA0">
              <w:rPr>
                <w:rStyle w:val="SpecialBold"/>
              </w:rPr>
              <w:t xml:space="preserve">11) </w:t>
            </w:r>
          </w:p>
        </w:tc>
      </w:tr>
      <w:tr w:rsidTr="008557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AA0" w:rsidP="00EB0AA0">
            <w:pPr>
              <w:pStyle w:val="BodyText"/>
            </w:pPr>
            <w:r w:rsidRPr="00EB0AA0">
              <w:t>Testing Units</w:t>
            </w:r>
          </w:p>
        </w:tc>
      </w:tr>
    </w:tbl>
    <w:p w:rsidR="00000000" w:rsidRPr="00EB0AA0" w:rsidP="00EB0AA0">
      <w:pPr>
        <w:pStyle w:val="BodyText"/>
      </w:pPr>
    </w:p>
    <w:p w:rsidR="00000000" w:rsidRPr="00EB0AA0" w:rsidP="00EB0AA0"/>
    <w:sectPr w:rsidSect="00EB0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743" w:rsidP="008557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3" w:rsidP="00EB0A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855743" w:rsidP="00EB0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55743" w:rsidP="00EB0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A0" w:rsidRPr="00855743" w:rsidP="008557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3" w:rsidRPr="002D2AF8" w:rsidP="00EB0AA0">
    <w:pPr>
      <w:pStyle w:val="Header"/>
      <w:framePr w:wrap="around"/>
    </w:pPr>
    <w:r>
      <w:fldChar w:fldCharType="begin"/>
    </w:r>
    <w:r>
      <w:instrText xml:space="preserve"> TITLE   \* MERGEFORMAT </w:instrText>
    </w:r>
    <w:r>
      <w:fldChar w:fldCharType="separate"/>
    </w:r>
    <w:r>
      <w:t>UETTDRTS45A Manage compliance with national electricity market metrology practices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855743" w:rsidP="00EB0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81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01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2B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AA0"/>
    <w:pPr>
      <w:spacing w:before="360" w:after="60"/>
      <w:outlineLvl w:val="0"/>
    </w:pPr>
    <w:rPr>
      <w:sz w:val="32"/>
    </w:rPr>
  </w:style>
  <w:style w:type="paragraph" w:styleId="Heading2">
    <w:name w:val="heading 2"/>
    <w:basedOn w:val="HeadingBase"/>
    <w:next w:val="BodyText"/>
    <w:link w:val="Heading2Char"/>
    <w:qFormat/>
    <w:rsid w:val="00EB0AA0"/>
    <w:pPr>
      <w:keepLines/>
      <w:spacing w:before="240" w:after="120"/>
      <w:outlineLvl w:val="1"/>
    </w:pPr>
    <w:rPr>
      <w:sz w:val="28"/>
      <w:szCs w:val="40"/>
    </w:rPr>
  </w:style>
  <w:style w:type="paragraph" w:styleId="Heading3">
    <w:name w:val="heading 3"/>
    <w:basedOn w:val="HeadingBase"/>
    <w:next w:val="BodyText"/>
    <w:link w:val="Heading3Char"/>
    <w:qFormat/>
    <w:rsid w:val="00EB0AA0"/>
    <w:pPr>
      <w:spacing w:before="180" w:after="120"/>
      <w:outlineLvl w:val="2"/>
    </w:pPr>
    <w:rPr>
      <w:spacing w:val="-10"/>
      <w:kern w:val="32"/>
    </w:rPr>
  </w:style>
  <w:style w:type="paragraph" w:styleId="Heading4">
    <w:name w:val="heading 4"/>
    <w:basedOn w:val="HeadingBase"/>
    <w:next w:val="BodyText"/>
    <w:link w:val="Heading4Char"/>
    <w:qFormat/>
    <w:rsid w:val="00EB0AA0"/>
    <w:pPr>
      <w:spacing w:before="160" w:after="120"/>
      <w:outlineLvl w:val="3"/>
    </w:pPr>
    <w:rPr>
      <w:sz w:val="22"/>
    </w:rPr>
  </w:style>
  <w:style w:type="paragraph" w:styleId="Heading5">
    <w:name w:val="heading 5"/>
    <w:basedOn w:val="HeadingBase"/>
    <w:next w:val="Normal"/>
    <w:link w:val="Heading5Char"/>
    <w:qFormat/>
    <w:rsid w:val="00EB0AA0"/>
    <w:pPr>
      <w:spacing w:before="80"/>
      <w:outlineLvl w:val="4"/>
    </w:pPr>
    <w:rPr>
      <w:color w:val="918585"/>
      <w:sz w:val="20"/>
    </w:rPr>
  </w:style>
  <w:style w:type="paragraph" w:styleId="Heading6">
    <w:name w:val="heading 6"/>
    <w:basedOn w:val="HeadingBase"/>
    <w:next w:val="Normal"/>
    <w:link w:val="Heading6Char"/>
    <w:qFormat/>
    <w:rsid w:val="00EB0AA0"/>
    <w:pPr>
      <w:spacing w:before="60"/>
      <w:outlineLvl w:val="5"/>
    </w:pPr>
    <w:rPr>
      <w:color w:val="918585"/>
      <w:sz w:val="20"/>
    </w:rPr>
  </w:style>
  <w:style w:type="paragraph" w:styleId="Heading7">
    <w:name w:val="heading 7"/>
    <w:basedOn w:val="Normal"/>
    <w:next w:val="Normal"/>
    <w:link w:val="Heading7Char"/>
    <w:qFormat/>
    <w:rsid w:val="00EB0AA0"/>
    <w:pPr>
      <w:ind w:left="720"/>
      <w:outlineLvl w:val="6"/>
    </w:pPr>
    <w:rPr>
      <w:i/>
    </w:rPr>
  </w:style>
  <w:style w:type="paragraph" w:styleId="Heading8">
    <w:name w:val="heading 8"/>
    <w:basedOn w:val="Normal"/>
    <w:next w:val="Normal"/>
    <w:link w:val="Heading8Char"/>
    <w:qFormat/>
    <w:rsid w:val="00EB0AA0"/>
    <w:pPr>
      <w:ind w:left="720"/>
      <w:outlineLvl w:val="7"/>
    </w:pPr>
    <w:rPr>
      <w:i/>
    </w:rPr>
  </w:style>
  <w:style w:type="paragraph" w:styleId="Heading9">
    <w:name w:val="heading 9"/>
    <w:basedOn w:val="Normal"/>
    <w:next w:val="Normal"/>
    <w:link w:val="Heading9Char"/>
    <w:qFormat/>
    <w:rsid w:val="00EB0AA0"/>
    <w:pPr>
      <w:ind w:left="720"/>
      <w:outlineLvl w:val="8"/>
    </w:pPr>
    <w:rPr>
      <w:i/>
    </w:rPr>
  </w:style>
  <w:style w:type="character" w:default="1" w:styleId="DefaultParagraphFont">
    <w:name w:val="Default Paragraph Font"/>
    <w:uiPriority w:val="1"/>
    <w:unhideWhenUsed/>
    <w:rsid w:val="00EB0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AA0"/>
  </w:style>
  <w:style w:type="character" w:customStyle="1" w:styleId="Heading1Char">
    <w:name w:val="Heading 1 Char"/>
    <w:basedOn w:val="DefaultParagraphFont"/>
    <w:link w:val="Heading1"/>
    <w:rsid w:val="00EB0AA0"/>
    <w:rPr>
      <w:rFonts w:ascii="Times New Roman" w:eastAsia="Times New Roman" w:hAnsi="Times New Roman" w:cs="Times New Roman"/>
      <w:b/>
      <w:sz w:val="32"/>
      <w:szCs w:val="20"/>
      <w:lang w:eastAsia="en-US"/>
    </w:rPr>
  </w:style>
  <w:style w:type="paragraph" w:styleId="BodyText">
    <w:name w:val="Body Text"/>
    <w:basedOn w:val="Normal"/>
    <w:link w:val="BodyTextChar"/>
    <w:rsid w:val="00EB0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AA0"/>
    <w:rPr>
      <w:rFonts w:ascii="Times New Roman" w:eastAsia="Times New Roman" w:hAnsi="Times New Roman" w:cs="Times New Roman"/>
      <w:sz w:val="24"/>
      <w:lang w:eastAsia="en-US"/>
    </w:rPr>
  </w:style>
  <w:style w:type="paragraph" w:styleId="Footer">
    <w:name w:val="footer"/>
    <w:basedOn w:val="Normal"/>
    <w:link w:val="FooterChar"/>
    <w:rsid w:val="00EB0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AA0"/>
    <w:rPr>
      <w:rFonts w:ascii="Times New Roman" w:eastAsia="Times New Roman" w:hAnsi="Times New Roman" w:cs="Times New Roman"/>
      <w:sz w:val="16"/>
      <w:lang w:eastAsia="en-US"/>
    </w:rPr>
  </w:style>
  <w:style w:type="paragraph" w:styleId="ListBullet">
    <w:name w:val="List Bullet"/>
    <w:basedOn w:val="List"/>
    <w:rsid w:val="00EB0AA0"/>
    <w:pPr>
      <w:numPr>
        <w:numId w:val="14"/>
      </w:numPr>
      <w:tabs>
        <w:tab w:val="clear" w:pos="340"/>
      </w:tabs>
      <w:spacing w:before="40" w:after="40"/>
    </w:pPr>
  </w:style>
  <w:style w:type="character" w:customStyle="1" w:styleId="SpecialBold">
    <w:name w:val="Special Bold"/>
    <w:basedOn w:val="DefaultParagraphFont"/>
    <w:rsid w:val="00EB0AA0"/>
    <w:rPr>
      <w:b/>
      <w:spacing w:val="0"/>
    </w:rPr>
  </w:style>
  <w:style w:type="paragraph" w:styleId="ListBullet2">
    <w:name w:val="List Bullet 2"/>
    <w:basedOn w:val="List2"/>
    <w:rsid w:val="00EB0AA0"/>
    <w:pPr>
      <w:numPr>
        <w:numId w:val="15"/>
      </w:numPr>
      <w:tabs>
        <w:tab w:val="clear" w:pos="680"/>
      </w:tabs>
    </w:pPr>
  </w:style>
  <w:style w:type="paragraph" w:customStyle="1" w:styleId="SuperHeading">
    <w:name w:val="SuperHeading"/>
    <w:basedOn w:val="Normal"/>
    <w:rsid w:val="00EB0AA0"/>
    <w:pPr>
      <w:spacing w:before="240" w:after="120"/>
      <w:outlineLvl w:val="0"/>
    </w:pPr>
    <w:rPr>
      <w:rFonts w:ascii="Times New Roman" w:hAnsi="Times New Roman"/>
      <w:b/>
      <w:sz w:val="28"/>
    </w:rPr>
  </w:style>
  <w:style w:type="paragraph" w:customStyle="1" w:styleId="AllowPageBreak">
    <w:name w:val="AllowPageBreak"/>
    <w:rsid w:val="00EB0A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0AA0"/>
    <w:pPr>
      <w:numPr>
        <w:numId w:val="3"/>
      </w:numPr>
      <w:tabs>
        <w:tab w:val="clear" w:pos="1021"/>
      </w:tabs>
      <w:ind w:left="1037" w:hanging="357"/>
    </w:pPr>
  </w:style>
  <w:style w:type="character" w:customStyle="1" w:styleId="Heading2Char">
    <w:name w:val="Heading 2 Char"/>
    <w:basedOn w:val="DefaultParagraphFont"/>
    <w:link w:val="Heading2"/>
    <w:rsid w:val="00EB0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AA0"/>
    <w:rPr>
      <w:rFonts w:ascii="Courier New" w:eastAsia="Times New Roman" w:hAnsi="Courier New" w:cs="Times New Roman"/>
      <w:i/>
      <w:szCs w:val="20"/>
      <w:lang w:eastAsia="en-US"/>
    </w:rPr>
  </w:style>
  <w:style w:type="paragraph" w:customStyle="1" w:styleId="HeadingBase">
    <w:name w:val="Heading Base"/>
    <w:rsid w:val="00EB0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AA0"/>
    <w:pPr>
      <w:tabs>
        <w:tab w:val="right" w:leader="dot" w:pos="9072"/>
      </w:tabs>
      <w:ind w:left="567"/>
    </w:pPr>
    <w:rPr>
      <w:szCs w:val="22"/>
    </w:rPr>
  </w:style>
  <w:style w:type="paragraph" w:customStyle="1" w:styleId="TOCBase">
    <w:name w:val="TOC Base"/>
    <w:rsid w:val="00EB0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AA0"/>
    <w:pPr>
      <w:tabs>
        <w:tab w:val="right" w:leader="dot" w:pos="9072"/>
      </w:tabs>
      <w:spacing w:before="40" w:after="40"/>
      <w:ind w:left="284"/>
    </w:pPr>
    <w:rPr>
      <w:rFonts w:ascii="Times New Roman" w:hAnsi="Times New Roman"/>
    </w:rPr>
  </w:style>
  <w:style w:type="paragraph" w:styleId="TOC1">
    <w:name w:val="toc 1"/>
    <w:basedOn w:val="TOCBase"/>
    <w:next w:val="Normal"/>
    <w:rsid w:val="00EB0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AA0"/>
    <w:pPr>
      <w:spacing w:before="5040"/>
      <w:jc w:val="center"/>
    </w:pPr>
    <w:rPr>
      <w:sz w:val="48"/>
      <w:szCs w:val="72"/>
      <w:lang w:val="en-US"/>
    </w:rPr>
  </w:style>
  <w:style w:type="character" w:customStyle="1" w:styleId="TitleChar">
    <w:name w:val="Title Char"/>
    <w:basedOn w:val="DefaultParagraphFont"/>
    <w:link w:val="Title"/>
    <w:rsid w:val="00EB0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AA0"/>
    <w:pPr>
      <w:tabs>
        <w:tab w:val="left" w:pos="3600"/>
        <w:tab w:val="left" w:pos="3958"/>
      </w:tabs>
    </w:pPr>
  </w:style>
  <w:style w:type="paragraph" w:styleId="List">
    <w:name w:val="List"/>
    <w:basedOn w:val="BodyText"/>
    <w:next w:val="BodyText"/>
    <w:rsid w:val="00EB0AA0"/>
    <w:pPr>
      <w:tabs>
        <w:tab w:val="left" w:pos="340"/>
      </w:tabs>
      <w:spacing w:before="60" w:after="60"/>
      <w:ind w:left="340" w:hanging="340"/>
    </w:pPr>
  </w:style>
  <w:style w:type="paragraph" w:customStyle="1" w:styleId="Note">
    <w:name w:val="Note"/>
    <w:basedOn w:val="BodyText"/>
    <w:rsid w:val="00EB0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AA0"/>
    <w:pPr>
      <w:framePr w:wrap="auto" w:hAnchor="text" w:y="6049"/>
    </w:pPr>
    <w:rPr>
      <w:color w:val="000000"/>
      <w:sz w:val="40"/>
    </w:rPr>
  </w:style>
  <w:style w:type="paragraph" w:customStyle="1" w:styleId="TOCTitle">
    <w:name w:val="TOCTitle"/>
    <w:basedOn w:val="Heading1"/>
    <w:rsid w:val="00EB0AA0"/>
    <w:pPr>
      <w:spacing w:after="240"/>
      <w:jc w:val="center"/>
      <w:outlineLvl w:val="9"/>
    </w:pPr>
    <w:rPr>
      <w:caps/>
    </w:rPr>
  </w:style>
  <w:style w:type="paragraph" w:customStyle="1" w:styleId="Version">
    <w:name w:val="Version"/>
    <w:rsid w:val="00EB0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AA0"/>
    <w:pPr>
      <w:keepNext w:val="0"/>
      <w:tabs>
        <w:tab w:val="right" w:pos="4176"/>
      </w:tabs>
      <w:ind w:left="198" w:hanging="198"/>
    </w:pPr>
    <w:rPr>
      <w:rFonts w:ascii="Garamond" w:hAnsi="Garamond"/>
    </w:rPr>
  </w:style>
  <w:style w:type="paragraph" w:styleId="IndexHeading">
    <w:name w:val="index heading"/>
    <w:basedOn w:val="Normal"/>
    <w:next w:val="Index1"/>
    <w:semiHidden/>
    <w:rsid w:val="00EB0AA0"/>
    <w:pPr>
      <w:spacing w:before="120" w:after="120"/>
    </w:pPr>
    <w:rPr>
      <w:rFonts w:ascii="Arial" w:hAnsi="Arial"/>
      <w:b/>
      <w:color w:val="918585"/>
      <w:sz w:val="24"/>
    </w:rPr>
  </w:style>
  <w:style w:type="paragraph" w:styleId="Header">
    <w:name w:val="header"/>
    <w:basedOn w:val="Normal"/>
    <w:link w:val="HeaderChar"/>
    <w:rsid w:val="00EB0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AA0"/>
    <w:rPr>
      <w:rFonts w:ascii="Times New Roman" w:eastAsia="Times New Roman" w:hAnsi="Times New Roman" w:cs="Times New Roman"/>
      <w:sz w:val="16"/>
      <w:szCs w:val="20"/>
      <w:lang w:val="en-GB" w:eastAsia="en-US"/>
    </w:rPr>
  </w:style>
  <w:style w:type="paragraph" w:customStyle="1" w:styleId="Chapter">
    <w:name w:val="Chapter"/>
    <w:basedOn w:val="Normal"/>
    <w:rsid w:val="00EB0AA0"/>
    <w:pPr>
      <w:spacing w:before="240"/>
    </w:pPr>
    <w:rPr>
      <w:rFonts w:ascii="Times New Roman" w:hAnsi="Times New Roman"/>
      <w:smallCaps/>
      <w:spacing w:val="80"/>
      <w:sz w:val="28"/>
    </w:rPr>
  </w:style>
  <w:style w:type="paragraph" w:customStyle="1" w:styleId="InChapter">
    <w:name w:val="InChapter"/>
    <w:basedOn w:val="Heading3"/>
    <w:rsid w:val="00EB0AA0"/>
    <w:pPr>
      <w:spacing w:after="240"/>
      <w:outlineLvl w:val="9"/>
    </w:pPr>
    <w:rPr>
      <w:noProof/>
    </w:rPr>
  </w:style>
  <w:style w:type="paragraph" w:styleId="Index2">
    <w:name w:val="index 2"/>
    <w:basedOn w:val="Normal"/>
    <w:next w:val="Normal"/>
    <w:semiHidden/>
    <w:rsid w:val="00EB0AA0"/>
    <w:pPr>
      <w:tabs>
        <w:tab w:val="right" w:pos="4176"/>
      </w:tabs>
      <w:ind w:left="568" w:hanging="284"/>
    </w:pPr>
    <w:rPr>
      <w:rFonts w:ascii="Garamond" w:hAnsi="Garamond"/>
    </w:rPr>
  </w:style>
  <w:style w:type="paragraph" w:customStyle="1" w:styleId="Byline">
    <w:name w:val="Byline"/>
    <w:rsid w:val="00EB0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AA0"/>
    <w:pPr>
      <w:tabs>
        <w:tab w:val="clear" w:pos="3600"/>
        <w:tab w:val="clear" w:pos="3958"/>
      </w:tabs>
      <w:jc w:val="right"/>
    </w:pPr>
  </w:style>
  <w:style w:type="character" w:styleId="Emphasis">
    <w:name w:val="Emphasis"/>
    <w:basedOn w:val="DefaultParagraphFont"/>
    <w:qFormat/>
    <w:rsid w:val="00EB0AA0"/>
    <w:rPr>
      <w:i/>
    </w:rPr>
  </w:style>
  <w:style w:type="paragraph" w:styleId="Caption">
    <w:name w:val="caption"/>
    <w:basedOn w:val="BodyText"/>
    <w:next w:val="Normal"/>
    <w:qFormat/>
    <w:rsid w:val="00EB0AA0"/>
    <w:pPr>
      <w:framePr w:w="2268" w:hSpace="181" w:vSpace="181" w:wrap="around" w:vAnchor="text" w:hAnchor="page" w:x="1135" w:y="285" w:anchorLock="1"/>
    </w:pPr>
    <w:rPr>
      <w:i/>
    </w:rPr>
  </w:style>
  <w:style w:type="paragraph" w:customStyle="1" w:styleId="MiniTOCTitle">
    <w:name w:val="MiniTOCTitle"/>
    <w:basedOn w:val="Heading4"/>
    <w:rsid w:val="00EB0AA0"/>
    <w:pPr>
      <w:spacing w:before="240"/>
      <w:outlineLvl w:val="9"/>
    </w:pPr>
    <w:rPr>
      <w:noProof/>
      <w:sz w:val="24"/>
    </w:rPr>
  </w:style>
  <w:style w:type="paragraph" w:customStyle="1" w:styleId="MiniTOCItem">
    <w:name w:val="MiniTOCItem"/>
    <w:basedOn w:val="ListBullet"/>
    <w:rsid w:val="00EB0AA0"/>
    <w:pPr>
      <w:numPr>
        <w:numId w:val="0"/>
      </w:numPr>
      <w:tabs>
        <w:tab w:val="right" w:leader="dot" w:pos="6521"/>
      </w:tabs>
      <w:spacing w:before="0" w:after="0"/>
    </w:pPr>
  </w:style>
  <w:style w:type="paragraph" w:customStyle="1" w:styleId="TOFTitle">
    <w:name w:val="TOFTitle"/>
    <w:basedOn w:val="TOCTitle"/>
    <w:rsid w:val="00EB0AA0"/>
  </w:style>
  <w:style w:type="paragraph" w:styleId="TableofFigures">
    <w:name w:val="table of figures"/>
    <w:basedOn w:val="Normal"/>
    <w:next w:val="Normal"/>
    <w:semiHidden/>
    <w:rsid w:val="00EB0AA0"/>
    <w:pPr>
      <w:tabs>
        <w:tab w:val="right" w:leader="dot" w:pos="9072"/>
      </w:tabs>
      <w:ind w:left="970" w:hanging="403"/>
    </w:pPr>
    <w:rPr>
      <w:rFonts w:ascii="Times New Roman" w:hAnsi="Times New Roman"/>
      <w:b/>
    </w:rPr>
  </w:style>
  <w:style w:type="paragraph" w:styleId="ListNumber">
    <w:name w:val="List Number"/>
    <w:basedOn w:val="List"/>
    <w:rsid w:val="00EB0AA0"/>
    <w:pPr>
      <w:numPr>
        <w:numId w:val="12"/>
      </w:numPr>
    </w:pPr>
  </w:style>
  <w:style w:type="character" w:customStyle="1" w:styleId="WingdingSymbols">
    <w:name w:val="Wingding Symbols"/>
    <w:rsid w:val="00EB0AA0"/>
    <w:rPr>
      <w:rFonts w:ascii="Wingdings" w:hAnsi="Wingdings"/>
    </w:rPr>
  </w:style>
  <w:style w:type="paragraph" w:customStyle="1" w:styleId="TableHeading">
    <w:name w:val="Table Heading"/>
    <w:basedOn w:val="HeadingBase"/>
    <w:rsid w:val="00EB0AA0"/>
    <w:pPr>
      <w:keepLines/>
      <w:pBdr>
        <w:bottom w:val="single" w:sz="6" w:space="1" w:color="918585"/>
      </w:pBdr>
      <w:spacing w:before="240"/>
    </w:pPr>
  </w:style>
  <w:style w:type="character" w:customStyle="1" w:styleId="HotSpot">
    <w:name w:val="HotSpot"/>
    <w:rsid w:val="00EB0AA0"/>
    <w:rPr>
      <w:color w:val="0033CC"/>
      <w:u w:val="none"/>
    </w:rPr>
  </w:style>
  <w:style w:type="paragraph" w:customStyle="1" w:styleId="BodyTextRight">
    <w:name w:val="Body Text Right"/>
    <w:basedOn w:val="BodyText"/>
    <w:rsid w:val="00EB0AA0"/>
    <w:pPr>
      <w:spacing w:before="0" w:after="0"/>
      <w:jc w:val="right"/>
    </w:pPr>
  </w:style>
  <w:style w:type="paragraph" w:styleId="Index3">
    <w:name w:val="index 3"/>
    <w:basedOn w:val="ListNumber2"/>
    <w:next w:val="Normal"/>
    <w:semiHidden/>
    <w:rsid w:val="00EB0AA0"/>
    <w:pPr>
      <w:numPr>
        <w:numId w:val="0"/>
      </w:numPr>
      <w:tabs>
        <w:tab w:val="right" w:leader="dot" w:pos="4176"/>
      </w:tabs>
    </w:pPr>
  </w:style>
  <w:style w:type="paragraph" w:styleId="ListNumber2">
    <w:name w:val="List Number 2"/>
    <w:basedOn w:val="List2"/>
    <w:rsid w:val="00EB0AA0"/>
    <w:pPr>
      <w:numPr>
        <w:numId w:val="11"/>
      </w:numPr>
      <w:tabs>
        <w:tab w:val="clear" w:pos="1060"/>
      </w:tabs>
    </w:pPr>
  </w:style>
  <w:style w:type="paragraph" w:customStyle="1" w:styleId="MarginNote">
    <w:name w:val="Margin Note"/>
    <w:basedOn w:val="BodyText"/>
    <w:rsid w:val="00EB0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AA0"/>
    <w:rPr>
      <w:sz w:val="32"/>
    </w:rPr>
  </w:style>
  <w:style w:type="paragraph" w:customStyle="1" w:styleId="HeadingProcedure">
    <w:name w:val="Heading Procedure"/>
    <w:basedOn w:val="HeadingBase"/>
    <w:next w:val="Normal"/>
    <w:rsid w:val="00EB0AA0"/>
    <w:pPr>
      <w:tabs>
        <w:tab w:val="left" w:pos="0"/>
      </w:tabs>
      <w:spacing w:before="120" w:after="60"/>
    </w:pPr>
    <w:rPr>
      <w:i/>
      <w:color w:val="918585"/>
      <w:sz w:val="22"/>
    </w:rPr>
  </w:style>
  <w:style w:type="paragraph" w:customStyle="1" w:styleId="TableBodyText">
    <w:name w:val="Table Body Text"/>
    <w:basedOn w:val="BodyText"/>
    <w:rsid w:val="00EB0AA0"/>
    <w:pPr>
      <w:spacing w:before="60" w:after="60"/>
    </w:pPr>
  </w:style>
  <w:style w:type="paragraph" w:styleId="ListContinue">
    <w:name w:val="List Continue"/>
    <w:basedOn w:val="List"/>
    <w:rsid w:val="00EB0AA0"/>
    <w:pPr>
      <w:ind w:firstLine="0"/>
    </w:pPr>
  </w:style>
  <w:style w:type="paragraph" w:customStyle="1" w:styleId="ListNote">
    <w:name w:val="List Note"/>
    <w:basedOn w:val="List"/>
    <w:rsid w:val="00EB0AA0"/>
    <w:pPr>
      <w:pBdr>
        <w:top w:val="single" w:sz="6" w:space="2" w:color="918585"/>
        <w:bottom w:val="single" w:sz="6" w:space="2" w:color="918585"/>
      </w:pBdr>
      <w:tabs>
        <w:tab w:val="left" w:pos="1021"/>
      </w:tabs>
      <w:ind w:firstLine="0"/>
    </w:pPr>
  </w:style>
  <w:style w:type="paragraph" w:customStyle="1" w:styleId="Warning">
    <w:name w:val="Warning"/>
    <w:basedOn w:val="BodyText"/>
    <w:rsid w:val="00EB0AA0"/>
    <w:pPr>
      <w:shd w:val="clear" w:color="auto" w:fill="D9D9D9"/>
      <w:tabs>
        <w:tab w:val="left" w:pos="992"/>
      </w:tabs>
      <w:ind w:left="119" w:right="119"/>
    </w:pPr>
    <w:rPr>
      <w:sz w:val="20"/>
    </w:rPr>
  </w:style>
  <w:style w:type="paragraph" w:customStyle="1" w:styleId="MarginIcons">
    <w:name w:val="Margin Icons"/>
    <w:basedOn w:val="BodyText"/>
    <w:rsid w:val="00EB0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AA0"/>
    <w:rPr>
      <w:rFonts w:ascii="Courier New" w:hAnsi="Courier New"/>
    </w:rPr>
  </w:style>
  <w:style w:type="paragraph" w:customStyle="1" w:styleId="NoteBullet">
    <w:name w:val="Note Bullet"/>
    <w:basedOn w:val="Note"/>
    <w:rsid w:val="00EB0AA0"/>
    <w:pPr>
      <w:tabs>
        <w:tab w:val="clear" w:pos="680"/>
      </w:tabs>
      <w:spacing w:before="60" w:after="60"/>
    </w:pPr>
  </w:style>
  <w:style w:type="paragraph" w:customStyle="1" w:styleId="SubHeading2">
    <w:name w:val="SubHeading2"/>
    <w:basedOn w:val="HeadingBase"/>
    <w:rsid w:val="00EB0AA0"/>
    <w:pPr>
      <w:spacing w:before="240" w:after="60"/>
    </w:pPr>
    <w:rPr>
      <w:sz w:val="20"/>
    </w:rPr>
  </w:style>
  <w:style w:type="paragraph" w:customStyle="1" w:styleId="SubHeading1">
    <w:name w:val="SubHeading1"/>
    <w:basedOn w:val="HeadingBase"/>
    <w:rsid w:val="00EB0AA0"/>
    <w:pPr>
      <w:spacing w:before="240" w:after="60"/>
    </w:pPr>
    <w:rPr>
      <w:color w:val="918585"/>
      <w:sz w:val="22"/>
    </w:rPr>
  </w:style>
  <w:style w:type="paragraph" w:customStyle="1" w:styleId="SideHeading">
    <w:name w:val="Side Heading"/>
    <w:basedOn w:val="HeadingBase"/>
    <w:rsid w:val="00EB0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AA0"/>
    <w:pPr>
      <w:numPr>
        <w:numId w:val="13"/>
      </w:numPr>
    </w:pPr>
  </w:style>
  <w:style w:type="paragraph" w:styleId="PlainText">
    <w:name w:val="Plain Text"/>
    <w:basedOn w:val="Normal"/>
    <w:link w:val="PlainTextChar"/>
    <w:rsid w:val="00EB0AA0"/>
    <w:rPr>
      <w:sz w:val="20"/>
    </w:rPr>
  </w:style>
  <w:style w:type="character" w:customStyle="1" w:styleId="PlainTextChar">
    <w:name w:val="Plain Text Char"/>
    <w:basedOn w:val="DefaultParagraphFont"/>
    <w:link w:val="PlainText"/>
    <w:rsid w:val="00EB0AA0"/>
    <w:rPr>
      <w:rFonts w:ascii="Courier New" w:eastAsia="Times New Roman" w:hAnsi="Courier New" w:cs="Times New Roman"/>
      <w:sz w:val="20"/>
      <w:szCs w:val="20"/>
      <w:lang w:eastAsia="en-US"/>
    </w:rPr>
  </w:style>
  <w:style w:type="character" w:customStyle="1" w:styleId="MenuOption">
    <w:name w:val="Menu Option"/>
    <w:basedOn w:val="DefaultParagraphFont"/>
    <w:rsid w:val="00EB0AA0"/>
    <w:rPr>
      <w:b/>
      <w:smallCaps/>
    </w:rPr>
  </w:style>
  <w:style w:type="paragraph" w:customStyle="1" w:styleId="TableListNumber">
    <w:name w:val="Table List Number"/>
    <w:basedOn w:val="ListNumber"/>
    <w:rsid w:val="00EB0AA0"/>
    <w:pPr>
      <w:numPr>
        <w:numId w:val="0"/>
      </w:numPr>
    </w:pPr>
  </w:style>
  <w:style w:type="paragraph" w:styleId="TOC4">
    <w:name w:val="toc 4"/>
    <w:basedOn w:val="TOCBase"/>
    <w:next w:val="Normal"/>
    <w:semiHidden/>
    <w:rsid w:val="00EB0AA0"/>
    <w:pPr>
      <w:tabs>
        <w:tab w:val="right" w:leader="dot" w:pos="9071"/>
      </w:tabs>
      <w:ind w:left="1701"/>
    </w:pPr>
  </w:style>
  <w:style w:type="paragraph" w:customStyle="1" w:styleId="ListAlpha">
    <w:name w:val="List Alpha"/>
    <w:basedOn w:val="List"/>
    <w:rsid w:val="00EB0AA0"/>
    <w:pPr>
      <w:numPr>
        <w:numId w:val="10"/>
      </w:numPr>
    </w:pPr>
  </w:style>
  <w:style w:type="paragraph" w:customStyle="1" w:styleId="ListAlpha2">
    <w:name w:val="List Alpha 2"/>
    <w:basedOn w:val="List2"/>
    <w:rsid w:val="00EB0AA0"/>
    <w:pPr>
      <w:numPr>
        <w:numId w:val="9"/>
      </w:numPr>
    </w:pPr>
  </w:style>
  <w:style w:type="paragraph" w:styleId="List2">
    <w:name w:val="List 2"/>
    <w:basedOn w:val="BodyText"/>
    <w:rsid w:val="00EB0AA0"/>
    <w:pPr>
      <w:tabs>
        <w:tab w:val="left" w:pos="680"/>
      </w:tabs>
      <w:spacing w:before="60" w:after="60"/>
      <w:ind w:left="680" w:hanging="340"/>
    </w:pPr>
  </w:style>
  <w:style w:type="paragraph" w:styleId="List3">
    <w:name w:val="List 3"/>
    <w:basedOn w:val="BodyText"/>
    <w:rsid w:val="00EB0AA0"/>
    <w:pPr>
      <w:tabs>
        <w:tab w:val="left" w:pos="1021"/>
      </w:tabs>
      <w:spacing w:before="60" w:after="60"/>
      <w:ind w:left="1020" w:hanging="340"/>
    </w:pPr>
  </w:style>
  <w:style w:type="paragraph" w:styleId="List4">
    <w:name w:val="List 4"/>
    <w:basedOn w:val="BodyText"/>
    <w:rsid w:val="00EB0AA0"/>
    <w:pPr>
      <w:tabs>
        <w:tab w:val="left" w:pos="1361"/>
      </w:tabs>
      <w:spacing w:before="60" w:after="60"/>
      <w:ind w:left="1361" w:hanging="340"/>
    </w:pPr>
  </w:style>
  <w:style w:type="paragraph" w:styleId="List5">
    <w:name w:val="List 5"/>
    <w:basedOn w:val="BodyText"/>
    <w:rsid w:val="00EB0AA0"/>
    <w:pPr>
      <w:tabs>
        <w:tab w:val="left" w:pos="1701"/>
      </w:tabs>
      <w:spacing w:before="60" w:after="60"/>
      <w:ind w:left="1701" w:hanging="340"/>
    </w:pPr>
  </w:style>
  <w:style w:type="paragraph" w:styleId="ListBullet4">
    <w:name w:val="List Bullet 4"/>
    <w:basedOn w:val="List4"/>
    <w:rsid w:val="00EB0AA0"/>
    <w:pPr>
      <w:numPr>
        <w:numId w:val="4"/>
      </w:numPr>
    </w:pPr>
  </w:style>
  <w:style w:type="paragraph" w:styleId="ListBullet5">
    <w:name w:val="List Bullet 5"/>
    <w:basedOn w:val="List5"/>
    <w:rsid w:val="00EB0AA0"/>
    <w:pPr>
      <w:numPr>
        <w:numId w:val="5"/>
      </w:numPr>
    </w:pPr>
  </w:style>
  <w:style w:type="paragraph" w:styleId="ListContinue2">
    <w:name w:val="List Continue 2"/>
    <w:basedOn w:val="List2"/>
    <w:rsid w:val="00EB0AA0"/>
    <w:pPr>
      <w:ind w:firstLine="0"/>
    </w:pPr>
  </w:style>
  <w:style w:type="paragraph" w:styleId="ListContinue3">
    <w:name w:val="List Continue 3"/>
    <w:basedOn w:val="List3"/>
    <w:rsid w:val="00EB0AA0"/>
    <w:pPr>
      <w:ind w:left="1021" w:firstLine="0"/>
    </w:pPr>
  </w:style>
  <w:style w:type="paragraph" w:styleId="ListContinue4">
    <w:name w:val="List Continue 4"/>
    <w:basedOn w:val="List4"/>
    <w:rsid w:val="00EB0AA0"/>
    <w:pPr>
      <w:ind w:firstLine="0"/>
    </w:pPr>
  </w:style>
  <w:style w:type="paragraph" w:styleId="ListContinue5">
    <w:name w:val="List Continue 5"/>
    <w:basedOn w:val="List5"/>
    <w:rsid w:val="00EB0AA0"/>
    <w:pPr>
      <w:ind w:firstLine="0"/>
    </w:pPr>
  </w:style>
  <w:style w:type="paragraph" w:styleId="ListNumber3">
    <w:name w:val="List Number 3"/>
    <w:basedOn w:val="List3"/>
    <w:rsid w:val="00EB0AA0"/>
    <w:pPr>
      <w:numPr>
        <w:numId w:val="6"/>
      </w:numPr>
    </w:pPr>
  </w:style>
  <w:style w:type="paragraph" w:styleId="ListNumber4">
    <w:name w:val="List Number 4"/>
    <w:basedOn w:val="List4"/>
    <w:rsid w:val="00EB0AA0"/>
    <w:pPr>
      <w:numPr>
        <w:numId w:val="7"/>
      </w:numPr>
    </w:pPr>
  </w:style>
  <w:style w:type="paragraph" w:styleId="ListNumber5">
    <w:name w:val="List Number 5"/>
    <w:basedOn w:val="List5"/>
    <w:rsid w:val="00EB0AA0"/>
    <w:pPr>
      <w:numPr>
        <w:numId w:val="8"/>
      </w:numPr>
    </w:pPr>
  </w:style>
  <w:style w:type="paragraph" w:styleId="BlockText">
    <w:name w:val="Block Text"/>
    <w:basedOn w:val="Normal"/>
    <w:rsid w:val="00EB0AA0"/>
    <w:pPr>
      <w:spacing w:after="120"/>
      <w:ind w:left="1440" w:right="1440"/>
    </w:pPr>
  </w:style>
  <w:style w:type="character" w:customStyle="1" w:styleId="Subscript">
    <w:name w:val="Subscript"/>
    <w:basedOn w:val="DefaultParagraphFont"/>
    <w:rsid w:val="00EB0AA0"/>
    <w:rPr>
      <w:sz w:val="16"/>
      <w:vertAlign w:val="subscript"/>
    </w:rPr>
  </w:style>
  <w:style w:type="character" w:customStyle="1" w:styleId="Superscript">
    <w:name w:val="Superscript"/>
    <w:basedOn w:val="DefaultParagraphFont"/>
    <w:rsid w:val="00EB0AA0"/>
    <w:rPr>
      <w:sz w:val="16"/>
      <w:vertAlign w:val="superscript"/>
    </w:rPr>
  </w:style>
  <w:style w:type="character" w:customStyle="1" w:styleId="Symbols">
    <w:name w:val="Symbols"/>
    <w:basedOn w:val="DefaultParagraphFont"/>
    <w:rsid w:val="00EB0AA0"/>
    <w:rPr>
      <w:rFonts w:ascii="Symbol" w:hAnsi="Symbol"/>
    </w:rPr>
  </w:style>
  <w:style w:type="character" w:customStyle="1" w:styleId="MenuOptions">
    <w:name w:val="Menu Options"/>
    <w:basedOn w:val="DefaultParagraphFont"/>
    <w:rsid w:val="00EB0AA0"/>
    <w:rPr>
      <w:rFonts w:ascii="Arial Narrow" w:hAnsi="Arial Narrow"/>
      <w:smallCaps/>
    </w:rPr>
  </w:style>
  <w:style w:type="character" w:customStyle="1" w:styleId="Buttons">
    <w:name w:val="Buttons"/>
    <w:basedOn w:val="DefaultParagraphFont"/>
    <w:rsid w:val="00EB0AA0"/>
    <w:rPr>
      <w:b/>
    </w:rPr>
  </w:style>
  <w:style w:type="character" w:customStyle="1" w:styleId="Underlined">
    <w:name w:val="Underlined"/>
    <w:basedOn w:val="DefaultParagraphFont"/>
    <w:rsid w:val="00EB0AA0"/>
    <w:rPr>
      <w:u w:val="single"/>
    </w:rPr>
  </w:style>
  <w:style w:type="paragraph" w:customStyle="1" w:styleId="TableBodyTextRight">
    <w:name w:val="Table Body Text Right"/>
    <w:basedOn w:val="TableBodyText"/>
    <w:rsid w:val="00EB0AA0"/>
    <w:pPr>
      <w:widowControl w:val="0"/>
      <w:autoSpaceDE w:val="0"/>
      <w:autoSpaceDN w:val="0"/>
      <w:adjustRightInd w:val="0"/>
      <w:jc w:val="right"/>
    </w:pPr>
    <w:rPr>
      <w:rFonts w:cs="Arial"/>
      <w:szCs w:val="18"/>
    </w:rPr>
  </w:style>
  <w:style w:type="paragraph" w:customStyle="1" w:styleId="CopyrightText">
    <w:name w:val="Copyright Text"/>
    <w:basedOn w:val="BodyText"/>
    <w:rsid w:val="00EB0AA0"/>
    <w:rPr>
      <w:sz w:val="18"/>
    </w:rPr>
  </w:style>
  <w:style w:type="paragraph" w:customStyle="1" w:styleId="BodySmallRight">
    <w:name w:val="Body Small Right"/>
    <w:basedOn w:val="BodyTextRight"/>
    <w:rsid w:val="00EB0AA0"/>
    <w:rPr>
      <w:sz w:val="18"/>
      <w:szCs w:val="18"/>
    </w:rPr>
  </w:style>
  <w:style w:type="paragraph" w:customStyle="1" w:styleId="MarginEdition">
    <w:name w:val="Margin Edition"/>
    <w:basedOn w:val="MarginNote"/>
    <w:rsid w:val="00EB0AA0"/>
    <w:pPr>
      <w:spacing w:before="0" w:after="0"/>
    </w:pPr>
    <w:rPr>
      <w:rFonts w:ascii="Times New Roman" w:hAnsi="Times New Roman"/>
      <w:color w:val="999999"/>
    </w:rPr>
  </w:style>
  <w:style w:type="paragraph" w:customStyle="1" w:styleId="Spacer">
    <w:name w:val="Spacer"/>
    <w:basedOn w:val="Normal"/>
    <w:rsid w:val="00EB0AA0"/>
    <w:rPr>
      <w:sz w:val="2"/>
      <w:szCs w:val="2"/>
    </w:rPr>
  </w:style>
  <w:style w:type="character" w:customStyle="1" w:styleId="Small">
    <w:name w:val="Small"/>
    <w:basedOn w:val="DefaultParagraphFont"/>
    <w:rsid w:val="00EB0AA0"/>
    <w:rPr>
      <w:sz w:val="16"/>
    </w:rPr>
  </w:style>
  <w:style w:type="paragraph" w:customStyle="1" w:styleId="WideTable">
    <w:name w:val="Wide Table"/>
    <w:basedOn w:val="Normal"/>
    <w:rsid w:val="00EB0AA0"/>
    <w:pPr>
      <w:ind w:left="-1418"/>
    </w:pPr>
    <w:rPr>
      <w:sz w:val="2"/>
      <w:szCs w:val="2"/>
    </w:rPr>
  </w:style>
  <w:style w:type="character" w:styleId="PageNumber">
    <w:name w:val="page number"/>
    <w:basedOn w:val="DefaultParagraphFont"/>
    <w:rsid w:val="00EB0AA0"/>
  </w:style>
  <w:style w:type="paragraph" w:styleId="Quote">
    <w:name w:val="Quote"/>
    <w:basedOn w:val="Heading1"/>
    <w:link w:val="QuoteChar"/>
    <w:qFormat/>
    <w:rsid w:val="00EB0AA0"/>
    <w:rPr>
      <w:b w:val="0"/>
      <w:sz w:val="72"/>
      <w:szCs w:val="72"/>
      <w:lang w:val="en-NZ"/>
    </w:rPr>
  </w:style>
  <w:style w:type="character" w:customStyle="1" w:styleId="QuoteChar">
    <w:name w:val="Quote Char"/>
    <w:basedOn w:val="DefaultParagraphFont"/>
    <w:link w:val="Quote"/>
    <w:rsid w:val="00EB0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AA0"/>
    <w:pPr>
      <w:pageBreakBefore/>
    </w:pPr>
  </w:style>
  <w:style w:type="paragraph" w:customStyle="1" w:styleId="Border">
    <w:name w:val="Border"/>
    <w:basedOn w:val="Normal"/>
    <w:qFormat/>
    <w:rsid w:val="00EB0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AA0"/>
    <w:rPr>
      <w:b/>
      <w:bCs/>
      <w:i/>
      <w:iCs/>
      <w:color w:val="auto"/>
    </w:rPr>
  </w:style>
  <w:style w:type="paragraph" w:styleId="IntenseQuote">
    <w:name w:val="Intense Quote"/>
    <w:basedOn w:val="Normal"/>
    <w:next w:val="Normal"/>
    <w:link w:val="IntenseQuoteChar"/>
    <w:uiPriority w:val="30"/>
    <w:qFormat/>
    <w:rsid w:val="00EB0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AA0"/>
    <w:rPr>
      <w:smallCaps/>
      <w:color w:val="auto"/>
      <w:u w:val="single"/>
    </w:rPr>
  </w:style>
  <w:style w:type="character" w:styleId="IntenseReference">
    <w:name w:val="Intense Reference"/>
    <w:basedOn w:val="DefaultParagraphFont"/>
    <w:uiPriority w:val="32"/>
    <w:qFormat/>
    <w:rsid w:val="00EB0AA0"/>
    <w:rPr>
      <w:b/>
      <w:bCs/>
      <w:smallCaps/>
      <w:color w:val="auto"/>
      <w:spacing w:val="5"/>
      <w:u w:val="single"/>
    </w:rPr>
  </w:style>
  <w:style w:type="paragraph" w:customStyle="1" w:styleId="2ColumnHeading">
    <w:name w:val="2Column Heading"/>
    <w:basedOn w:val="BodyText"/>
    <w:qFormat/>
    <w:rsid w:val="00EB0AA0"/>
    <w:pPr>
      <w:spacing w:after="60"/>
      <w:ind w:left="-2268"/>
    </w:pPr>
    <w:rPr>
      <w:b/>
    </w:rPr>
  </w:style>
  <w:style w:type="paragraph" w:customStyle="1" w:styleId="Heading1TOC">
    <w:name w:val="Heading1 TOC"/>
    <w:basedOn w:val="Normal"/>
    <w:qFormat/>
    <w:rsid w:val="00EB0AA0"/>
    <w:pPr>
      <w:spacing w:before="240" w:after="120"/>
    </w:pPr>
    <w:rPr>
      <w:rFonts w:ascii="Times New Roman" w:hAnsi="Times New Roman"/>
      <w:b/>
      <w:sz w:val="32"/>
    </w:rPr>
  </w:style>
  <w:style w:type="paragraph" w:customStyle="1" w:styleId="Heading2TOC">
    <w:name w:val="Heading2 TOC"/>
    <w:basedOn w:val="Normal"/>
    <w:qFormat/>
    <w:rsid w:val="00EB0AA0"/>
    <w:pPr>
      <w:spacing w:before="240" w:after="60"/>
    </w:pPr>
    <w:rPr>
      <w:rFonts w:ascii="Times New Roman" w:hAnsi="Times New Roman"/>
      <w:b/>
      <w:sz w:val="28"/>
    </w:rPr>
  </w:style>
  <w:style w:type="character" w:customStyle="1" w:styleId="Underline">
    <w:name w:val="Underline"/>
    <w:basedOn w:val="DefaultParagraphFont"/>
    <w:qFormat/>
    <w:rsid w:val="00EB0AA0"/>
    <w:rPr>
      <w:u w:val="single"/>
    </w:rPr>
  </w:style>
  <w:style w:type="character" w:customStyle="1" w:styleId="BoldandItalics">
    <w:name w:val="Bold and Italics"/>
    <w:qFormat/>
    <w:rsid w:val="00EB0AA0"/>
    <w:rPr>
      <w:b/>
      <w:i/>
      <w:u w:val="none"/>
    </w:rPr>
  </w:style>
  <w:style w:type="paragraph" w:styleId="BalloonText">
    <w:name w:val="Balloon Text"/>
    <w:basedOn w:val="Normal"/>
    <w:link w:val="BalloonTextChar"/>
    <w:rsid w:val="00EB0AA0"/>
    <w:rPr>
      <w:rFonts w:ascii="Tahoma" w:hAnsi="Tahoma" w:cs="Tahoma"/>
      <w:sz w:val="16"/>
      <w:szCs w:val="16"/>
    </w:rPr>
  </w:style>
  <w:style w:type="character" w:customStyle="1" w:styleId="BalloonTextChar">
    <w:name w:val="Balloon Text Char"/>
    <w:basedOn w:val="DefaultParagraphFont"/>
    <w:link w:val="BalloonText"/>
    <w:rsid w:val="00EB0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AA0"/>
    <w:rPr>
      <w:b/>
      <w:color w:val="660033"/>
      <w:spacing w:val="0"/>
    </w:rPr>
  </w:style>
  <w:style w:type="paragraph" w:customStyle="1" w:styleId="Nameditemlist">
    <w:name w:val="Named item list"/>
    <w:basedOn w:val="BodyText"/>
    <w:qFormat/>
    <w:rsid w:val="00EB0A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3117</Words>
  <Characters>19882</Characters>
  <Application>Microsoft Office Word</Application>
  <DocSecurity>0</DocSecurity>
  <Lines>805</Lines>
  <Paragraphs>299</Paragraphs>
  <ScaleCrop>false</ScaleCrop>
  <Company>Author-it Software Corporation Ltd.</Company>
  <LinksUpToDate>false</LinksUpToDate>
  <CharactersWithSpaces>22755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UETTDRTS45A Manage compliance with national electricity market metrology practices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2012-10-01T04:36:00Z</dcterms:created>
  <dcterms:modified xsi:type="dcterms:W3CDTF">2012-10-01T04:36:00Z</dcterms:modified>
</cp:coreProperties>
</file>