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13F" w:rsidP="0063513F">
      <w:pPr>
        <w:pStyle w:val="Title"/>
      </w:pPr>
      <w:r>
        <w:fldChar w:fldCharType="begin"/>
      </w:r>
      <w:r>
        <w:instrText xml:space="preserve"> TITLE   \* MERGEFORMAT </w:instrText>
      </w:r>
      <w:r>
        <w:fldChar w:fldCharType="separate"/>
      </w:r>
      <w:r>
        <w:t>UETTDRTS43A Commission energy/revenue metering schemes</w:t>
      </w:r>
      <w:r>
        <w:fldChar w:fldCharType="end"/>
      </w:r>
    </w:p>
    <w:p w:rsidR="0063513F" w:rsidP="0063513F">
      <w:pPr>
        <w:pStyle w:val="Version"/>
        <w:sectPr w:rsidSect="00321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37B" w:rsidP="0032137B">
      <w:pPr>
        <w:pStyle w:val="SuperHeading"/>
      </w:pPr>
      <w:r w:rsidRPr="0032137B">
        <w:t>UETTDRTS43A Commission energy/revenue metering schemes</w:t>
      </w:r>
    </w:p>
    <w:p w:rsidR="00000000" w:rsidRPr="0032137B" w:rsidP="0032137B">
      <w:pPr>
        <w:pStyle w:val="Heading1"/>
      </w:pPr>
      <w:bookmarkStart w:id="1" w:name="O_464844"/>
      <w:bookmarkEnd w:id="1"/>
      <w:r w:rsidRPr="0032137B">
        <w:t>Modification History</w:t>
      </w:r>
    </w:p>
    <w:p w:rsidR="00000000" w:rsidRPr="0032137B" w:rsidP="0032137B">
      <w:pPr>
        <w:pStyle w:val="BodyText"/>
      </w:pPr>
      <w:r w:rsidRPr="0032137B">
        <w:t>Not applicable.</w:t>
      </w:r>
    </w:p>
    <w:p w:rsidR="00000000" w:rsidRPr="0032137B" w:rsidP="0032137B">
      <w:pPr>
        <w:pStyle w:val="AllowPageBreak"/>
      </w:pPr>
    </w:p>
    <w:p w:rsidR="00000000" w:rsidRPr="0032137B" w:rsidP="0032137B">
      <w:pPr>
        <w:pStyle w:val="Heading1"/>
      </w:pPr>
      <w:bookmarkStart w:id="2" w:name="O_464842"/>
      <w:bookmarkEnd w:id="2"/>
      <w:r w:rsidRPr="0032137B">
        <w:t>Unit Descriptor</w:t>
      </w:r>
    </w:p>
    <w:tbl>
      <w:tblPr>
        <w:tblW w:w="0" w:type="auto"/>
        <w:tblLayout w:type="fixed"/>
        <w:tblCellMar>
          <w:left w:w="62" w:type="dxa"/>
          <w:right w:w="62" w:type="dxa"/>
        </w:tblCellMar>
        <w:tblLook w:val="0000"/>
      </w:tblPr>
      <w:tblGrid>
        <w:gridCol w:w="2700"/>
        <w:gridCol w:w="5760"/>
      </w:tblGrid>
      <w:tr w:rsidTr="00635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1)</w:t>
            </w:r>
            <w:r w:rsidRPr="0032137B">
              <w:t xml:space="preserve"> </w:t>
            </w:r>
            <w:r w:rsidRPr="0032137B">
              <w:rPr>
                <w:rStyle w:val="SpecialBold"/>
              </w:rPr>
              <w:t>Scope:</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137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1.1) Descriptor</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This Competency Standard Unit covers the commissioning of energy/revenue metering schemes. This includes isolation, inspecti</w:t>
            </w:r>
            <w:r w:rsidRPr="0032137B">
              <w:t xml:space="preserve">on, monitoring, testing, adjustment, repair, refurbishment and or overhaul and functional checks of revenue metering schemes.  It includes the requirements to prove the functionality of the metering scheme in accordance with electrical installation (state </w:t>
            </w:r>
            <w:r w:rsidRPr="0032137B">
              <w:t>and national) standards, metrology procedures and compliance to Tariff requirements.</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3" w:name="O_464831"/>
      <w:bookmarkEnd w:id="3"/>
      <w:r w:rsidRPr="0032137B">
        <w:t>Application of the Unit</w:t>
      </w:r>
    </w:p>
    <w:tbl>
      <w:tblPr>
        <w:tblW w:w="0" w:type="auto"/>
        <w:tblLayout w:type="fixed"/>
        <w:tblCellMar>
          <w:left w:w="62" w:type="dxa"/>
          <w:right w:w="62" w:type="dxa"/>
        </w:tblCellMar>
        <w:tblLook w:val="0000"/>
      </w:tblPr>
      <w:tblGrid>
        <w:gridCol w:w="2672"/>
        <w:gridCol w:w="5699"/>
      </w:tblGrid>
      <w:tr w:rsidTr="0063513F">
        <w:tblPrEx>
          <w:tblW w:w="0" w:type="auto"/>
          <w:tblLayout w:type="fixed"/>
          <w:tblCellMar>
            <w:left w:w="62" w:type="dxa"/>
            <w:right w:w="62" w:type="dxa"/>
          </w:tblCellMar>
          <w:tblLook w:val="0000"/>
        </w:tblPrEx>
        <w:trPr>
          <w:trHeight w:val="496"/>
        </w:trPr>
        <w:tc>
          <w:tcPr>
            <w:tcW w:w="2672"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2)</w:t>
            </w:r>
          </w:p>
        </w:tc>
      </w:tr>
      <w:tr w:rsidTr="006351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This competency standard is suitable for employment-based programs under an approved contract of training at the AQF level of the qualification in which the unit is first packaged or higher.</w:t>
            </w:r>
          </w:p>
          <w:p w:rsidR="00000000" w:rsidRPr="0032137B" w:rsidP="0032137B">
            <w:pPr>
              <w:pStyle w:val="BodyText"/>
            </w:pPr>
            <w:r w:rsidRPr="0032137B">
              <w:t>The unit may be selected as an elective from the relevant schedul</w:t>
            </w:r>
            <w:r w:rsidRPr="0032137B">
              <w:t>e (see qualification packaging rules) provided that all prerequisite units are undertaken or addressed through recognition processes.</w:t>
            </w:r>
          </w:p>
          <w:p w:rsidR="00000000" w:rsidRPr="0032137B" w:rsidP="0032137B">
            <w:pPr>
              <w:pStyle w:val="BodyText"/>
            </w:pPr>
            <w:r w:rsidRPr="0032137B">
              <w:t>This unit may be included in a skill set provided that it is listed in the schedule of electives (see Qualification Framew</w:t>
            </w:r>
            <w:r w:rsidRPr="0032137B">
              <w:t>ork) and all prerequisite units are undertaken or addressed through recognition processes.</w:t>
            </w:r>
          </w:p>
          <w:p w:rsidR="00000000" w:rsidRPr="0032137B" w:rsidP="0032137B">
            <w:pPr>
              <w:pStyle w:val="BodyText"/>
            </w:pPr>
            <w:r w:rsidRPr="0032137B">
              <w:t>Delivery and assessment of this unit should be undertaken within regard to the requirements of License to Practice (1.2 above), Prerequisite Competencies and Literac</w:t>
            </w:r>
            <w:r w:rsidRPr="0032137B">
              <w:t xml:space="preserve">y and Numeracy skills (2 above) and the </w:t>
            </w:r>
            <w:r w:rsidRPr="0032137B">
              <w:t>recommendations for concurrent assessment and relationship with other units (9.5 below).</w:t>
            </w:r>
          </w:p>
          <w:p w:rsidR="00000000" w:rsidRPr="0032137B" w:rsidP="0032137B">
            <w:pPr>
              <w:pStyle w:val="BodyText"/>
            </w:pPr>
            <w:r w:rsidRPr="0032137B">
              <w:t>Practice in the workplace and during training is also subject to regulations directly related to occupational health and safety</w:t>
            </w:r>
            <w:r w:rsidRPr="0032137B">
              <w:t xml:space="preserve"> and where applicable contracts of training such as apprenticeships.</w:t>
            </w:r>
          </w:p>
          <w:p w:rsidR="00000000" w:rsidRPr="0032137B" w:rsidP="0032137B">
            <w:pPr>
              <w:pStyle w:val="BodyText"/>
            </w:pPr>
            <w:r w:rsidRPr="0032137B">
              <w:t>Note:</w:t>
            </w:r>
          </w:p>
          <w:p w:rsidR="00000000" w:rsidRPr="0032137B" w:rsidP="0032137B">
            <w:pPr>
              <w:pStyle w:val="BodyText"/>
            </w:pPr>
            <w:r w:rsidRPr="0032137B">
              <w:t>1. Compliance with permits may be required in various jurisdictions and typically relates to the operation of plant, machinery and equipment such as elevating work platforms, powder</w:t>
            </w:r>
            <w:r w:rsidRPr="0032137B">
              <w:t xml:space="preserve"> operated fixing tools, power operated tools, vehicles, road signage and traffic control and lifting equipment. Permits may also be required for some work environments such as confined spaces, working aloft, near live electrical apparatus and site rehabili</w:t>
            </w:r>
            <w:r w:rsidRPr="0032137B">
              <w:t>tation.</w:t>
            </w:r>
          </w:p>
          <w:p w:rsidR="00000000" w:rsidRPr="0032137B" w:rsidP="0032137B">
            <w:pPr>
              <w:pStyle w:val="BodyText"/>
            </w:pPr>
            <w:r w:rsidRPr="0032137B">
              <w:t>2. Compliance may be required in various jurisdictions relating to currency in First Aid, confined space, lifting, risk safety measures etc.</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4" w:name="O_464838"/>
      <w:bookmarkEnd w:id="4"/>
      <w:r w:rsidRPr="0032137B">
        <w:t>Licensing/Regulatory Information</w:t>
      </w:r>
    </w:p>
    <w:tbl>
      <w:tblPr>
        <w:tblW w:w="0" w:type="auto"/>
        <w:tblLayout w:type="fixed"/>
        <w:tblCellMar>
          <w:left w:w="62" w:type="dxa"/>
          <w:right w:w="62" w:type="dxa"/>
        </w:tblCellMar>
        <w:tblLook w:val="0000"/>
      </w:tblPr>
      <w:tblGrid>
        <w:gridCol w:w="2700"/>
        <w:gridCol w:w="5760"/>
      </w:tblGrid>
      <w:tr w:rsidTr="00635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 xml:space="preserve">3) </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The skills and knowledge described in this unit requires a licence/registration to practice in the work place subject to regulations for undertaking of electrical work. Practice in workplace and during training is also subject to regulations directly relat</w:t>
            </w:r>
            <w:r w:rsidRPr="0032137B">
              <w:t>ed to Occupational Health and Safety, electricity/telecommunications/gas/water industry safety and compliance, industrial relations, environmental protection, anti discrimination and training. Commonwealth, State/Territory or Local Government legislation a</w:t>
            </w:r>
            <w:r w:rsidRPr="0032137B">
              <w:t>nd regulations may exist that limits the age of operating certain equipment.</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5" w:name="O_464839"/>
      <w:bookmarkEnd w:id="5"/>
      <w:r w:rsidRPr="0032137B">
        <w:t>Pre-Requisites</w:t>
      </w:r>
    </w:p>
    <w:tbl>
      <w:tblPr>
        <w:tblW w:w="0" w:type="auto"/>
        <w:tblLayout w:type="fixed"/>
        <w:tblCellMar>
          <w:left w:w="62" w:type="dxa"/>
          <w:right w:w="62" w:type="dxa"/>
        </w:tblCellMar>
        <w:tblLook w:val="0000"/>
      </w:tblPr>
      <w:tblGrid>
        <w:gridCol w:w="2700"/>
        <w:gridCol w:w="1980"/>
        <w:gridCol w:w="3780"/>
      </w:tblGrid>
      <w:tr w:rsidTr="00635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 xml:space="preserve">4) </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4.1)</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Granting of competency in this unit shall be made only after compete</w:t>
            </w:r>
            <w:r w:rsidRPr="0032137B">
              <w:t>ncy in the following unit(s) has/have been confirmed.</w:t>
            </w:r>
          </w:p>
          <w:p w:rsidR="00000000" w:rsidRPr="0032137B" w:rsidP="0032137B">
            <w:pPr>
              <w:pStyle w:val="BodyText"/>
            </w:pPr>
            <w:r w:rsidRPr="0032137B">
              <w:t>Where pre-requisite pathways have been identified. All competencies in the Common Unit Group must be have been completed plus all the competencies in one (1) of the identified Pathway Unit Group(s):</w:t>
            </w:r>
          </w:p>
          <w:p w:rsidR="00000000" w:rsidP="0032137B">
            <w:pPr>
              <w:pStyle w:val="BodyText"/>
              <w:rPr>
                <w:lang w:val="en-NZ"/>
              </w:rPr>
            </w:pPr>
            <w:r w:rsidRPr="0032137B">
              <w:t>Com</w:t>
            </w:r>
            <w:r w:rsidRPr="0032137B">
              <w:t>mon Unit Group</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Unit Code</w:t>
            </w:r>
          </w:p>
        </w:tc>
        <w:tc>
          <w:tcPr>
            <w:tcW w:w="378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Unit Title</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Apply Occupational Health and Safety regulations, codes and practices in the workplace</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Fabricate, assemble and dismantle utilities industry components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Solve problems in d.c. Circuits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Fix and secure electrotechnology equipment</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Use drawings, diagrams, schedules, standards, codes and specifications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UEENEEE137A</w:t>
            </w:r>
          </w:p>
        </w:tc>
        <w:tc>
          <w:tcPr>
            <w:tcW w:w="378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Document and apply measures to control OHS risks associated with electrotechnology work</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Solve problems in single and three phase low voltage machines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 xml:space="preserve">Solve problems in single and three phase low voltage electrical apparatus and </w:t>
            </w:r>
            <w:r w:rsidRPr="0032137B">
              <w:t>circuits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Arrange circuits, control and protection for general electrical installations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UEENEEG076A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Install and replace low voltage current transformer metering</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Solve problems in electromagnetic devices and related circuits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Solve problems in electromagnetic devices and related circuits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UEENEEG103A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Install low voltage wiring and accessories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UEENEEG104A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Install appliances, switchgear and associated accessories for low voltage electrical installations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RPr="0032137B" w:rsidP="0032137B">
            <w:pPr>
              <w:pStyle w:val="BodyText"/>
            </w:pPr>
            <w:r w:rsidRPr="0032137B">
              <w:t>UEENEEG105A</w:t>
            </w:r>
          </w:p>
        </w:tc>
        <w:tc>
          <w:tcPr>
            <w:tcW w:w="378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656"/>
            </w:tblGrid>
            <w:tr>
              <w:tblPrEx>
                <w:tblW w:w="0" w:type="auto"/>
                <w:tblLayout w:type="fixed"/>
                <w:tblCellMar>
                  <w:left w:w="62" w:type="dxa"/>
                  <w:right w:w="62" w:type="dxa"/>
                </w:tblCellMar>
                <w:tblLook w:val="0000"/>
              </w:tblPrEx>
              <w:tc>
                <w:tcPr>
                  <w:tcW w:w="3656" w:type="dxa"/>
                  <w:shd w:val="clear" w:color="auto" w:fill="FFFFFF"/>
                  <w:tcMar>
                    <w:top w:w="0" w:type="dxa"/>
                    <w:left w:w="62" w:type="dxa"/>
                    <w:bottom w:w="0" w:type="dxa"/>
                    <w:right w:w="62" w:type="dxa"/>
                  </w:tcMar>
                </w:tcPr>
                <w:p w:rsidR="00000000" w:rsidRPr="0032137B" w:rsidP="0032137B">
                  <w:pPr>
                    <w:pStyle w:val="BodyText"/>
                  </w:pPr>
                  <w:r w:rsidRPr="0032137B">
                    <w:t>Verify compliance and functionality of low voltage general electrical installations</w:t>
                  </w:r>
                </w:p>
              </w:tc>
            </w:tr>
          </w:tbl>
          <w:p w:rsidR="00000000" w:rsidP="0032137B">
            <w:pPr>
              <w:pStyle w:val="BodyText"/>
              <w:rPr>
                <w:lang w:val="en-NZ"/>
              </w:rPr>
            </w:pP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Terminate cables, cords and accessories for low voltage circuits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UEENEEG107A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S</w:t>
            </w:r>
            <w:r w:rsidRPr="0032137B">
              <w:t>elect wiring systems and cables for low voltage general electrical installations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Trouble-shoot and repair faults in low voltage electrical apparatus and circuits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Develop and connect electrical control circuits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UEENEEG171A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Inst</w:t>
            </w:r>
            <w:r w:rsidRPr="0032137B">
              <w:t>all, set up and commission interval metering</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Apply sustainable energy and environmental procedures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UETTDREL15A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Respond to power systems technical enquiries and requests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Working safely near live electrical apparatus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UETTDRTS37A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Perform current injection testing using phantom load</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UETTDRTS38A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Install and replace high voltage metering and associated equipment</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UETTDRTS39A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Maintain compliance with national electricity market metrology practices and procedures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w:t>
            </w:r>
            <w:r w:rsidRPr="0032137B">
              <w:t>TS40A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Test and maintain energy/revenue metering schemes</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UETTDRTS41A</w:t>
            </w:r>
          </w:p>
        </w:tc>
        <w:tc>
          <w:tcPr>
            <w:tcW w:w="37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Install and replace complex energy/revenue metering schemes and associated equipment</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32137B">
            <w:pPr>
              <w:pStyle w:val="BodyText"/>
              <w:rPr>
                <w:lang w:val="en-NZ"/>
              </w:rPr>
            </w:pPr>
            <w:r w:rsidRPr="0032137B">
              <w:t>UETTDRTS42A</w:t>
            </w:r>
          </w:p>
        </w:tc>
        <w:tc>
          <w:tcPr>
            <w:tcW w:w="3780" w:type="dxa"/>
            <w:tcBorders>
              <w:top w:val="nil"/>
              <w:left w:val="nil"/>
              <w:bottom w:val="nil"/>
              <w:right w:val="nil"/>
            </w:tcBorders>
            <w:tcMar>
              <w:top w:w="0" w:type="dxa"/>
              <w:left w:w="62" w:type="dxa"/>
              <w:bottom w:w="0" w:type="dxa"/>
              <w:right w:w="62" w:type="dxa"/>
            </w:tcMar>
            <w:vAlign w:val="center"/>
          </w:tcPr>
          <w:p w:rsidR="00000000" w:rsidRPr="0032137B" w:rsidP="0032137B">
            <w:pPr>
              <w:pStyle w:val="BodyText"/>
            </w:pPr>
            <w:r w:rsidRPr="0032137B">
              <w:t>Management of energy registration data errors for revenue billing purposes</w:t>
            </w:r>
          </w:p>
        </w:tc>
      </w:tr>
    </w:tbl>
    <w:p w:rsidR="00000000" w:rsidRPr="0032137B" w:rsidP="0032137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3513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 xml:space="preserve">4.2) </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Participants are best equipped to achieve this unit if they have reading, writing and numeracy skills indicated by the following scales. Description of each scale is given in Volume 2, Part 3 “Literacy and Numeracy</w:t>
            </w:r>
            <w:r w:rsidRPr="0032137B">
              <w:t>”</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Reading</w:t>
            </w:r>
          </w:p>
        </w:tc>
        <w:tc>
          <w:tcPr>
            <w:tcW w:w="81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5</w:t>
            </w:r>
          </w:p>
        </w:tc>
        <w:tc>
          <w:tcPr>
            <w:tcW w:w="99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Writing</w:t>
            </w:r>
          </w:p>
        </w:tc>
        <w:tc>
          <w:tcPr>
            <w:tcW w:w="90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5</w:t>
            </w:r>
          </w:p>
        </w:tc>
        <w:tc>
          <w:tcPr>
            <w:tcW w:w="12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Numeracy</w:t>
            </w:r>
          </w:p>
        </w:tc>
        <w:tc>
          <w:tcPr>
            <w:tcW w:w="72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5</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6" w:name="O_464835"/>
      <w:bookmarkEnd w:id="6"/>
      <w:r w:rsidRPr="0032137B">
        <w:t>Employability Skills Information</w:t>
      </w:r>
    </w:p>
    <w:tbl>
      <w:tblPr>
        <w:tblW w:w="0" w:type="auto"/>
        <w:tblLayout w:type="fixed"/>
        <w:tblCellMar>
          <w:left w:w="62" w:type="dxa"/>
          <w:right w:w="62" w:type="dxa"/>
        </w:tblCellMar>
        <w:tblLook w:val="0000"/>
      </w:tblPr>
      <w:tblGrid>
        <w:gridCol w:w="2700"/>
        <w:gridCol w:w="5760"/>
      </w:tblGrid>
      <w:tr w:rsidTr="00635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 xml:space="preserve">5) </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2137B">
              <w:t>requirements.</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7" w:name="O_464834"/>
      <w:bookmarkEnd w:id="7"/>
      <w:r w:rsidRPr="0032137B">
        <w:t>Elements and Performance Criteria Pre-Content</w:t>
      </w:r>
    </w:p>
    <w:tbl>
      <w:tblPr>
        <w:tblW w:w="0" w:type="auto"/>
        <w:tblLayout w:type="fixed"/>
        <w:tblCellMar>
          <w:left w:w="62" w:type="dxa"/>
          <w:right w:w="62" w:type="dxa"/>
        </w:tblCellMar>
        <w:tblLook w:val="0000"/>
      </w:tblPr>
      <w:tblGrid>
        <w:gridCol w:w="2700"/>
        <w:gridCol w:w="5760"/>
      </w:tblGrid>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6)</w:t>
            </w:r>
            <w:r w:rsidRPr="0032137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Performance Criteria describe the required performance needed to demonstrate achievement of the element. Assessment of performance is to be consistent with the Evidence Guide.</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8" w:name="O_464833"/>
      <w:bookmarkEnd w:id="8"/>
      <w:r w:rsidRPr="0032137B">
        <w:t>Elements and Performance Criteria</w:t>
      </w:r>
    </w:p>
    <w:tbl>
      <w:tblPr>
        <w:tblW w:w="0" w:type="auto"/>
        <w:tblLayout w:type="fixed"/>
        <w:tblCellMar>
          <w:left w:w="62" w:type="dxa"/>
          <w:right w:w="62" w:type="dxa"/>
        </w:tblCellMar>
        <w:tblLook w:val="0000"/>
      </w:tblPr>
      <w:tblGrid>
        <w:gridCol w:w="404"/>
        <w:gridCol w:w="2206"/>
        <w:gridCol w:w="909"/>
        <w:gridCol w:w="4941"/>
      </w:tblGrid>
      <w:tr w:rsidTr="0063513F">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ELEMENT</w:t>
            </w:r>
          </w:p>
        </w:tc>
        <w:tc>
          <w:tcPr>
            <w:tcW w:w="5850" w:type="dxa"/>
            <w:gridSpan w:val="2"/>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PERFORMANCE CRITER</w:t>
            </w:r>
            <w:r w:rsidRPr="0032137B">
              <w:rPr>
                <w:rStyle w:val="SpecialBold"/>
              </w:rPr>
              <w:t>IA</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w:t>
            </w:r>
          </w:p>
        </w:tc>
        <w:tc>
          <w:tcPr>
            <w:tcW w:w="2206" w:type="dxa"/>
            <w:vMerge w:val="restart"/>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Plan for the commissioning of energy/revenue metering schemes</w:t>
            </w: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1.1</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OHS practices/procedures and environmental and sustainable energy procedures, which may influence the commissioning of energy/revenue metering schemes are reviewed and determined.</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1.2</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Purpose of the commissioning of energy/revenue metering schemes is established after data is analysed and expected outcomes of the work are confirmed with the appropriate personnel.</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1.3</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Organisational established procedures, policies and specifications for the commissioning of energy/revenue metering schemes are obtained or established with the appropriate personnel.</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1.4</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Commissioning of energy/revenue metering schemes procedures are d</w:t>
            </w:r>
            <w:r w:rsidRPr="0032137B">
              <w:t>iscussed with/directed to the appropriate personnel in order to ascertain the project brief.</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1.5</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Commissioning parameters are established from organisational established procedures, policies and specifications.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1.6</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Equipment/tools an</w:t>
            </w:r>
            <w:r w:rsidRPr="0032137B">
              <w:t>d personal protective equipment are selected based on specified Performance Criteria and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1.7</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Work roles and tasks are allocated according to requirements and individuals’ competencies.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1.8</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Work is prioritised and sequenced for</w:t>
            </w:r>
            <w:r w:rsidRPr="0032137B">
              <w:t xml:space="preserve"> the most efficient/effective outcome, completed within an acceptable timeframe to a quality standard and in accordance with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1.9</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Liaison and communication issues with other/authorised personnel, authorities, clients and customers</w:t>
            </w:r>
            <w:r w:rsidRPr="0032137B">
              <w:t xml:space="preserve"> are resolved and activities coordinated to carry out work.</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1.10</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Risk control measures are identified, prioritised and evaluated against the work schedule.</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1.11</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Relevant internal/external work permits are obtained to coordinate the performance of work according to requirements and/or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w:t>
            </w:r>
          </w:p>
        </w:tc>
        <w:tc>
          <w:tcPr>
            <w:tcW w:w="2206" w:type="dxa"/>
            <w:vMerge w:val="restart"/>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Carry out the commissioning of energy/revenue metering schemes</w:t>
            </w: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2.1</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OHS and sustainable energy principles,</w:t>
            </w:r>
            <w:r w:rsidRPr="0032137B">
              <w:t xml:space="preserve"> functionality and practices to prevent the incidents of accidents and minimise waste are incorporated into the project in accordance with requirements and/or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2.2</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First Aid, Rescue and other related work procedures are performed according to requirements and/or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2.3</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Lifting, climbing, and use of powertools/equipment, techniques and practices are safely exercised according to requirements.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2.4</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Hazard warnings and safety signs are recognized and hazards and assessed OHS risks are reported to the immediate authorised persons for directions according to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2.5</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Remedial actions are taken to overcome any shortfalls encountered in the work schedule according to requirements and/or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 xml:space="preserve"> </w:t>
            </w: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2.6</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Testing equipment is used in accordance with the work schedule and requirements and/or established proce</w:t>
            </w:r>
            <w:r w:rsidRPr="0032137B">
              <w:t>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2.7</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Commissioning of energy/revenue metering schemes is carried out in accordance with the work schedule</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2.8</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Technical advice is given regarding potential hazards, safety risks and control measures so that monitoring and preventative action ca</w:t>
            </w:r>
            <w:r w:rsidRPr="0032137B">
              <w:t>n be undertaken and/or appropriate authorities consulted, where necessary, in accordance with requirements and established procedures.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2.9</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Essential knowledge and associated skills are applied in the safe commissioning of revenue metering schemes to ens</w:t>
            </w:r>
            <w:r w:rsidRPr="0032137B">
              <w:t>ure completion in an agreed timeframe according to requirements.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2.10</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Solutions to non-routine problems are identified and actioned, using essential knowledge and associated skills, according to requirements.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2.11</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Quality of work is monitored against personal performance agreement and/or established organisational and professional standards.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3</w:t>
            </w:r>
          </w:p>
        </w:tc>
        <w:tc>
          <w:tcPr>
            <w:tcW w:w="2206"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Complete the commissioning of energy/revenue metering schemes</w:t>
            </w: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3.1</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 xml:space="preserve">Final inspections of the commissioning of energy/revenue </w:t>
            </w:r>
            <w:r w:rsidRPr="0032137B">
              <w:t>metering schemes using routine tests and acceptance tests are undertaken to ensure they comply with all requirements and include all specifications and documents needed to complete the project.</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3.2</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Appropriate internal/external personnel are notified of</w:t>
            </w:r>
            <w:r w:rsidRPr="0032137B">
              <w:t xml:space="preserve"> completion and reports and/or completion documents are finalised/commissioned according to established procedures and timeframes.</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3.3</w:t>
            </w:r>
          </w:p>
        </w:tc>
        <w:tc>
          <w:tcPr>
            <w:tcW w:w="4941"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Reports and/or completion documents are submitted to relevant personnel/organisations for approval and, where applicable, statutory or regulatory approval.</w:t>
            </w:r>
          </w:p>
        </w:tc>
      </w:tr>
      <w:tr w:rsidTr="006351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t>3.4</w:t>
            </w:r>
          </w:p>
        </w:tc>
        <w:tc>
          <w:tcPr>
            <w:tcW w:w="4941"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 xml:space="preserve">Approved copies of routine testing and acceptance testing procedures/activities/results, for </w:t>
            </w:r>
            <w:r w:rsidRPr="0032137B">
              <w:t>the commissioning of energy/revenue metering schemes, documents are issued and records are updated in accordance with established procedures.</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9" w:name="O_464841"/>
      <w:bookmarkEnd w:id="9"/>
      <w:r w:rsidRPr="0032137B">
        <w:t>Required Skills and Knowledge</w:t>
      </w:r>
    </w:p>
    <w:tbl>
      <w:tblPr>
        <w:tblW w:w="0" w:type="auto"/>
        <w:tblLayout w:type="fixed"/>
        <w:tblCellMar>
          <w:left w:w="62" w:type="dxa"/>
          <w:right w:w="62" w:type="dxa"/>
        </w:tblCellMar>
        <w:tblLook w:val="0000"/>
      </w:tblPr>
      <w:tblGrid>
        <w:gridCol w:w="8460"/>
      </w:tblGrid>
      <w:tr w:rsidTr="006351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REQUIRED SKILLS AND KNOWLEDGE</w:t>
            </w:r>
          </w:p>
        </w:tc>
      </w:tr>
      <w:tr w:rsidTr="0063513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8)</w:t>
            </w:r>
            <w:r w:rsidRPr="0032137B">
              <w:t xml:space="preserve"> Essential Knowledge and Associated Skills (EKAS): This describes the essential skills and knowledge and their level, required for this unit.</w:t>
            </w:r>
          </w:p>
          <w:p w:rsidR="00000000" w:rsidRPr="0032137B" w:rsidP="0032137B">
            <w:pPr>
              <w:pStyle w:val="BodyText"/>
            </w:pPr>
            <w:r w:rsidRPr="0032137B">
              <w:t>Evidence shall show that knowledge has been acquired of commissioning of revenue metering schemes.</w:t>
            </w:r>
          </w:p>
          <w:p w:rsidR="00000000" w:rsidRPr="0032137B" w:rsidP="0032137B">
            <w:pPr>
              <w:pStyle w:val="BodyText"/>
            </w:pPr>
            <w:r w:rsidRPr="0032137B">
              <w:t>All knowledge and skills detailed in this unit should be contextualised to current industry practices and technologies.</w:t>
            </w:r>
          </w:p>
          <w:p w:rsidR="00000000" w:rsidRPr="0032137B" w:rsidP="0032137B">
            <w:pPr>
              <w:pStyle w:val="BodyText"/>
            </w:pPr>
            <w:r w:rsidRPr="0032137B">
              <w:t xml:space="preserve">KS01-TTS43A </w:t>
            </w:r>
            <w:r w:rsidRPr="0032137B">
              <w:tab/>
              <w:t>Commissioning energy/revenue metering schemes</w:t>
            </w:r>
          </w:p>
          <w:p w:rsidR="00000000" w:rsidRPr="0032137B" w:rsidP="0032137B">
            <w:pPr>
              <w:pStyle w:val="BodyText"/>
            </w:pPr>
            <w:r w:rsidRPr="0032137B">
              <w:t>Evidence shall show an understanding of the commissioning of energy/revenue m</w:t>
            </w:r>
            <w:r w:rsidRPr="0032137B">
              <w:t xml:space="preserve">etering schemes to an extent indicated by the following aspects: </w:t>
            </w:r>
          </w:p>
          <w:p w:rsidR="00000000" w:rsidRPr="0032137B" w:rsidP="0032137B">
            <w:pPr>
              <w:pStyle w:val="BodyText"/>
            </w:pPr>
            <w:r w:rsidRPr="0032137B">
              <w:t>T1</w:t>
            </w:r>
            <w:r w:rsidRPr="0032137B">
              <w:tab/>
              <w:t xml:space="preserve">Commissioning techniques </w:t>
            </w:r>
          </w:p>
          <w:p w:rsidR="00000000" w:rsidRPr="0032137B" w:rsidP="0032137B">
            <w:pPr>
              <w:pStyle w:val="BodyText"/>
            </w:pPr>
            <w:r w:rsidRPr="0032137B">
              <w:t>T2</w:t>
            </w:r>
            <w:r w:rsidRPr="0032137B">
              <w:tab/>
              <w:t>Evaluation of the metering design and equipment accuracy to ensure suitability with National Electricity Market requirements</w:t>
            </w:r>
          </w:p>
          <w:p w:rsidR="00000000" w:rsidRPr="0032137B" w:rsidP="0032137B">
            <w:pPr>
              <w:pStyle w:val="BodyText"/>
            </w:pPr>
            <w:r w:rsidRPr="0032137B">
              <w:t>T3</w:t>
            </w:r>
            <w:r w:rsidRPr="0032137B">
              <w:tab/>
              <w:t>Recording nameplate details fo</w:t>
            </w:r>
            <w:r w:rsidRPr="0032137B">
              <w:t>r all metering scheme components and ensuring compliance with the design accuracy class</w:t>
            </w:r>
          </w:p>
          <w:p w:rsidR="00000000" w:rsidRPr="0032137B" w:rsidP="0032137B">
            <w:pPr>
              <w:pStyle w:val="BodyText"/>
            </w:pPr>
            <w:r w:rsidRPr="0032137B">
              <w:t>T4</w:t>
            </w:r>
            <w:r w:rsidRPr="0032137B">
              <w:tab/>
              <w:t>Confirmation of instrument transformer connected ratios, polarities, burdens and voltage drops</w:t>
            </w:r>
          </w:p>
          <w:p w:rsidR="00000000" w:rsidRPr="0032137B" w:rsidP="0032137B">
            <w:pPr>
              <w:pStyle w:val="BodyText"/>
            </w:pPr>
            <w:r w:rsidRPr="0032137B">
              <w:t>T5</w:t>
            </w:r>
            <w:r w:rsidRPr="0032137B">
              <w:tab/>
              <w:t>Checking Integrity of all wiring, connections and terminalisation’s</w:t>
            </w:r>
          </w:p>
          <w:p w:rsidR="00000000" w:rsidRPr="0032137B" w:rsidP="0032137B">
            <w:pPr>
              <w:pStyle w:val="BodyText"/>
            </w:pPr>
            <w:r w:rsidRPr="0032137B">
              <w:t>T6</w:t>
            </w:r>
            <w:r w:rsidRPr="0032137B">
              <w:tab/>
              <w:t>Ensure cable types and sizes selected are correct</w:t>
            </w:r>
          </w:p>
          <w:p w:rsidR="00000000" w:rsidRPr="0032137B" w:rsidP="0032137B">
            <w:pPr>
              <w:pStyle w:val="BodyText"/>
            </w:pPr>
            <w:r w:rsidRPr="0032137B">
              <w:t>T7</w:t>
            </w:r>
            <w:r w:rsidRPr="0032137B">
              <w:tab/>
              <w:t>Phase sequence and vector relationships are correct</w:t>
            </w:r>
          </w:p>
          <w:p w:rsidR="00000000" w:rsidRPr="0032137B" w:rsidP="0032137B">
            <w:pPr>
              <w:pStyle w:val="BodyText"/>
            </w:pPr>
            <w:r w:rsidRPr="0032137B">
              <w:t>T8</w:t>
            </w:r>
            <w:r w:rsidRPr="0032137B">
              <w:tab/>
              <w:t xml:space="preserve">Documentation verifying the errors of CT’s and VT’s </w:t>
            </w:r>
          </w:p>
          <w:p w:rsidR="00000000" w:rsidRPr="0032137B" w:rsidP="0032137B">
            <w:pPr>
              <w:pStyle w:val="BodyText"/>
            </w:pPr>
            <w:r w:rsidRPr="0032137B">
              <w:t>T9</w:t>
            </w:r>
            <w:r w:rsidRPr="0032137B">
              <w:tab/>
              <w:t>Validation of meter data to verify the metering programming parameters, display and erro</w:t>
            </w:r>
            <w:r w:rsidRPr="0032137B">
              <w:t>r functions are all correct in accordance with manufacturer specifications</w:t>
            </w:r>
          </w:p>
          <w:p w:rsidR="00000000" w:rsidRPr="0032137B" w:rsidP="0032137B">
            <w:pPr>
              <w:pStyle w:val="BodyText"/>
            </w:pPr>
            <w:r w:rsidRPr="0032137B">
              <w:t>T10</w:t>
            </w:r>
            <w:r w:rsidRPr="0032137B">
              <w:tab/>
              <w:t>Verify meter programming to ensure the best possible resolution of energy data measurement and recording</w:t>
            </w:r>
          </w:p>
          <w:p w:rsidR="00000000" w:rsidRPr="0032137B" w:rsidP="0032137B">
            <w:pPr>
              <w:pStyle w:val="BodyText"/>
            </w:pPr>
            <w:r w:rsidRPr="0032137B">
              <w:t>T11</w:t>
            </w:r>
            <w:r w:rsidRPr="0032137B">
              <w:tab/>
              <w:t xml:space="preserve">Validate the interval data with the Responsible Person and/or Meter </w:t>
            </w:r>
            <w:r w:rsidRPr="0032137B">
              <w:t>Data Provider</w:t>
            </w:r>
          </w:p>
          <w:p w:rsidR="00000000" w:rsidRPr="0032137B" w:rsidP="0032137B">
            <w:pPr>
              <w:pStyle w:val="BodyText"/>
            </w:pPr>
            <w:r w:rsidRPr="0032137B">
              <w:t>T12</w:t>
            </w:r>
            <w:r w:rsidRPr="0032137B">
              <w:tab/>
              <w:t>Confirm remote communications with the metering is established and is of sufficient quality to support reliable communications and data transfer</w:t>
            </w:r>
          </w:p>
          <w:p w:rsidR="00000000" w:rsidRPr="0032137B" w:rsidP="0032137B">
            <w:pPr>
              <w:pStyle w:val="BodyText"/>
            </w:pPr>
            <w:r w:rsidRPr="0032137B">
              <w:t>T13</w:t>
            </w:r>
            <w:r w:rsidRPr="0032137B">
              <w:tab/>
              <w:t xml:space="preserve">Standards, codes, Commonwealth/State/Territory legislation, supply authority regulations </w:t>
            </w:r>
            <w:r w:rsidRPr="0032137B">
              <w:t>and or enterprise requirements associated with the commissioning procedures</w:t>
            </w:r>
          </w:p>
          <w:p w:rsidR="00000000" w:rsidRPr="0032137B" w:rsidP="0032137B">
            <w:pPr>
              <w:pStyle w:val="BodyText"/>
            </w:pPr>
            <w:r w:rsidRPr="0032137B">
              <w:t>T14</w:t>
            </w:r>
            <w:r w:rsidRPr="0032137B">
              <w:tab/>
              <w:t>Requirements for the use of, isolation and tagging, manuals, system diagrams/plans and drawings</w:t>
            </w:r>
          </w:p>
          <w:p w:rsidR="00000000" w:rsidRPr="0032137B" w:rsidP="0032137B">
            <w:pPr>
              <w:pStyle w:val="BodyText"/>
            </w:pPr>
            <w:r w:rsidRPr="0032137B">
              <w:t>T15</w:t>
            </w:r>
            <w:r w:rsidRPr="0032137B">
              <w:tab/>
              <w:t>Requirements for the use of maintenance and commissioning manuals, system di</w:t>
            </w:r>
            <w:r w:rsidRPr="0032137B">
              <w:t>agrams/plans and drawings</w:t>
            </w:r>
          </w:p>
          <w:p w:rsidR="00000000" w:rsidRPr="0032137B" w:rsidP="0032137B">
            <w:pPr>
              <w:pStyle w:val="BodyText"/>
            </w:pPr>
            <w:r w:rsidRPr="0032137B">
              <w:t>T16</w:t>
            </w:r>
            <w:r w:rsidRPr="0032137B">
              <w:tab/>
              <w:t>Techniques in commissioning procedures – planning, policy, testing techniques</w:t>
            </w:r>
          </w:p>
          <w:p w:rsidR="00000000" w:rsidRPr="0032137B" w:rsidP="0032137B">
            <w:pPr>
              <w:pStyle w:val="BodyText"/>
            </w:pPr>
            <w:r w:rsidRPr="0032137B">
              <w:t>T17</w:t>
            </w:r>
            <w:r w:rsidRPr="0032137B">
              <w:tab/>
              <w:t>Close out requirements</w:t>
            </w:r>
          </w:p>
          <w:p w:rsidR="00000000" w:rsidRPr="0032137B" w:rsidP="0032137B">
            <w:pPr>
              <w:pStyle w:val="BodyText"/>
            </w:pPr>
            <w:r w:rsidRPr="0032137B">
              <w:t>T18</w:t>
            </w:r>
            <w:r w:rsidRPr="0032137B">
              <w:tab/>
              <w:t>Requirements for the use of meter manufacturer manuals, system diagrams/plans and drawings</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10" w:name="O_464836"/>
      <w:bookmarkEnd w:id="10"/>
      <w:r w:rsidRPr="0032137B">
        <w:t>Evidence Guide</w:t>
      </w:r>
    </w:p>
    <w:tbl>
      <w:tblPr>
        <w:tblW w:w="0" w:type="auto"/>
        <w:tblLayout w:type="fixed"/>
        <w:tblCellMar>
          <w:left w:w="62" w:type="dxa"/>
          <w:right w:w="62" w:type="dxa"/>
        </w:tblCellMar>
        <w:tblLook w:val="0000"/>
      </w:tblPr>
      <w:tblGrid>
        <w:gridCol w:w="8460"/>
      </w:tblGrid>
      <w:tr w:rsidTr="006351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EVIDENCE GUIDE</w:t>
            </w:r>
          </w:p>
        </w:tc>
      </w:tr>
      <w:tr w:rsidTr="006351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9)</w:t>
            </w:r>
            <w:r w:rsidRPr="0032137B">
              <w:t xml:space="preserve"> This provides essential advice for assessment of the unit of competency and must be read in conjunction with the Performance Criteria and the Range Statement of the unit of competency and the Training Package Assessment Gu</w:t>
            </w:r>
            <w:r w:rsidRPr="0032137B">
              <w:t>idelines.</w:t>
            </w:r>
          </w:p>
          <w:p w:rsidR="00000000" w:rsidRPr="0032137B" w:rsidP="0032137B">
            <w:pPr>
              <w:pStyle w:val="BodyText"/>
            </w:pPr>
            <w:r w:rsidRPr="0032137B">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32137B" w:rsidP="0032137B">
      <w:pPr>
        <w:pStyle w:val="BodyText"/>
      </w:pPr>
    </w:p>
    <w:tbl>
      <w:tblPr>
        <w:tblW w:w="0" w:type="auto"/>
        <w:tblLayout w:type="fixed"/>
        <w:tblCellMar>
          <w:left w:w="62" w:type="dxa"/>
          <w:right w:w="62" w:type="dxa"/>
        </w:tblCellMar>
        <w:tblLook w:val="0000"/>
      </w:tblPr>
      <w:tblGrid>
        <w:gridCol w:w="1890"/>
        <w:gridCol w:w="6570"/>
      </w:tblGrid>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 xml:space="preserve">Overview of </w:t>
            </w:r>
            <w:r w:rsidRPr="0032137B">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9.1)</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 xml:space="preserve">Longitudinal competency development approaches to assessment, such as Profiling, require data to be reliably gathered in a form that can be </w:t>
            </w:r>
            <w:r w:rsidRPr="0032137B">
              <w:t>consistently interpreted over time. This approach is best utilised in Apprenticeship programs and reduces assessment intervention. It is the Industry’s preferred model for apprenticeships. However, where summative (or final) assessment is used it is to inc</w:t>
            </w:r>
            <w:r w:rsidRPr="0032137B">
              <w:t>lude the application of the competency in the normal work environment or, at a minimum, the application of the competency in a realistically simulated work environment. It is recognised that, in some circumstances, assessment in part or full can occur outs</w:t>
            </w:r>
            <w:r w:rsidRPr="0032137B">
              <w:t>ide the workplace. However, it must be in accord with Industry and, Regulatory policy in this regard.</w:t>
            </w:r>
          </w:p>
          <w:p w:rsidR="00000000" w:rsidRPr="0032137B" w:rsidP="0032137B">
            <w:pPr>
              <w:pStyle w:val="BodyText"/>
            </w:pPr>
            <w:r w:rsidRPr="0032137B">
              <w:t>Methods chosen for a particular assessment will be influenced by various factors. These include the extent of the assessment, the most effective locations</w:t>
            </w:r>
            <w:r w:rsidRPr="0032137B">
              <w:t xml:space="preserve"> for the assessment activities to take place, access to physical resources, additional safety measures that may be required and the critical nature of the competencies being assessed.</w:t>
            </w:r>
          </w:p>
          <w:p w:rsidR="00000000" w:rsidRPr="0032137B" w:rsidP="0032137B">
            <w:pPr>
              <w:pStyle w:val="BodyText"/>
            </w:pPr>
            <w:r w:rsidRPr="0032137B">
              <w:t>The critical safety nature of working with electricity, electrical equip</w:t>
            </w:r>
            <w:r w:rsidRPr="0032137B">
              <w:t>ment, gas or any other hazardous substance/material carries risk in deeming a person competent. Hence, sources of evidence need to be ‘rich’ in nature so as to minimise error in judgment.</w:t>
            </w:r>
          </w:p>
          <w:p w:rsidR="00000000" w:rsidRPr="0032137B" w:rsidP="0032137B">
            <w:pPr>
              <w:pStyle w:val="BodyText"/>
            </w:pPr>
            <w:r w:rsidRPr="0032137B">
              <w:t>Activities associated with normal every day work have a bearing on t</w:t>
            </w:r>
            <w:r w:rsidRPr="0032137B">
              <w:t>he decision as to how much and how detailed the data gathered will contribute to its ‘richness’. Some skills are more critical to safety and operational requirements while the same skills may be more or less frequently practiced. These points are raised fo</w:t>
            </w:r>
            <w:r w:rsidRPr="0032137B">
              <w:t>r the assessors to consider when choosing an assessment method and developing assessment instruments. Sample assessment instruments are included for Assessors in the Assessment Guidelines of this Training Package.</w:t>
            </w:r>
          </w:p>
        </w:tc>
      </w:tr>
    </w:tbl>
    <w:p w:rsidR="00000000" w:rsidRPr="0032137B" w:rsidP="0032137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Critical aspects of evidence required to</w:t>
            </w:r>
            <w:r w:rsidRPr="0032137B">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9.2)</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Before the critical aspects of evidence are considered all prerequisites shall be met.</w:t>
            </w:r>
          </w:p>
          <w:p w:rsidR="00000000" w:rsidRPr="0032137B" w:rsidP="0032137B">
            <w:pPr>
              <w:pStyle w:val="BodyText"/>
            </w:pPr>
            <w:r w:rsidRPr="0032137B">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32137B" w:rsidP="0032137B">
            <w:pPr>
              <w:pStyle w:val="ListBullet"/>
            </w:pPr>
            <w:r w:rsidRPr="0032137B">
              <w:t>A</w:t>
            </w:r>
            <w:r w:rsidRPr="0032137B">
              <w:t xml:space="preserve"> representative body of Performance Criteria demonstrated within the timeframes typically expected of the discipline, work function and industrial environment. In particular this shall incorporate evidence that shows a candidate is able to:</w:t>
            </w:r>
          </w:p>
          <w:p w:rsidR="00000000" w:rsidRPr="0032137B" w:rsidP="0032137B">
            <w:pPr>
              <w:pStyle w:val="ListBullet2"/>
            </w:pPr>
            <w:r w:rsidRPr="0032137B">
              <w:t>Implement Occu</w:t>
            </w:r>
            <w:r w:rsidRPr="0032137B">
              <w:t>pational Health and Safety workplace procedures and practices including the use of risk control measures as specified in the Performance Criteria and range; and</w:t>
            </w:r>
          </w:p>
          <w:p w:rsidR="00000000" w:rsidRPr="0032137B" w:rsidP="0032137B">
            <w:pPr>
              <w:pStyle w:val="ListBullet2"/>
            </w:pPr>
            <w:r w:rsidRPr="0032137B">
              <w:t xml:space="preserve">Apply sustainable energy principles and practices as specified in the Performance Criteria and </w:t>
            </w:r>
            <w:r w:rsidRPr="0032137B">
              <w:t>range; and</w:t>
            </w:r>
          </w:p>
          <w:p w:rsidR="00000000" w:rsidRPr="0032137B" w:rsidP="0032137B">
            <w:pPr>
              <w:pStyle w:val="ListBullet2"/>
            </w:pPr>
            <w:r w:rsidRPr="0032137B">
              <w:t>Demonstrate an understanding of the essential knowledge and associated skills as described in this unit to such an extent that the learner’s performance outcome is reported in accordance with the preferred approach; namely a percentile graded re</w:t>
            </w:r>
            <w:r w:rsidRPr="0032137B">
              <w:t>sult, where required by the regulated environment; and</w:t>
            </w:r>
          </w:p>
          <w:p w:rsidR="00000000" w:rsidRPr="0032137B" w:rsidP="0032137B">
            <w:pPr>
              <w:pStyle w:val="ListBullet2"/>
            </w:pPr>
            <w:r w:rsidRPr="0032137B">
              <w:t>Demonstrate an appropriate level of employability skills; and</w:t>
            </w:r>
          </w:p>
          <w:p w:rsidR="00000000" w:rsidRPr="0032137B" w:rsidP="0032137B">
            <w:pPr>
              <w:pStyle w:val="ListBullet"/>
            </w:pPr>
            <w:r w:rsidRPr="0032137B">
              <w:t>Conduct work observing the relevant Anti discrimination legislation, regulations, policies and workplace procedures; and</w:t>
            </w:r>
          </w:p>
          <w:p w:rsidR="00000000" w:rsidP="0032137B">
            <w:pPr>
              <w:pStyle w:val="ListBullet2"/>
              <w:rPr>
                <w:lang w:val="en-NZ"/>
              </w:rPr>
            </w:pPr>
            <w:r w:rsidRPr="0032137B">
              <w:t>Demonstrated per</w:t>
            </w:r>
            <w:r w:rsidRPr="0032137B">
              <w:t>formance across a representative range of contexts from the prescribed items below:</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137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rPr>
                <w:rStyle w:val="SpecialBold"/>
              </w:rPr>
              <w:t>Range of tools/equipment/materials/procedures/workplaces/other variables</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32137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7B" w:rsidP="0032137B">
            <w:pPr>
              <w:pStyle w:val="BodyText"/>
            </w:pPr>
            <w:r w:rsidRPr="0032137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7B" w:rsidP="0032137B">
            <w:pPr>
              <w:pStyle w:val="BodyText"/>
            </w:pPr>
            <w:r w:rsidRPr="0032137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rPr>
                <w:rStyle w:val="SpecialBold"/>
              </w:rPr>
              <w:t>Item List</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Perform, on at least three (3) occasions, the commissioning of the following metering schemes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7B" w:rsidP="0032137B">
            <w:pPr>
              <w:pStyle w:val="BodyText"/>
            </w:pPr>
            <w:r w:rsidRPr="0032137B">
              <w:t>Single feeder HV</w:t>
            </w:r>
          </w:p>
          <w:p w:rsidR="00000000" w:rsidP="0032137B">
            <w:pPr>
              <w:pStyle w:val="BodyText"/>
              <w:rPr>
                <w:lang w:val="en-NZ"/>
              </w:rPr>
            </w:pPr>
            <w:r w:rsidRPr="0032137B">
              <w:t>LV CT customer sites</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Perform, on at least three (3) occasions, commissioning involving at least seven (7)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7B" w:rsidP="0032137B">
            <w:pPr>
              <w:pStyle w:val="BodyText"/>
            </w:pPr>
            <w:r w:rsidRPr="0032137B">
              <w:t>Isolatio</w:t>
            </w:r>
            <w:r w:rsidRPr="0032137B">
              <w:t>n</w:t>
            </w:r>
          </w:p>
          <w:p w:rsidR="00000000" w:rsidRPr="0032137B" w:rsidP="0032137B">
            <w:pPr>
              <w:pStyle w:val="BodyText"/>
            </w:pPr>
            <w:r w:rsidRPr="0032137B">
              <w:t>Inspection</w:t>
            </w:r>
          </w:p>
          <w:p w:rsidR="00000000" w:rsidRPr="0032137B" w:rsidP="0032137B">
            <w:pPr>
              <w:pStyle w:val="BodyText"/>
            </w:pPr>
            <w:r w:rsidRPr="0032137B">
              <w:t>Monitoring</w:t>
            </w:r>
          </w:p>
          <w:p w:rsidR="00000000" w:rsidRPr="0032137B" w:rsidP="0032137B">
            <w:pPr>
              <w:pStyle w:val="BodyText"/>
            </w:pPr>
            <w:r w:rsidRPr="0032137B">
              <w:t>Testing</w:t>
            </w:r>
          </w:p>
          <w:p w:rsidR="00000000" w:rsidRPr="0032137B" w:rsidP="0032137B">
            <w:pPr>
              <w:pStyle w:val="BodyText"/>
            </w:pPr>
            <w:r w:rsidRPr="0032137B">
              <w:t>Adjustment</w:t>
            </w:r>
          </w:p>
          <w:p w:rsidR="00000000" w:rsidRPr="0032137B" w:rsidP="0032137B">
            <w:pPr>
              <w:pStyle w:val="BodyText"/>
            </w:pPr>
            <w:r w:rsidRPr="0032137B">
              <w:t>Repair</w:t>
            </w:r>
          </w:p>
          <w:p w:rsidR="00000000" w:rsidRPr="0032137B" w:rsidP="0032137B">
            <w:pPr>
              <w:pStyle w:val="BodyText"/>
            </w:pPr>
            <w:r w:rsidRPr="0032137B">
              <w:t>Refurbishment and or overhaul</w:t>
            </w:r>
          </w:p>
          <w:p w:rsidR="00000000" w:rsidP="0032137B">
            <w:pPr>
              <w:pStyle w:val="BodyText"/>
              <w:rPr>
                <w:lang w:val="en-NZ"/>
              </w:rPr>
            </w:pPr>
            <w:r w:rsidRPr="0032137B">
              <w:t>Functional checks of revenue metering schemes</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 xml:space="preserve">Demonstrate, on at least three (3) </w:t>
            </w:r>
            <w:r w:rsidRPr="0032137B">
              <w:t>occasion, knowledge and application of at least two different manufacturers: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7B" w:rsidP="0032137B">
            <w:pPr>
              <w:pStyle w:val="BodyText"/>
            </w:pPr>
            <w:r w:rsidRPr="0032137B">
              <w:t xml:space="preserve">Proprietary software </w:t>
            </w:r>
          </w:p>
          <w:p w:rsidR="00000000" w:rsidRPr="0032137B" w:rsidP="0032137B">
            <w:pPr>
              <w:pStyle w:val="BodyText"/>
            </w:pPr>
            <w:r w:rsidRPr="0032137B">
              <w:t>Application programming</w:t>
            </w:r>
          </w:p>
          <w:p w:rsidR="00000000" w:rsidP="0032137B">
            <w:pPr>
              <w:pStyle w:val="BodyText"/>
              <w:rPr>
                <w:lang w:val="en-NZ"/>
              </w:rPr>
            </w:pPr>
            <w:r w:rsidRPr="0032137B">
              <w:t>Interrogations</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Undertake, on at least three (3)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7B" w:rsidP="0032137B">
            <w:pPr>
              <w:pStyle w:val="BodyText"/>
            </w:pPr>
            <w:r w:rsidRPr="0032137B">
              <w:t>Calculations including obtain final revenue multiplier.</w:t>
            </w:r>
          </w:p>
          <w:p w:rsidR="00000000" w:rsidP="0032137B">
            <w:pPr>
              <w:pStyle w:val="BodyText"/>
              <w:rPr>
                <w:lang w:val="en-NZ"/>
              </w:rPr>
            </w:pPr>
            <w:r w:rsidRPr="0032137B">
              <w:t>Validation of meter pulse multiplier</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137B">
            <w:pPr>
              <w:pStyle w:val="BodyText"/>
              <w:rPr>
                <w:lang w:val="en-NZ"/>
              </w:rPr>
            </w:pPr>
            <w:r w:rsidRPr="0032137B">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137B" w:rsidP="0032137B">
            <w:pPr>
              <w:pStyle w:val="BodyText"/>
            </w:pPr>
            <w:r w:rsidRPr="0032137B">
              <w:t>Dealing with an unplanned event by drawing on essential knowledge and associated skills to provide appropriate solutions incorporated in the holistic assessment with the above listed items.</w:t>
            </w:r>
          </w:p>
        </w:tc>
      </w:tr>
    </w:tbl>
    <w:p w:rsidR="00000000" w:rsidRPr="0032137B" w:rsidP="0032137B">
      <w:pPr>
        <w:pStyle w:val="BodyText"/>
      </w:pPr>
    </w:p>
    <w:tbl>
      <w:tblPr>
        <w:tblW w:w="0" w:type="auto"/>
        <w:tblLayout w:type="fixed"/>
        <w:tblCellMar>
          <w:left w:w="62" w:type="dxa"/>
          <w:right w:w="62" w:type="dxa"/>
        </w:tblCellMar>
        <w:tblLook w:val="0000"/>
      </w:tblPr>
      <w:tblGrid>
        <w:gridCol w:w="1890"/>
        <w:gridCol w:w="6570"/>
      </w:tblGrid>
      <w:tr w:rsidTr="0063513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Contex</w:t>
            </w:r>
            <w:r w:rsidRPr="0032137B">
              <w:rPr>
                <w:rStyle w:val="SpecialBold"/>
              </w:rPr>
              <w:t>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9.3)</w:t>
            </w:r>
          </w:p>
        </w:tc>
      </w:tr>
      <w:tr w:rsidTr="0063513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This unit should be assessed as it relates to normal work practice using procedures, information and resources typical of a workplace. This should include:</w:t>
            </w:r>
          </w:p>
          <w:p w:rsidR="00000000" w:rsidRPr="0032137B" w:rsidP="0032137B">
            <w:pPr>
              <w:pStyle w:val="ListBullet"/>
            </w:pPr>
            <w:r w:rsidRPr="0032137B">
              <w:t>OHS policy and work procedures and instructions.</w:t>
            </w:r>
          </w:p>
          <w:p w:rsidR="00000000" w:rsidRPr="0032137B" w:rsidP="0032137B">
            <w:pPr>
              <w:pStyle w:val="ListBullet"/>
            </w:pPr>
            <w:r w:rsidRPr="0032137B">
              <w:t>Suitable work environment, facilities, equipment and materials to undertake actual commissioning of energy/revenue metering schemes.</w:t>
            </w:r>
          </w:p>
          <w:p w:rsidR="00000000" w:rsidRPr="0032137B" w:rsidP="0032137B">
            <w:pPr>
              <w:pStyle w:val="ListBullet"/>
            </w:pPr>
            <w:r w:rsidRPr="0032137B">
              <w:t>Operational access to relevant plant, drawings, manufacture’s specifications/manuals and specialised testing equipment.</w:t>
            </w:r>
          </w:p>
          <w:p w:rsidR="00000000" w:rsidRPr="0032137B" w:rsidP="0032137B">
            <w:pPr>
              <w:pStyle w:val="BodyText"/>
            </w:pPr>
            <w:r w:rsidRPr="0032137B">
              <w:t xml:space="preserve">In </w:t>
            </w:r>
            <w:r w:rsidRPr="0032137B">
              <w:t>addition to the resources listed above, in Context of and specific resources for assessment, evidence should show demonstrated competency working in realistic environment and a variety of conditions.</w:t>
            </w:r>
          </w:p>
        </w:tc>
      </w:tr>
    </w:tbl>
    <w:p w:rsidR="00000000" w:rsidRPr="0032137B" w:rsidP="0032137B">
      <w:pPr>
        <w:pStyle w:val="BodyText"/>
      </w:pPr>
    </w:p>
    <w:tbl>
      <w:tblPr>
        <w:tblW w:w="0" w:type="auto"/>
        <w:tblLayout w:type="fixed"/>
        <w:tblCellMar>
          <w:left w:w="62" w:type="dxa"/>
          <w:right w:w="62" w:type="dxa"/>
        </w:tblCellMar>
        <w:tblLook w:val="0000"/>
      </w:tblPr>
      <w:tblGrid>
        <w:gridCol w:w="1890"/>
        <w:gridCol w:w="6570"/>
      </w:tblGrid>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9.4)</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This Competency Standard Unit shall be assessed by methods given in Volume 1, Part 3 “Assessment Guidelines”.</w:t>
            </w:r>
          </w:p>
          <w:p w:rsidR="00000000" w:rsidRPr="0032137B" w:rsidP="0032137B">
            <w:pPr>
              <w:pStyle w:val="BodyText"/>
            </w:pPr>
            <w:r w:rsidRPr="0032137B">
              <w:t>Note:</w:t>
            </w:r>
          </w:p>
          <w:p w:rsidR="00000000" w:rsidRPr="0032137B" w:rsidP="0032137B">
            <w:pPr>
              <w:pStyle w:val="BodyText"/>
            </w:pPr>
            <w:r w:rsidRPr="0032137B">
              <w:t>Competent performance with inherent safe working practices is expected in the Transmission, Distribution and Rail Traction Industry. This re</w:t>
            </w:r>
            <w:r w:rsidRPr="0032137B">
              <w:t>quires that the specified essential knowledge and associated skills are assessed in a structured environment which is primarily intended for learning/assessment and incorporates all necessary equipment and facilities for learners to develop and demonstrate</w:t>
            </w:r>
            <w:r w:rsidRPr="0032137B">
              <w:t xml:space="preserve"> the essential knowledge and associated skills described in this unit.</w:t>
            </w:r>
          </w:p>
        </w:tc>
      </w:tr>
    </w:tbl>
    <w:p w:rsidR="00000000" w:rsidRPr="0032137B" w:rsidP="0032137B">
      <w:pPr>
        <w:pStyle w:val="BodyText"/>
      </w:pPr>
    </w:p>
    <w:tbl>
      <w:tblPr>
        <w:tblW w:w="0" w:type="auto"/>
        <w:tblLayout w:type="fixed"/>
        <w:tblCellMar>
          <w:left w:w="62" w:type="dxa"/>
          <w:right w:w="62" w:type="dxa"/>
        </w:tblCellMar>
        <w:tblLook w:val="0000"/>
      </w:tblPr>
      <w:tblGrid>
        <w:gridCol w:w="1890"/>
        <w:gridCol w:w="6570"/>
      </w:tblGrid>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9.5)</w:t>
            </w:r>
          </w:p>
        </w:tc>
      </w:tr>
      <w:tr w:rsidTr="006351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There are no concurrent assessment recommendations for this unit.</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11" w:name="O_464840"/>
      <w:bookmarkEnd w:id="11"/>
      <w:r w:rsidRPr="0032137B">
        <w:t>Range Statement</w:t>
      </w:r>
    </w:p>
    <w:tbl>
      <w:tblPr>
        <w:tblW w:w="0" w:type="auto"/>
        <w:tblLayout w:type="fixed"/>
        <w:tblCellMar>
          <w:left w:w="62" w:type="dxa"/>
          <w:right w:w="62" w:type="dxa"/>
        </w:tblCellMar>
        <w:tblLook w:val="0000"/>
      </w:tblPr>
      <w:tblGrid>
        <w:gridCol w:w="8460"/>
      </w:tblGrid>
      <w:tr w:rsidTr="006351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RANGE STATEMENT</w:t>
            </w:r>
          </w:p>
        </w:tc>
      </w:tr>
      <w:tr w:rsidTr="006351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10)</w:t>
            </w:r>
            <w:r w:rsidRPr="0032137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32137B" w:rsidP="0032137B">
            <w:pPr>
              <w:pStyle w:val="BodyText"/>
            </w:pPr>
            <w:r w:rsidRPr="0032137B">
              <w:t>This Competency Standard Un</w:t>
            </w:r>
            <w:r w:rsidRPr="0032137B">
              <w:t>it shall be demonstrated in relation to the commissioning of energy/revenue metering schemes and may include the following:</w:t>
            </w:r>
          </w:p>
          <w:p w:rsidR="00000000" w:rsidRPr="0032137B" w:rsidP="0032137B">
            <w:pPr>
              <w:pStyle w:val="BodyText"/>
            </w:pPr>
            <w:r w:rsidRPr="0032137B">
              <w:t xml:space="preserve">Metering schemes including single feeder HV metering sites and LV CT customer sites. </w:t>
            </w:r>
          </w:p>
          <w:p w:rsidR="00000000" w:rsidRPr="0032137B" w:rsidP="0032137B">
            <w:pPr>
              <w:pStyle w:val="BodyText"/>
            </w:pPr>
            <w:r w:rsidRPr="0032137B">
              <w:t>Isolation, inspection, monitoring, testing, ad</w:t>
            </w:r>
            <w:r w:rsidRPr="0032137B">
              <w:t>justment, repair, refurbishment and or overhaul and functional checks of revenue metering schemes.</w:t>
            </w:r>
          </w:p>
          <w:p w:rsidR="00000000" w:rsidRPr="0032137B" w:rsidP="0032137B">
            <w:pPr>
              <w:pStyle w:val="BodyText"/>
            </w:pPr>
            <w:r w:rsidRPr="0032137B">
              <w:t>This includes the knowledge and use of multiple proprietary software, application programming, interrogations.</w:t>
            </w:r>
          </w:p>
          <w:p w:rsidR="00000000" w:rsidRPr="0032137B" w:rsidP="0032137B">
            <w:pPr>
              <w:pStyle w:val="BodyText"/>
            </w:pPr>
            <w:r w:rsidRPr="0032137B">
              <w:t>Calculations including obtain final revenue mu</w:t>
            </w:r>
            <w:r w:rsidRPr="0032137B">
              <w:t>ltiplier.</w:t>
            </w:r>
          </w:p>
          <w:p w:rsidR="00000000" w:rsidRPr="0032137B" w:rsidP="0032137B">
            <w:pPr>
              <w:pStyle w:val="BodyText"/>
            </w:pPr>
            <w:r w:rsidRPr="0032137B">
              <w:t>Validation of meter pulse multiplier.</w:t>
            </w:r>
          </w:p>
          <w:p w:rsidR="00000000" w:rsidRPr="0032137B" w:rsidP="0032137B">
            <w:pPr>
              <w:pStyle w:val="BodyText"/>
            </w:pPr>
            <w:r w:rsidRPr="0032137B">
              <w:t>It also includes the requirements to prove the functionality of the metering scheme in accordance with electrical installation (state and national) standards, metrology procedures and compliance to Tariff req</w:t>
            </w:r>
            <w:r w:rsidRPr="0032137B">
              <w:t>uirements.</w:t>
            </w:r>
          </w:p>
          <w:p w:rsidR="00000000" w:rsidRPr="0032137B" w:rsidP="0032137B">
            <w:pPr>
              <w:pStyle w:val="BodyText"/>
            </w:pPr>
            <w:r w:rsidRPr="0032137B">
              <w:t>The following constants and variables included in the element/Performance Criteria in this unit are fully described in the Definitions Section 1 of this volume and form an integral part of the Range Statement of this unit:</w:t>
            </w:r>
          </w:p>
          <w:p w:rsidR="00000000" w:rsidRPr="0032137B" w:rsidP="0032137B">
            <w:pPr>
              <w:pStyle w:val="ListBullet3"/>
            </w:pPr>
            <w:r w:rsidRPr="0032137B">
              <w:t>Appropriate and relev</w:t>
            </w:r>
            <w:r w:rsidRPr="0032137B">
              <w:t>ant persons (see Personnel)</w:t>
            </w:r>
          </w:p>
          <w:p w:rsidR="00000000" w:rsidRPr="0032137B" w:rsidP="0032137B">
            <w:pPr>
              <w:pStyle w:val="ListBullet3"/>
            </w:pPr>
            <w:r w:rsidRPr="0032137B">
              <w:t>Appropriate authorities</w:t>
            </w:r>
          </w:p>
          <w:p w:rsidR="00000000" w:rsidRPr="0032137B" w:rsidP="0032137B">
            <w:pPr>
              <w:pStyle w:val="ListBullet3"/>
            </w:pPr>
            <w:r w:rsidRPr="0032137B">
              <w:t>Appropriate work platform</w:t>
            </w:r>
          </w:p>
          <w:p w:rsidR="00000000" w:rsidRPr="0032137B" w:rsidP="0032137B">
            <w:pPr>
              <w:pStyle w:val="ListBullet3"/>
            </w:pPr>
            <w:r w:rsidRPr="0032137B">
              <w:t>Assessing risk</w:t>
            </w:r>
          </w:p>
          <w:p w:rsidR="00000000" w:rsidRPr="0032137B" w:rsidP="0032137B">
            <w:pPr>
              <w:pStyle w:val="ListBullet3"/>
            </w:pPr>
            <w:r w:rsidRPr="0032137B">
              <w:t>Assessment</w:t>
            </w:r>
          </w:p>
          <w:p w:rsidR="00000000" w:rsidRPr="0032137B" w:rsidP="0032137B">
            <w:pPr>
              <w:pStyle w:val="ListBullet3"/>
            </w:pPr>
            <w:r w:rsidRPr="0032137B">
              <w:t>Authorisation</w:t>
            </w:r>
          </w:p>
          <w:p w:rsidR="00000000" w:rsidRPr="0032137B" w:rsidP="0032137B">
            <w:pPr>
              <w:pStyle w:val="ListBullet3"/>
            </w:pPr>
            <w:r w:rsidRPr="0032137B">
              <w:t>Confined space</w:t>
            </w:r>
          </w:p>
          <w:p w:rsidR="00000000" w:rsidRPr="0032137B" w:rsidP="0032137B">
            <w:pPr>
              <w:pStyle w:val="ListBullet3"/>
            </w:pPr>
            <w:r w:rsidRPr="0032137B">
              <w:t>Diagnostic, testing and restoration</w:t>
            </w:r>
          </w:p>
          <w:p w:rsidR="00000000" w:rsidRPr="0032137B" w:rsidP="0032137B">
            <w:pPr>
              <w:pStyle w:val="ListBullet3"/>
            </w:pPr>
            <w:r w:rsidRPr="0032137B">
              <w:t>Documenting detail work events, record keeping and or storage of information</w:t>
            </w:r>
          </w:p>
          <w:p w:rsidR="00000000" w:rsidRPr="0032137B" w:rsidP="0032137B">
            <w:pPr>
              <w:pStyle w:val="ListBullet3"/>
            </w:pPr>
            <w:r w:rsidRPr="0032137B">
              <w:t>Drawings and specifications</w:t>
            </w:r>
          </w:p>
          <w:p w:rsidR="00000000" w:rsidRPr="0032137B" w:rsidP="0032137B">
            <w:pPr>
              <w:pStyle w:val="ListBullet3"/>
            </w:pPr>
            <w:r w:rsidRPr="0032137B">
              <w:t>Emergency</w:t>
            </w:r>
          </w:p>
          <w:p w:rsidR="00000000" w:rsidRPr="0032137B" w:rsidP="0032137B">
            <w:pPr>
              <w:pStyle w:val="ListBullet3"/>
            </w:pPr>
            <w:r w:rsidRPr="0032137B">
              <w:t>Environmental and sustainable energy procedures</w:t>
            </w:r>
          </w:p>
          <w:p w:rsidR="00000000" w:rsidRPr="0032137B" w:rsidP="0032137B">
            <w:pPr>
              <w:pStyle w:val="ListBullet3"/>
            </w:pPr>
            <w:r w:rsidRPr="0032137B">
              <w:t>Environmental legislation</w:t>
            </w:r>
          </w:p>
          <w:p w:rsidR="00000000" w:rsidRPr="0032137B" w:rsidP="0032137B">
            <w:pPr>
              <w:pStyle w:val="ListBullet3"/>
            </w:pPr>
            <w:r w:rsidRPr="0032137B">
              <w:t>Environmental management documentation</w:t>
            </w:r>
          </w:p>
          <w:p w:rsidR="00000000" w:rsidRPr="0032137B" w:rsidP="0032137B">
            <w:pPr>
              <w:pStyle w:val="ListBullet3"/>
            </w:pPr>
            <w:r w:rsidRPr="0032137B">
              <w:t>Established procedures</w:t>
            </w:r>
          </w:p>
          <w:p w:rsidR="00000000" w:rsidRPr="0032137B" w:rsidP="0032137B">
            <w:pPr>
              <w:pStyle w:val="ListBullet3"/>
            </w:pPr>
            <w:r w:rsidRPr="0032137B">
              <w:t>Fall prevention</w:t>
            </w:r>
          </w:p>
          <w:p w:rsidR="00000000" w:rsidRPr="0032137B" w:rsidP="0032137B">
            <w:pPr>
              <w:pStyle w:val="ListBullet3"/>
            </w:pPr>
            <w:r w:rsidRPr="0032137B">
              <w:t>Hazards</w:t>
            </w:r>
          </w:p>
          <w:p w:rsidR="00000000" w:rsidRPr="0032137B" w:rsidP="0032137B">
            <w:pPr>
              <w:pStyle w:val="ListBullet3"/>
            </w:pPr>
            <w:r w:rsidRPr="0032137B">
              <w:t>Identifying hazards</w:t>
            </w:r>
          </w:p>
          <w:p w:rsidR="00000000" w:rsidRPr="0032137B" w:rsidP="0032137B">
            <w:pPr>
              <w:pStyle w:val="ListBullet3"/>
            </w:pPr>
            <w:r w:rsidRPr="0032137B">
              <w:t>Inspect</w:t>
            </w:r>
          </w:p>
          <w:p w:rsidR="00000000" w:rsidRPr="0032137B" w:rsidP="0032137B">
            <w:pPr>
              <w:pStyle w:val="ListBullet3"/>
            </w:pPr>
            <w:r w:rsidRPr="0032137B">
              <w:t>Legislation</w:t>
            </w:r>
          </w:p>
          <w:p w:rsidR="00000000" w:rsidRPr="0032137B" w:rsidP="0032137B">
            <w:pPr>
              <w:pStyle w:val="ListBullet3"/>
            </w:pPr>
            <w:r w:rsidRPr="0032137B">
              <w:t>MSDS</w:t>
            </w:r>
          </w:p>
          <w:p w:rsidR="00000000" w:rsidRPr="0032137B" w:rsidP="0032137B">
            <w:pPr>
              <w:pStyle w:val="ListBullet3"/>
            </w:pPr>
            <w:r w:rsidRPr="0032137B">
              <w:t>Notification</w:t>
            </w:r>
          </w:p>
          <w:p w:rsidR="00000000" w:rsidRPr="0032137B" w:rsidP="0032137B">
            <w:pPr>
              <w:pStyle w:val="ListBullet3"/>
            </w:pPr>
            <w:r w:rsidRPr="0032137B">
              <w:t>OHS practices</w:t>
            </w:r>
          </w:p>
          <w:p w:rsidR="00000000" w:rsidRPr="0032137B" w:rsidP="0032137B">
            <w:pPr>
              <w:pStyle w:val="ListBullet3"/>
            </w:pPr>
            <w:r w:rsidRPr="0032137B">
              <w:t>OHS issues</w:t>
            </w:r>
          </w:p>
          <w:p w:rsidR="00000000" w:rsidRPr="0032137B" w:rsidP="0032137B">
            <w:pPr>
              <w:pStyle w:val="ListBullet3"/>
            </w:pPr>
            <w:r w:rsidRPr="0032137B">
              <w:t>Permits and/or permits to work</w:t>
            </w:r>
          </w:p>
          <w:p w:rsidR="00000000" w:rsidRPr="0032137B" w:rsidP="0032137B">
            <w:pPr>
              <w:pStyle w:val="ListBullet3"/>
            </w:pPr>
            <w:r w:rsidRPr="0032137B">
              <w:t>Personnel</w:t>
            </w:r>
          </w:p>
          <w:p w:rsidR="00000000" w:rsidRPr="0032137B" w:rsidP="0032137B">
            <w:pPr>
              <w:pStyle w:val="ListBullet3"/>
            </w:pPr>
            <w:r w:rsidRPr="0032137B">
              <w:t>Quality assurance systems</w:t>
            </w:r>
          </w:p>
          <w:p w:rsidR="00000000" w:rsidRPr="0032137B" w:rsidP="0032137B">
            <w:pPr>
              <w:pStyle w:val="ListBullet3"/>
            </w:pPr>
            <w:r w:rsidRPr="0032137B">
              <w:t>Requirements</w:t>
            </w:r>
          </w:p>
          <w:p w:rsidR="00000000" w:rsidRPr="0032137B" w:rsidP="0032137B">
            <w:pPr>
              <w:pStyle w:val="ListBullet3"/>
            </w:pPr>
            <w:r w:rsidRPr="0032137B">
              <w:t>Testing procedures</w:t>
            </w:r>
          </w:p>
          <w:p w:rsidR="00000000" w:rsidRPr="0032137B" w:rsidP="0032137B">
            <w:pPr>
              <w:pStyle w:val="ListBullet3"/>
            </w:pPr>
            <w:r w:rsidRPr="0032137B">
              <w:t>Work clearance systems</w:t>
            </w:r>
          </w:p>
        </w:tc>
      </w:tr>
    </w:tbl>
    <w:p w:rsidR="00000000" w:rsidRPr="0032137B" w:rsidP="0032137B">
      <w:pPr>
        <w:pStyle w:val="BodyText"/>
      </w:pPr>
    </w:p>
    <w:p w:rsidR="00000000" w:rsidRPr="0032137B" w:rsidP="0032137B">
      <w:pPr>
        <w:pStyle w:val="AllowPageBreak"/>
      </w:pPr>
    </w:p>
    <w:p w:rsidR="00000000" w:rsidRPr="0032137B" w:rsidP="0032137B">
      <w:pPr>
        <w:pStyle w:val="Heading1"/>
      </w:pPr>
      <w:bookmarkStart w:id="12" w:name="O_464843"/>
      <w:bookmarkEnd w:id="12"/>
      <w:r w:rsidRPr="0032137B">
        <w:t>Unit Sector(s)</w:t>
      </w:r>
    </w:p>
    <w:p w:rsidR="00000000" w:rsidRPr="0032137B" w:rsidP="0032137B">
      <w:pPr>
        <w:pStyle w:val="BodyText"/>
      </w:pPr>
      <w:r w:rsidRPr="0032137B">
        <w:t>Not applicable.</w:t>
      </w:r>
    </w:p>
    <w:p w:rsidR="00000000" w:rsidRPr="0032137B" w:rsidP="0032137B">
      <w:pPr>
        <w:pStyle w:val="AllowPageBreak"/>
      </w:pPr>
    </w:p>
    <w:p w:rsidR="00000000" w:rsidRPr="0032137B" w:rsidP="0032137B">
      <w:pPr>
        <w:pStyle w:val="Heading1"/>
      </w:pPr>
      <w:bookmarkStart w:id="13" w:name="O_464832"/>
      <w:bookmarkEnd w:id="13"/>
      <w:r w:rsidRPr="0032137B">
        <w:t>Competency Field</w:t>
      </w:r>
    </w:p>
    <w:tbl>
      <w:tblPr>
        <w:tblW w:w="0" w:type="auto"/>
        <w:tblLayout w:type="fixed"/>
        <w:tblCellMar>
          <w:left w:w="62" w:type="dxa"/>
          <w:right w:w="62" w:type="dxa"/>
        </w:tblCellMar>
        <w:tblLook w:val="0000"/>
      </w:tblPr>
      <w:tblGrid>
        <w:gridCol w:w="2700"/>
        <w:gridCol w:w="5760"/>
      </w:tblGrid>
      <w:tr w:rsidTr="006351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137B">
            <w:pPr>
              <w:pStyle w:val="BodyText"/>
              <w:rPr>
                <w:lang w:val="en-NZ"/>
              </w:rPr>
            </w:pPr>
            <w:r w:rsidRPr="0032137B">
              <w:rPr>
                <w:rStyle w:val="SpecialBold"/>
              </w:rPr>
              <w:t xml:space="preserve">11) </w:t>
            </w:r>
          </w:p>
        </w:tc>
      </w:tr>
      <w:tr w:rsidTr="006351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137B" w:rsidP="0032137B">
            <w:pPr>
              <w:pStyle w:val="BodyText"/>
            </w:pPr>
            <w:r w:rsidRPr="0032137B">
              <w:t>Testing Units</w:t>
            </w:r>
          </w:p>
        </w:tc>
      </w:tr>
    </w:tbl>
    <w:p w:rsidR="00000000" w:rsidRPr="0032137B" w:rsidP="0032137B">
      <w:pPr>
        <w:pStyle w:val="BodyText"/>
      </w:pPr>
    </w:p>
    <w:p w:rsidR="00000000" w:rsidRPr="0032137B" w:rsidP="0032137B"/>
    <w:sectPr w:rsidSect="00321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7B" w:rsidRPr="0063513F" w:rsidP="00635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3F" w:rsidP="00321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3513F" w:rsidP="003213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3513F" w:rsidP="00321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7B" w:rsidRPr="0063513F" w:rsidP="006351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3F" w:rsidRPr="002D2AF8" w:rsidP="0032137B">
    <w:pPr>
      <w:pStyle w:val="Header"/>
      <w:framePr w:wrap="around"/>
    </w:pPr>
    <w:r>
      <w:fldChar w:fldCharType="begin"/>
    </w:r>
    <w:r>
      <w:instrText xml:space="preserve"> TITLE   \* MERGEFORMAT </w:instrText>
    </w:r>
    <w:r>
      <w:fldChar w:fldCharType="separate"/>
    </w:r>
    <w:r>
      <w:t>UETTDRTS43A Commission energy/revenue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3513F" w:rsidP="00321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E49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25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B87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37B"/>
    <w:pPr>
      <w:spacing w:before="360" w:after="60"/>
      <w:outlineLvl w:val="0"/>
    </w:pPr>
    <w:rPr>
      <w:sz w:val="32"/>
    </w:rPr>
  </w:style>
  <w:style w:type="paragraph" w:styleId="Heading2">
    <w:name w:val="heading 2"/>
    <w:basedOn w:val="HeadingBase"/>
    <w:next w:val="BodyText"/>
    <w:link w:val="Heading2Char"/>
    <w:qFormat/>
    <w:rsid w:val="0032137B"/>
    <w:pPr>
      <w:keepLines/>
      <w:spacing w:before="240" w:after="120"/>
      <w:outlineLvl w:val="1"/>
    </w:pPr>
    <w:rPr>
      <w:sz w:val="28"/>
      <w:szCs w:val="40"/>
    </w:rPr>
  </w:style>
  <w:style w:type="paragraph" w:styleId="Heading3">
    <w:name w:val="heading 3"/>
    <w:basedOn w:val="HeadingBase"/>
    <w:next w:val="BodyText"/>
    <w:link w:val="Heading3Char"/>
    <w:qFormat/>
    <w:rsid w:val="0032137B"/>
    <w:pPr>
      <w:spacing w:before="180" w:after="120"/>
      <w:outlineLvl w:val="2"/>
    </w:pPr>
    <w:rPr>
      <w:spacing w:val="-10"/>
      <w:kern w:val="32"/>
    </w:rPr>
  </w:style>
  <w:style w:type="paragraph" w:styleId="Heading4">
    <w:name w:val="heading 4"/>
    <w:basedOn w:val="HeadingBase"/>
    <w:next w:val="BodyText"/>
    <w:link w:val="Heading4Char"/>
    <w:qFormat/>
    <w:rsid w:val="0032137B"/>
    <w:pPr>
      <w:spacing w:before="160" w:after="120"/>
      <w:outlineLvl w:val="3"/>
    </w:pPr>
    <w:rPr>
      <w:sz w:val="22"/>
    </w:rPr>
  </w:style>
  <w:style w:type="paragraph" w:styleId="Heading5">
    <w:name w:val="heading 5"/>
    <w:basedOn w:val="HeadingBase"/>
    <w:next w:val="Normal"/>
    <w:link w:val="Heading5Char"/>
    <w:qFormat/>
    <w:rsid w:val="0032137B"/>
    <w:pPr>
      <w:spacing w:before="80"/>
      <w:outlineLvl w:val="4"/>
    </w:pPr>
    <w:rPr>
      <w:color w:val="918585"/>
      <w:sz w:val="20"/>
    </w:rPr>
  </w:style>
  <w:style w:type="paragraph" w:styleId="Heading6">
    <w:name w:val="heading 6"/>
    <w:basedOn w:val="HeadingBase"/>
    <w:next w:val="Normal"/>
    <w:link w:val="Heading6Char"/>
    <w:qFormat/>
    <w:rsid w:val="0032137B"/>
    <w:pPr>
      <w:spacing w:before="60"/>
      <w:outlineLvl w:val="5"/>
    </w:pPr>
    <w:rPr>
      <w:color w:val="918585"/>
      <w:sz w:val="20"/>
    </w:rPr>
  </w:style>
  <w:style w:type="paragraph" w:styleId="Heading7">
    <w:name w:val="heading 7"/>
    <w:basedOn w:val="Normal"/>
    <w:next w:val="Normal"/>
    <w:link w:val="Heading7Char"/>
    <w:qFormat/>
    <w:rsid w:val="0032137B"/>
    <w:pPr>
      <w:ind w:left="720"/>
      <w:outlineLvl w:val="6"/>
    </w:pPr>
    <w:rPr>
      <w:i/>
    </w:rPr>
  </w:style>
  <w:style w:type="paragraph" w:styleId="Heading8">
    <w:name w:val="heading 8"/>
    <w:basedOn w:val="Normal"/>
    <w:next w:val="Normal"/>
    <w:link w:val="Heading8Char"/>
    <w:qFormat/>
    <w:rsid w:val="0032137B"/>
    <w:pPr>
      <w:ind w:left="720"/>
      <w:outlineLvl w:val="7"/>
    </w:pPr>
    <w:rPr>
      <w:i/>
    </w:rPr>
  </w:style>
  <w:style w:type="paragraph" w:styleId="Heading9">
    <w:name w:val="heading 9"/>
    <w:basedOn w:val="Normal"/>
    <w:next w:val="Normal"/>
    <w:link w:val="Heading9Char"/>
    <w:qFormat/>
    <w:rsid w:val="0032137B"/>
    <w:pPr>
      <w:ind w:left="720"/>
      <w:outlineLvl w:val="8"/>
    </w:pPr>
    <w:rPr>
      <w:i/>
    </w:rPr>
  </w:style>
  <w:style w:type="character" w:default="1" w:styleId="DefaultParagraphFont">
    <w:name w:val="Default Paragraph Font"/>
    <w:uiPriority w:val="1"/>
    <w:unhideWhenUsed/>
    <w:rsid w:val="00321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37B"/>
  </w:style>
  <w:style w:type="character" w:customStyle="1" w:styleId="Heading1Char">
    <w:name w:val="Heading 1 Char"/>
    <w:basedOn w:val="DefaultParagraphFont"/>
    <w:link w:val="Heading1"/>
    <w:rsid w:val="0032137B"/>
    <w:rPr>
      <w:rFonts w:ascii="Times New Roman" w:eastAsia="Times New Roman" w:hAnsi="Times New Roman" w:cs="Times New Roman"/>
      <w:b/>
      <w:sz w:val="32"/>
      <w:szCs w:val="20"/>
      <w:lang w:eastAsia="en-US"/>
    </w:rPr>
  </w:style>
  <w:style w:type="paragraph" w:styleId="BodyText">
    <w:name w:val="Body Text"/>
    <w:basedOn w:val="Normal"/>
    <w:link w:val="BodyTextChar"/>
    <w:rsid w:val="003213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137B"/>
    <w:rPr>
      <w:rFonts w:ascii="Times New Roman" w:eastAsia="Times New Roman" w:hAnsi="Times New Roman" w:cs="Times New Roman"/>
      <w:sz w:val="24"/>
      <w:lang w:eastAsia="en-US"/>
    </w:rPr>
  </w:style>
  <w:style w:type="paragraph" w:styleId="ListBullet">
    <w:name w:val="List Bullet"/>
    <w:basedOn w:val="List"/>
    <w:rsid w:val="0032137B"/>
    <w:pPr>
      <w:numPr>
        <w:numId w:val="14"/>
      </w:numPr>
      <w:tabs>
        <w:tab w:val="clear" w:pos="340"/>
      </w:tabs>
      <w:spacing w:before="40" w:after="40"/>
    </w:pPr>
  </w:style>
  <w:style w:type="character" w:customStyle="1" w:styleId="SpecialBold">
    <w:name w:val="Special Bold"/>
    <w:basedOn w:val="DefaultParagraphFont"/>
    <w:rsid w:val="0032137B"/>
    <w:rPr>
      <w:b/>
      <w:spacing w:val="0"/>
    </w:rPr>
  </w:style>
  <w:style w:type="paragraph" w:styleId="ListBullet2">
    <w:name w:val="List Bullet 2"/>
    <w:basedOn w:val="List2"/>
    <w:rsid w:val="0032137B"/>
    <w:pPr>
      <w:numPr>
        <w:numId w:val="15"/>
      </w:numPr>
      <w:tabs>
        <w:tab w:val="clear" w:pos="680"/>
      </w:tabs>
    </w:pPr>
  </w:style>
  <w:style w:type="paragraph" w:customStyle="1" w:styleId="SuperHeading">
    <w:name w:val="SuperHeading"/>
    <w:basedOn w:val="Normal"/>
    <w:rsid w:val="0032137B"/>
    <w:pPr>
      <w:spacing w:before="240" w:after="120"/>
      <w:outlineLvl w:val="0"/>
    </w:pPr>
    <w:rPr>
      <w:rFonts w:ascii="Times New Roman" w:hAnsi="Times New Roman"/>
      <w:b/>
      <w:sz w:val="32"/>
    </w:rPr>
  </w:style>
  <w:style w:type="paragraph" w:customStyle="1" w:styleId="AllowPageBreak">
    <w:name w:val="AllowPageBreak"/>
    <w:rsid w:val="003213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137B"/>
    <w:pPr>
      <w:numPr>
        <w:numId w:val="3"/>
      </w:numPr>
      <w:tabs>
        <w:tab w:val="clear" w:pos="1021"/>
      </w:tabs>
      <w:ind w:left="1037" w:hanging="357"/>
    </w:pPr>
  </w:style>
  <w:style w:type="character" w:customStyle="1" w:styleId="Heading2Char">
    <w:name w:val="Heading 2 Char"/>
    <w:basedOn w:val="DefaultParagraphFont"/>
    <w:link w:val="Heading2"/>
    <w:rsid w:val="00321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37B"/>
    <w:rPr>
      <w:rFonts w:ascii="Courier New" w:eastAsia="Times New Roman" w:hAnsi="Courier New" w:cs="Times New Roman"/>
      <w:i/>
      <w:szCs w:val="20"/>
      <w:lang w:eastAsia="en-US"/>
    </w:rPr>
  </w:style>
  <w:style w:type="paragraph" w:customStyle="1" w:styleId="HeadingBase">
    <w:name w:val="Heading Base"/>
    <w:rsid w:val="00321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37B"/>
    <w:pPr>
      <w:tabs>
        <w:tab w:val="right" w:leader="dot" w:pos="9072"/>
      </w:tabs>
      <w:ind w:left="567"/>
    </w:pPr>
    <w:rPr>
      <w:szCs w:val="22"/>
    </w:rPr>
  </w:style>
  <w:style w:type="paragraph" w:customStyle="1" w:styleId="TOCBase">
    <w:name w:val="TOC Base"/>
    <w:rsid w:val="00321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37B"/>
    <w:pPr>
      <w:tabs>
        <w:tab w:val="right" w:leader="dot" w:pos="9072"/>
      </w:tabs>
      <w:spacing w:before="40" w:after="40"/>
      <w:ind w:left="284"/>
    </w:pPr>
    <w:rPr>
      <w:rFonts w:ascii="Times New Roman" w:hAnsi="Times New Roman"/>
    </w:rPr>
  </w:style>
  <w:style w:type="paragraph" w:styleId="TOC1">
    <w:name w:val="toc 1"/>
    <w:basedOn w:val="TOCBase"/>
    <w:next w:val="Normal"/>
    <w:rsid w:val="00321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37B"/>
    <w:rPr>
      <w:rFonts w:ascii="Times New Roman" w:eastAsia="Times New Roman" w:hAnsi="Times New Roman" w:cs="Times New Roman"/>
      <w:sz w:val="16"/>
      <w:lang w:eastAsia="en-US"/>
    </w:rPr>
  </w:style>
  <w:style w:type="paragraph" w:styleId="Title">
    <w:name w:val="Title"/>
    <w:basedOn w:val="HeadingBase"/>
    <w:link w:val="TitleChar"/>
    <w:qFormat/>
    <w:rsid w:val="0032137B"/>
    <w:pPr>
      <w:spacing w:before="5040"/>
      <w:jc w:val="center"/>
    </w:pPr>
    <w:rPr>
      <w:sz w:val="48"/>
      <w:szCs w:val="72"/>
      <w:lang w:val="en-US"/>
    </w:rPr>
  </w:style>
  <w:style w:type="character" w:customStyle="1" w:styleId="TitleChar">
    <w:name w:val="Title Char"/>
    <w:basedOn w:val="DefaultParagraphFont"/>
    <w:link w:val="Title"/>
    <w:rsid w:val="00321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37B"/>
    <w:pPr>
      <w:tabs>
        <w:tab w:val="left" w:pos="3600"/>
        <w:tab w:val="left" w:pos="3958"/>
      </w:tabs>
    </w:pPr>
  </w:style>
  <w:style w:type="paragraph" w:styleId="List">
    <w:name w:val="List"/>
    <w:basedOn w:val="BodyText"/>
    <w:next w:val="BodyText"/>
    <w:rsid w:val="0032137B"/>
    <w:pPr>
      <w:tabs>
        <w:tab w:val="left" w:pos="340"/>
      </w:tabs>
      <w:spacing w:before="60" w:after="60"/>
      <w:ind w:left="340" w:hanging="340"/>
    </w:pPr>
  </w:style>
  <w:style w:type="paragraph" w:customStyle="1" w:styleId="Note">
    <w:name w:val="Note"/>
    <w:basedOn w:val="BodyText"/>
    <w:rsid w:val="00321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37B"/>
    <w:pPr>
      <w:framePr w:wrap="auto" w:hAnchor="text" w:y="6049"/>
    </w:pPr>
    <w:rPr>
      <w:color w:val="000000"/>
      <w:sz w:val="40"/>
    </w:rPr>
  </w:style>
  <w:style w:type="paragraph" w:customStyle="1" w:styleId="TOCTitle">
    <w:name w:val="TOCTitle"/>
    <w:basedOn w:val="Heading1"/>
    <w:rsid w:val="0032137B"/>
    <w:pPr>
      <w:spacing w:after="240"/>
      <w:jc w:val="center"/>
      <w:outlineLvl w:val="9"/>
    </w:pPr>
    <w:rPr>
      <w:caps/>
    </w:rPr>
  </w:style>
  <w:style w:type="paragraph" w:customStyle="1" w:styleId="Version">
    <w:name w:val="Version"/>
    <w:rsid w:val="00321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37B"/>
    <w:pPr>
      <w:keepNext w:val="0"/>
      <w:tabs>
        <w:tab w:val="right" w:pos="4176"/>
      </w:tabs>
      <w:ind w:left="198" w:hanging="198"/>
    </w:pPr>
    <w:rPr>
      <w:rFonts w:ascii="Garamond" w:hAnsi="Garamond"/>
    </w:rPr>
  </w:style>
  <w:style w:type="paragraph" w:styleId="IndexHeading">
    <w:name w:val="index heading"/>
    <w:basedOn w:val="Normal"/>
    <w:next w:val="Index1"/>
    <w:semiHidden/>
    <w:rsid w:val="0032137B"/>
    <w:pPr>
      <w:spacing w:before="120" w:after="120"/>
    </w:pPr>
    <w:rPr>
      <w:rFonts w:ascii="Arial" w:hAnsi="Arial"/>
      <w:b/>
      <w:color w:val="918585"/>
      <w:sz w:val="24"/>
    </w:rPr>
  </w:style>
  <w:style w:type="paragraph" w:styleId="Header">
    <w:name w:val="header"/>
    <w:basedOn w:val="Normal"/>
    <w:link w:val="HeaderChar"/>
    <w:rsid w:val="00321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37B"/>
    <w:rPr>
      <w:rFonts w:ascii="Times New Roman" w:eastAsia="Times New Roman" w:hAnsi="Times New Roman" w:cs="Times New Roman"/>
      <w:sz w:val="16"/>
      <w:szCs w:val="20"/>
      <w:lang w:val="en-GB" w:eastAsia="en-US"/>
    </w:rPr>
  </w:style>
  <w:style w:type="paragraph" w:customStyle="1" w:styleId="Chapter">
    <w:name w:val="Chapter"/>
    <w:basedOn w:val="Normal"/>
    <w:rsid w:val="0032137B"/>
    <w:pPr>
      <w:spacing w:before="240"/>
    </w:pPr>
    <w:rPr>
      <w:rFonts w:ascii="Times New Roman" w:hAnsi="Times New Roman"/>
      <w:smallCaps/>
      <w:spacing w:val="80"/>
      <w:sz w:val="28"/>
    </w:rPr>
  </w:style>
  <w:style w:type="paragraph" w:customStyle="1" w:styleId="InChapter">
    <w:name w:val="InChapter"/>
    <w:basedOn w:val="Heading3"/>
    <w:rsid w:val="0032137B"/>
    <w:pPr>
      <w:spacing w:after="240"/>
      <w:outlineLvl w:val="9"/>
    </w:pPr>
    <w:rPr>
      <w:noProof/>
    </w:rPr>
  </w:style>
  <w:style w:type="paragraph" w:styleId="Index2">
    <w:name w:val="index 2"/>
    <w:basedOn w:val="Normal"/>
    <w:next w:val="Normal"/>
    <w:semiHidden/>
    <w:rsid w:val="0032137B"/>
    <w:pPr>
      <w:tabs>
        <w:tab w:val="right" w:pos="4176"/>
      </w:tabs>
      <w:ind w:left="568" w:hanging="284"/>
    </w:pPr>
    <w:rPr>
      <w:rFonts w:ascii="Garamond" w:hAnsi="Garamond"/>
    </w:rPr>
  </w:style>
  <w:style w:type="paragraph" w:customStyle="1" w:styleId="Byline">
    <w:name w:val="Byline"/>
    <w:rsid w:val="00321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37B"/>
    <w:pPr>
      <w:tabs>
        <w:tab w:val="clear" w:pos="3600"/>
        <w:tab w:val="clear" w:pos="3958"/>
      </w:tabs>
      <w:jc w:val="right"/>
    </w:pPr>
  </w:style>
  <w:style w:type="character" w:styleId="Emphasis">
    <w:name w:val="Emphasis"/>
    <w:basedOn w:val="DefaultParagraphFont"/>
    <w:qFormat/>
    <w:rsid w:val="0032137B"/>
    <w:rPr>
      <w:i/>
    </w:rPr>
  </w:style>
  <w:style w:type="paragraph" w:styleId="Caption">
    <w:name w:val="caption"/>
    <w:basedOn w:val="BodyText"/>
    <w:next w:val="Normal"/>
    <w:qFormat/>
    <w:rsid w:val="0032137B"/>
    <w:pPr>
      <w:framePr w:w="2268" w:hSpace="181" w:vSpace="181" w:wrap="around" w:vAnchor="text" w:hAnchor="page" w:x="1135" w:y="285" w:anchorLock="1"/>
    </w:pPr>
    <w:rPr>
      <w:i/>
    </w:rPr>
  </w:style>
  <w:style w:type="paragraph" w:customStyle="1" w:styleId="MiniTOCTitle">
    <w:name w:val="MiniTOCTitle"/>
    <w:basedOn w:val="Heading4"/>
    <w:rsid w:val="0032137B"/>
    <w:pPr>
      <w:spacing w:before="240"/>
      <w:outlineLvl w:val="9"/>
    </w:pPr>
    <w:rPr>
      <w:noProof/>
      <w:sz w:val="24"/>
    </w:rPr>
  </w:style>
  <w:style w:type="paragraph" w:customStyle="1" w:styleId="MiniTOCItem">
    <w:name w:val="MiniTOCItem"/>
    <w:basedOn w:val="ListBullet"/>
    <w:rsid w:val="0032137B"/>
    <w:pPr>
      <w:numPr>
        <w:numId w:val="0"/>
      </w:numPr>
      <w:tabs>
        <w:tab w:val="right" w:leader="dot" w:pos="6521"/>
      </w:tabs>
      <w:spacing w:before="0" w:after="0"/>
    </w:pPr>
  </w:style>
  <w:style w:type="paragraph" w:customStyle="1" w:styleId="TOFTitle">
    <w:name w:val="TOFTitle"/>
    <w:basedOn w:val="TOCTitle"/>
    <w:rsid w:val="0032137B"/>
  </w:style>
  <w:style w:type="paragraph" w:styleId="TableofFigures">
    <w:name w:val="table of figures"/>
    <w:basedOn w:val="Normal"/>
    <w:next w:val="Normal"/>
    <w:semiHidden/>
    <w:rsid w:val="0032137B"/>
    <w:pPr>
      <w:tabs>
        <w:tab w:val="right" w:leader="dot" w:pos="9072"/>
      </w:tabs>
      <w:ind w:left="970" w:hanging="403"/>
    </w:pPr>
    <w:rPr>
      <w:rFonts w:ascii="Times New Roman" w:hAnsi="Times New Roman"/>
      <w:b/>
    </w:rPr>
  </w:style>
  <w:style w:type="paragraph" w:styleId="ListNumber">
    <w:name w:val="List Number"/>
    <w:basedOn w:val="List"/>
    <w:rsid w:val="0032137B"/>
    <w:pPr>
      <w:numPr>
        <w:numId w:val="12"/>
      </w:numPr>
    </w:pPr>
  </w:style>
  <w:style w:type="character" w:customStyle="1" w:styleId="WingdingSymbols">
    <w:name w:val="Wingding Symbols"/>
    <w:rsid w:val="0032137B"/>
    <w:rPr>
      <w:rFonts w:ascii="Wingdings" w:hAnsi="Wingdings"/>
    </w:rPr>
  </w:style>
  <w:style w:type="paragraph" w:customStyle="1" w:styleId="TableHeading">
    <w:name w:val="Table Heading"/>
    <w:basedOn w:val="HeadingBase"/>
    <w:rsid w:val="0032137B"/>
    <w:pPr>
      <w:keepLines/>
      <w:pBdr>
        <w:bottom w:val="single" w:sz="6" w:space="1" w:color="918585"/>
      </w:pBdr>
      <w:spacing w:before="240"/>
    </w:pPr>
  </w:style>
  <w:style w:type="character" w:customStyle="1" w:styleId="HotSpot">
    <w:name w:val="HotSpot"/>
    <w:rsid w:val="0032137B"/>
    <w:rPr>
      <w:color w:val="0033CC"/>
      <w:u w:val="none"/>
    </w:rPr>
  </w:style>
  <w:style w:type="paragraph" w:customStyle="1" w:styleId="BodyTextRight">
    <w:name w:val="Body Text Right"/>
    <w:basedOn w:val="BodyText"/>
    <w:rsid w:val="0032137B"/>
    <w:pPr>
      <w:spacing w:before="0" w:after="0"/>
      <w:jc w:val="right"/>
    </w:pPr>
  </w:style>
  <w:style w:type="paragraph" w:styleId="Index3">
    <w:name w:val="index 3"/>
    <w:basedOn w:val="ListNumber2"/>
    <w:next w:val="Normal"/>
    <w:semiHidden/>
    <w:rsid w:val="0032137B"/>
    <w:pPr>
      <w:numPr>
        <w:numId w:val="0"/>
      </w:numPr>
      <w:tabs>
        <w:tab w:val="right" w:leader="dot" w:pos="4176"/>
      </w:tabs>
    </w:pPr>
  </w:style>
  <w:style w:type="paragraph" w:styleId="ListNumber2">
    <w:name w:val="List Number 2"/>
    <w:basedOn w:val="List2"/>
    <w:rsid w:val="0032137B"/>
    <w:pPr>
      <w:numPr>
        <w:numId w:val="11"/>
      </w:numPr>
      <w:tabs>
        <w:tab w:val="clear" w:pos="1060"/>
      </w:tabs>
    </w:pPr>
  </w:style>
  <w:style w:type="paragraph" w:customStyle="1" w:styleId="MarginNote">
    <w:name w:val="Margin Note"/>
    <w:basedOn w:val="BodyText"/>
    <w:rsid w:val="00321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37B"/>
    <w:rPr>
      <w:sz w:val="32"/>
    </w:rPr>
  </w:style>
  <w:style w:type="paragraph" w:customStyle="1" w:styleId="HeadingProcedure">
    <w:name w:val="Heading Procedure"/>
    <w:basedOn w:val="HeadingBase"/>
    <w:next w:val="Normal"/>
    <w:rsid w:val="0032137B"/>
    <w:pPr>
      <w:tabs>
        <w:tab w:val="left" w:pos="0"/>
      </w:tabs>
      <w:spacing w:before="120" w:after="60"/>
    </w:pPr>
    <w:rPr>
      <w:i/>
      <w:color w:val="918585"/>
      <w:sz w:val="22"/>
    </w:rPr>
  </w:style>
  <w:style w:type="paragraph" w:customStyle="1" w:styleId="TableBodyText">
    <w:name w:val="Table Body Text"/>
    <w:basedOn w:val="BodyText"/>
    <w:rsid w:val="0032137B"/>
    <w:pPr>
      <w:spacing w:before="60" w:after="60"/>
    </w:pPr>
  </w:style>
  <w:style w:type="paragraph" w:styleId="ListContinue">
    <w:name w:val="List Continue"/>
    <w:basedOn w:val="List"/>
    <w:rsid w:val="0032137B"/>
    <w:pPr>
      <w:ind w:firstLine="0"/>
    </w:pPr>
  </w:style>
  <w:style w:type="paragraph" w:customStyle="1" w:styleId="ListNote">
    <w:name w:val="List Note"/>
    <w:basedOn w:val="List"/>
    <w:rsid w:val="0032137B"/>
    <w:pPr>
      <w:pBdr>
        <w:top w:val="single" w:sz="6" w:space="2" w:color="918585"/>
        <w:bottom w:val="single" w:sz="6" w:space="2" w:color="918585"/>
      </w:pBdr>
      <w:tabs>
        <w:tab w:val="left" w:pos="1021"/>
      </w:tabs>
      <w:ind w:firstLine="0"/>
    </w:pPr>
  </w:style>
  <w:style w:type="paragraph" w:customStyle="1" w:styleId="Warning">
    <w:name w:val="Warning"/>
    <w:basedOn w:val="BodyText"/>
    <w:rsid w:val="0032137B"/>
    <w:pPr>
      <w:shd w:val="clear" w:color="auto" w:fill="D9D9D9"/>
      <w:tabs>
        <w:tab w:val="left" w:pos="992"/>
      </w:tabs>
      <w:ind w:left="119" w:right="119"/>
    </w:pPr>
    <w:rPr>
      <w:sz w:val="20"/>
    </w:rPr>
  </w:style>
  <w:style w:type="paragraph" w:customStyle="1" w:styleId="MarginIcons">
    <w:name w:val="Margin Icons"/>
    <w:basedOn w:val="BodyText"/>
    <w:rsid w:val="00321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37B"/>
    <w:rPr>
      <w:rFonts w:ascii="Courier New" w:hAnsi="Courier New"/>
    </w:rPr>
  </w:style>
  <w:style w:type="paragraph" w:customStyle="1" w:styleId="NoteBullet">
    <w:name w:val="Note Bullet"/>
    <w:basedOn w:val="Note"/>
    <w:rsid w:val="0032137B"/>
    <w:pPr>
      <w:tabs>
        <w:tab w:val="clear" w:pos="680"/>
      </w:tabs>
      <w:spacing w:before="60" w:after="60"/>
    </w:pPr>
  </w:style>
  <w:style w:type="paragraph" w:customStyle="1" w:styleId="SubHeading2">
    <w:name w:val="SubHeading2"/>
    <w:basedOn w:val="HeadingBase"/>
    <w:rsid w:val="0032137B"/>
    <w:pPr>
      <w:spacing w:before="240" w:after="60"/>
    </w:pPr>
    <w:rPr>
      <w:sz w:val="20"/>
    </w:rPr>
  </w:style>
  <w:style w:type="paragraph" w:customStyle="1" w:styleId="SubHeading1">
    <w:name w:val="SubHeading1"/>
    <w:basedOn w:val="HeadingBase"/>
    <w:rsid w:val="0032137B"/>
    <w:pPr>
      <w:spacing w:before="240" w:after="60"/>
    </w:pPr>
    <w:rPr>
      <w:color w:val="918585"/>
      <w:sz w:val="22"/>
    </w:rPr>
  </w:style>
  <w:style w:type="paragraph" w:customStyle="1" w:styleId="SideHeading">
    <w:name w:val="Side Heading"/>
    <w:basedOn w:val="HeadingBase"/>
    <w:rsid w:val="00321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37B"/>
    <w:pPr>
      <w:numPr>
        <w:numId w:val="13"/>
      </w:numPr>
    </w:pPr>
  </w:style>
  <w:style w:type="paragraph" w:styleId="PlainText">
    <w:name w:val="Plain Text"/>
    <w:basedOn w:val="Normal"/>
    <w:link w:val="PlainTextChar"/>
    <w:rsid w:val="0032137B"/>
    <w:rPr>
      <w:sz w:val="20"/>
    </w:rPr>
  </w:style>
  <w:style w:type="character" w:customStyle="1" w:styleId="PlainTextChar">
    <w:name w:val="Plain Text Char"/>
    <w:basedOn w:val="DefaultParagraphFont"/>
    <w:link w:val="PlainText"/>
    <w:rsid w:val="0032137B"/>
    <w:rPr>
      <w:rFonts w:ascii="Courier New" w:eastAsia="Times New Roman" w:hAnsi="Courier New" w:cs="Times New Roman"/>
      <w:sz w:val="20"/>
      <w:szCs w:val="20"/>
      <w:lang w:eastAsia="en-US"/>
    </w:rPr>
  </w:style>
  <w:style w:type="character" w:customStyle="1" w:styleId="MenuOption">
    <w:name w:val="Menu Option"/>
    <w:basedOn w:val="DefaultParagraphFont"/>
    <w:rsid w:val="0032137B"/>
    <w:rPr>
      <w:b/>
      <w:smallCaps/>
    </w:rPr>
  </w:style>
  <w:style w:type="paragraph" w:customStyle="1" w:styleId="TableListNumber">
    <w:name w:val="Table List Number"/>
    <w:basedOn w:val="ListNumber"/>
    <w:rsid w:val="0032137B"/>
    <w:pPr>
      <w:numPr>
        <w:numId w:val="0"/>
      </w:numPr>
    </w:pPr>
  </w:style>
  <w:style w:type="paragraph" w:styleId="TOC4">
    <w:name w:val="toc 4"/>
    <w:basedOn w:val="TOCBase"/>
    <w:next w:val="Normal"/>
    <w:semiHidden/>
    <w:rsid w:val="0032137B"/>
    <w:pPr>
      <w:tabs>
        <w:tab w:val="right" w:leader="dot" w:pos="9071"/>
      </w:tabs>
      <w:ind w:left="1701"/>
    </w:pPr>
  </w:style>
  <w:style w:type="paragraph" w:customStyle="1" w:styleId="ListAlpha">
    <w:name w:val="List Alpha"/>
    <w:basedOn w:val="List"/>
    <w:rsid w:val="0032137B"/>
    <w:pPr>
      <w:numPr>
        <w:numId w:val="10"/>
      </w:numPr>
    </w:pPr>
  </w:style>
  <w:style w:type="paragraph" w:customStyle="1" w:styleId="ListAlpha2">
    <w:name w:val="List Alpha 2"/>
    <w:basedOn w:val="List2"/>
    <w:rsid w:val="0032137B"/>
    <w:pPr>
      <w:numPr>
        <w:numId w:val="9"/>
      </w:numPr>
    </w:pPr>
  </w:style>
  <w:style w:type="paragraph" w:styleId="List2">
    <w:name w:val="List 2"/>
    <w:basedOn w:val="BodyText"/>
    <w:rsid w:val="0032137B"/>
    <w:pPr>
      <w:tabs>
        <w:tab w:val="left" w:pos="680"/>
      </w:tabs>
      <w:spacing w:before="60" w:after="60"/>
      <w:ind w:left="680" w:hanging="340"/>
    </w:pPr>
  </w:style>
  <w:style w:type="paragraph" w:styleId="List3">
    <w:name w:val="List 3"/>
    <w:basedOn w:val="BodyText"/>
    <w:rsid w:val="0032137B"/>
    <w:pPr>
      <w:tabs>
        <w:tab w:val="left" w:pos="1021"/>
      </w:tabs>
      <w:spacing w:before="60" w:after="60"/>
      <w:ind w:left="1020" w:hanging="340"/>
    </w:pPr>
  </w:style>
  <w:style w:type="paragraph" w:styleId="List4">
    <w:name w:val="List 4"/>
    <w:basedOn w:val="BodyText"/>
    <w:rsid w:val="0032137B"/>
    <w:pPr>
      <w:tabs>
        <w:tab w:val="left" w:pos="1361"/>
      </w:tabs>
      <w:spacing w:before="60" w:after="60"/>
      <w:ind w:left="1361" w:hanging="340"/>
    </w:pPr>
  </w:style>
  <w:style w:type="paragraph" w:styleId="List5">
    <w:name w:val="List 5"/>
    <w:basedOn w:val="BodyText"/>
    <w:rsid w:val="0032137B"/>
    <w:pPr>
      <w:tabs>
        <w:tab w:val="left" w:pos="1701"/>
      </w:tabs>
      <w:spacing w:before="60" w:after="60"/>
      <w:ind w:left="1701" w:hanging="340"/>
    </w:pPr>
  </w:style>
  <w:style w:type="paragraph" w:styleId="ListBullet4">
    <w:name w:val="List Bullet 4"/>
    <w:basedOn w:val="List4"/>
    <w:rsid w:val="0032137B"/>
    <w:pPr>
      <w:numPr>
        <w:numId w:val="4"/>
      </w:numPr>
    </w:pPr>
  </w:style>
  <w:style w:type="paragraph" w:styleId="ListBullet5">
    <w:name w:val="List Bullet 5"/>
    <w:basedOn w:val="List5"/>
    <w:rsid w:val="0032137B"/>
    <w:pPr>
      <w:numPr>
        <w:numId w:val="5"/>
      </w:numPr>
    </w:pPr>
  </w:style>
  <w:style w:type="paragraph" w:styleId="ListContinue2">
    <w:name w:val="List Continue 2"/>
    <w:basedOn w:val="List2"/>
    <w:rsid w:val="0032137B"/>
    <w:pPr>
      <w:ind w:firstLine="0"/>
    </w:pPr>
  </w:style>
  <w:style w:type="paragraph" w:styleId="ListContinue3">
    <w:name w:val="List Continue 3"/>
    <w:basedOn w:val="List3"/>
    <w:rsid w:val="0032137B"/>
    <w:pPr>
      <w:ind w:left="1021" w:firstLine="0"/>
    </w:pPr>
  </w:style>
  <w:style w:type="paragraph" w:styleId="ListContinue4">
    <w:name w:val="List Continue 4"/>
    <w:basedOn w:val="List4"/>
    <w:rsid w:val="0032137B"/>
    <w:pPr>
      <w:ind w:firstLine="0"/>
    </w:pPr>
  </w:style>
  <w:style w:type="paragraph" w:styleId="ListContinue5">
    <w:name w:val="List Continue 5"/>
    <w:basedOn w:val="List5"/>
    <w:rsid w:val="0032137B"/>
    <w:pPr>
      <w:ind w:firstLine="0"/>
    </w:pPr>
  </w:style>
  <w:style w:type="paragraph" w:styleId="ListNumber3">
    <w:name w:val="List Number 3"/>
    <w:basedOn w:val="List3"/>
    <w:rsid w:val="0032137B"/>
    <w:pPr>
      <w:numPr>
        <w:numId w:val="6"/>
      </w:numPr>
    </w:pPr>
  </w:style>
  <w:style w:type="paragraph" w:styleId="ListNumber4">
    <w:name w:val="List Number 4"/>
    <w:basedOn w:val="List4"/>
    <w:rsid w:val="0032137B"/>
    <w:pPr>
      <w:numPr>
        <w:numId w:val="7"/>
      </w:numPr>
    </w:pPr>
  </w:style>
  <w:style w:type="paragraph" w:styleId="ListNumber5">
    <w:name w:val="List Number 5"/>
    <w:basedOn w:val="List5"/>
    <w:rsid w:val="0032137B"/>
    <w:pPr>
      <w:numPr>
        <w:numId w:val="8"/>
      </w:numPr>
    </w:pPr>
  </w:style>
  <w:style w:type="paragraph" w:styleId="BlockText">
    <w:name w:val="Block Text"/>
    <w:basedOn w:val="Normal"/>
    <w:rsid w:val="0032137B"/>
    <w:pPr>
      <w:spacing w:after="120"/>
      <w:ind w:left="1440" w:right="1440"/>
    </w:pPr>
  </w:style>
  <w:style w:type="character" w:customStyle="1" w:styleId="Subscript">
    <w:name w:val="Subscript"/>
    <w:basedOn w:val="DefaultParagraphFont"/>
    <w:rsid w:val="0032137B"/>
    <w:rPr>
      <w:sz w:val="16"/>
      <w:vertAlign w:val="subscript"/>
    </w:rPr>
  </w:style>
  <w:style w:type="character" w:customStyle="1" w:styleId="Superscript">
    <w:name w:val="Superscript"/>
    <w:basedOn w:val="DefaultParagraphFont"/>
    <w:rsid w:val="0032137B"/>
    <w:rPr>
      <w:sz w:val="16"/>
      <w:vertAlign w:val="superscript"/>
    </w:rPr>
  </w:style>
  <w:style w:type="character" w:customStyle="1" w:styleId="Symbols">
    <w:name w:val="Symbols"/>
    <w:basedOn w:val="DefaultParagraphFont"/>
    <w:rsid w:val="0032137B"/>
    <w:rPr>
      <w:rFonts w:ascii="Symbol" w:hAnsi="Symbol"/>
    </w:rPr>
  </w:style>
  <w:style w:type="character" w:customStyle="1" w:styleId="MenuOptions">
    <w:name w:val="Menu Options"/>
    <w:basedOn w:val="DefaultParagraphFont"/>
    <w:rsid w:val="0032137B"/>
    <w:rPr>
      <w:rFonts w:ascii="Arial Narrow" w:hAnsi="Arial Narrow"/>
      <w:smallCaps/>
    </w:rPr>
  </w:style>
  <w:style w:type="character" w:customStyle="1" w:styleId="Buttons">
    <w:name w:val="Buttons"/>
    <w:basedOn w:val="DefaultParagraphFont"/>
    <w:rsid w:val="0032137B"/>
    <w:rPr>
      <w:b/>
    </w:rPr>
  </w:style>
  <w:style w:type="character" w:customStyle="1" w:styleId="Underlined">
    <w:name w:val="Underlined"/>
    <w:basedOn w:val="DefaultParagraphFont"/>
    <w:rsid w:val="0032137B"/>
    <w:rPr>
      <w:u w:val="single"/>
    </w:rPr>
  </w:style>
  <w:style w:type="paragraph" w:customStyle="1" w:styleId="TableBodyTextRight">
    <w:name w:val="Table Body Text Right"/>
    <w:basedOn w:val="TableBodyText"/>
    <w:rsid w:val="0032137B"/>
    <w:pPr>
      <w:widowControl w:val="0"/>
      <w:autoSpaceDE w:val="0"/>
      <w:autoSpaceDN w:val="0"/>
      <w:adjustRightInd w:val="0"/>
      <w:jc w:val="right"/>
    </w:pPr>
    <w:rPr>
      <w:rFonts w:cs="Arial"/>
      <w:szCs w:val="18"/>
    </w:rPr>
  </w:style>
  <w:style w:type="paragraph" w:customStyle="1" w:styleId="CopyrightText">
    <w:name w:val="Copyright Text"/>
    <w:basedOn w:val="BodyText"/>
    <w:rsid w:val="0032137B"/>
    <w:rPr>
      <w:sz w:val="18"/>
    </w:rPr>
  </w:style>
  <w:style w:type="paragraph" w:customStyle="1" w:styleId="BodySmallRight">
    <w:name w:val="Body Small Right"/>
    <w:basedOn w:val="BodyTextRight"/>
    <w:rsid w:val="0032137B"/>
    <w:rPr>
      <w:sz w:val="18"/>
      <w:szCs w:val="18"/>
    </w:rPr>
  </w:style>
  <w:style w:type="paragraph" w:customStyle="1" w:styleId="MarginEdition">
    <w:name w:val="Margin Edition"/>
    <w:basedOn w:val="MarginNote"/>
    <w:rsid w:val="0032137B"/>
    <w:pPr>
      <w:spacing w:before="0" w:after="0"/>
    </w:pPr>
    <w:rPr>
      <w:rFonts w:ascii="Times New Roman" w:hAnsi="Times New Roman"/>
      <w:color w:val="999999"/>
    </w:rPr>
  </w:style>
  <w:style w:type="paragraph" w:customStyle="1" w:styleId="Spacer">
    <w:name w:val="Spacer"/>
    <w:basedOn w:val="Normal"/>
    <w:rsid w:val="0032137B"/>
    <w:rPr>
      <w:sz w:val="2"/>
      <w:szCs w:val="2"/>
    </w:rPr>
  </w:style>
  <w:style w:type="character" w:customStyle="1" w:styleId="Small">
    <w:name w:val="Small"/>
    <w:basedOn w:val="DefaultParagraphFont"/>
    <w:rsid w:val="0032137B"/>
    <w:rPr>
      <w:sz w:val="16"/>
    </w:rPr>
  </w:style>
  <w:style w:type="paragraph" w:customStyle="1" w:styleId="WideTable">
    <w:name w:val="Wide Table"/>
    <w:basedOn w:val="Normal"/>
    <w:rsid w:val="0032137B"/>
    <w:pPr>
      <w:ind w:left="-1418"/>
    </w:pPr>
    <w:rPr>
      <w:sz w:val="2"/>
      <w:szCs w:val="2"/>
    </w:rPr>
  </w:style>
  <w:style w:type="character" w:styleId="PageNumber">
    <w:name w:val="page number"/>
    <w:basedOn w:val="DefaultParagraphFont"/>
    <w:rsid w:val="0032137B"/>
  </w:style>
  <w:style w:type="paragraph" w:styleId="Quote">
    <w:name w:val="Quote"/>
    <w:basedOn w:val="Heading1"/>
    <w:link w:val="QuoteChar"/>
    <w:qFormat/>
    <w:rsid w:val="0032137B"/>
    <w:rPr>
      <w:b w:val="0"/>
      <w:sz w:val="72"/>
      <w:szCs w:val="72"/>
      <w:lang w:val="en-NZ"/>
    </w:rPr>
  </w:style>
  <w:style w:type="character" w:customStyle="1" w:styleId="QuoteChar">
    <w:name w:val="Quote Char"/>
    <w:basedOn w:val="DefaultParagraphFont"/>
    <w:link w:val="Quote"/>
    <w:rsid w:val="00321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37B"/>
    <w:pPr>
      <w:pageBreakBefore/>
    </w:pPr>
  </w:style>
  <w:style w:type="paragraph" w:customStyle="1" w:styleId="Border">
    <w:name w:val="Border"/>
    <w:basedOn w:val="Normal"/>
    <w:qFormat/>
    <w:rsid w:val="00321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37B"/>
    <w:rPr>
      <w:b/>
      <w:bCs/>
      <w:i/>
      <w:iCs/>
      <w:color w:val="auto"/>
    </w:rPr>
  </w:style>
  <w:style w:type="paragraph" w:styleId="IntenseQuote">
    <w:name w:val="Intense Quote"/>
    <w:basedOn w:val="Normal"/>
    <w:next w:val="Normal"/>
    <w:link w:val="IntenseQuoteChar"/>
    <w:uiPriority w:val="30"/>
    <w:qFormat/>
    <w:rsid w:val="00321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37B"/>
    <w:rPr>
      <w:smallCaps/>
      <w:color w:val="auto"/>
      <w:u w:val="single"/>
    </w:rPr>
  </w:style>
  <w:style w:type="character" w:styleId="IntenseReference">
    <w:name w:val="Intense Reference"/>
    <w:basedOn w:val="DefaultParagraphFont"/>
    <w:uiPriority w:val="32"/>
    <w:qFormat/>
    <w:rsid w:val="0032137B"/>
    <w:rPr>
      <w:b/>
      <w:bCs/>
      <w:smallCaps/>
      <w:color w:val="auto"/>
      <w:spacing w:val="5"/>
      <w:u w:val="single"/>
    </w:rPr>
  </w:style>
  <w:style w:type="paragraph" w:customStyle="1" w:styleId="2ColumnHeading">
    <w:name w:val="2Column Heading"/>
    <w:basedOn w:val="BodyText"/>
    <w:qFormat/>
    <w:rsid w:val="0032137B"/>
    <w:pPr>
      <w:spacing w:after="60"/>
      <w:ind w:left="-2268"/>
    </w:pPr>
    <w:rPr>
      <w:b/>
    </w:rPr>
  </w:style>
  <w:style w:type="paragraph" w:customStyle="1" w:styleId="Heading1TOC">
    <w:name w:val="Heading1 TOC"/>
    <w:basedOn w:val="Normal"/>
    <w:qFormat/>
    <w:rsid w:val="0032137B"/>
    <w:pPr>
      <w:spacing w:before="240" w:after="120"/>
    </w:pPr>
    <w:rPr>
      <w:rFonts w:ascii="Times New Roman" w:hAnsi="Times New Roman"/>
      <w:b/>
      <w:sz w:val="32"/>
    </w:rPr>
  </w:style>
  <w:style w:type="paragraph" w:customStyle="1" w:styleId="Heading2TOC">
    <w:name w:val="Heading2 TOC"/>
    <w:basedOn w:val="Normal"/>
    <w:qFormat/>
    <w:rsid w:val="0032137B"/>
    <w:pPr>
      <w:spacing w:before="240" w:after="60"/>
    </w:pPr>
    <w:rPr>
      <w:rFonts w:ascii="Times New Roman" w:hAnsi="Times New Roman"/>
      <w:b/>
      <w:sz w:val="28"/>
    </w:rPr>
  </w:style>
  <w:style w:type="character" w:customStyle="1" w:styleId="Underline">
    <w:name w:val="Underline"/>
    <w:basedOn w:val="DefaultParagraphFont"/>
    <w:qFormat/>
    <w:rsid w:val="0032137B"/>
    <w:rPr>
      <w:u w:val="single"/>
    </w:rPr>
  </w:style>
  <w:style w:type="character" w:customStyle="1" w:styleId="BoldandItalics">
    <w:name w:val="Bold and Italics"/>
    <w:qFormat/>
    <w:rsid w:val="0032137B"/>
    <w:rPr>
      <w:b/>
      <w:i/>
      <w:u w:val="none"/>
    </w:rPr>
  </w:style>
  <w:style w:type="paragraph" w:styleId="BalloonText">
    <w:name w:val="Balloon Text"/>
    <w:basedOn w:val="Normal"/>
    <w:link w:val="BalloonTextChar"/>
    <w:rsid w:val="0032137B"/>
    <w:rPr>
      <w:rFonts w:ascii="Tahoma" w:hAnsi="Tahoma" w:cs="Tahoma"/>
      <w:sz w:val="16"/>
      <w:szCs w:val="16"/>
    </w:rPr>
  </w:style>
  <w:style w:type="character" w:customStyle="1" w:styleId="BalloonTextChar">
    <w:name w:val="Balloon Text Char"/>
    <w:basedOn w:val="DefaultParagraphFont"/>
    <w:link w:val="BalloonText"/>
    <w:rsid w:val="00321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3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1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37B"/>
    <w:rPr>
      <w:b/>
      <w:color w:val="660033"/>
      <w:spacing w:val="0"/>
    </w:rPr>
  </w:style>
  <w:style w:type="paragraph" w:customStyle="1" w:styleId="Nameditemlist">
    <w:name w:val="Named item list"/>
    <w:basedOn w:val="BodyText"/>
    <w:qFormat/>
    <w:rsid w:val="003213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2984</Words>
  <Characters>19126</Characters>
  <Application>Microsoft Office Word</Application>
  <DocSecurity>0</DocSecurity>
  <Lines>780</Lines>
  <Paragraphs>308</Paragraphs>
  <ScaleCrop>false</ScaleCrop>
  <Company>Author-it Software Corporation Ltd.</Company>
  <LinksUpToDate>false</LinksUpToDate>
  <CharactersWithSpaces>21856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UETTDRTS43A Commission energy/revenue metering schemes</dc:title>
  <dc:subject>Approved</dc:subject>
  <dc:creator>E-OZ Training Standards</dc:creator>
  <cp:keywords>Release: 1</cp:keywords>
  <dc:description>Review Date: 12 April 2008</dc:description>
  <cp:lastModifiedBy>HSD_TPCMSd.prod</cp:lastModifiedBy>
  <cp:revision>3</cp:revision>
  <dcterms:created xsi:type="dcterms:W3CDTF">2013-10-25T06:23:00Z</dcterms:created>
  <dcterms:modified xsi:type="dcterms:W3CDTF">2013-10-25T06:23:00Z</dcterms:modified>
</cp:coreProperties>
</file>