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916" w:rsidP="00061916">
      <w:pPr>
        <w:pStyle w:val="Title"/>
      </w:pPr>
      <w:bookmarkStart w:id="0" w:name="_GoBack"/>
      <w:bookmarkEnd w:id="0"/>
      <w:r>
        <w:fldChar w:fldCharType="begin"/>
      </w:r>
      <w:r>
        <w:instrText xml:space="preserve"> TITLE   \* MERGEFORMAT </w:instrText>
      </w:r>
      <w:r>
        <w:fldChar w:fldCharType="separate"/>
      </w:r>
      <w:r>
        <w:t>UETTDRTS42A Management of energy registration data errors for revenue billing purposes</w:t>
      </w:r>
      <w:r>
        <w:fldChar w:fldCharType="end"/>
      </w:r>
    </w:p>
    <w:p w:rsidR="00061916" w:rsidP="00061916">
      <w:pPr>
        <w:pStyle w:val="Version"/>
        <w:sectPr w:rsidSect="00BE2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913" w:rsidP="00BE2913">
      <w:pPr>
        <w:pStyle w:val="SuperHeading"/>
      </w:pPr>
      <w:r w:rsidRPr="00BE2913">
        <w:t>UETTDRTS42A Management of energy registration data errors for revenue billing purposes</w:t>
      </w:r>
    </w:p>
    <w:p w:rsidR="00000000" w:rsidRPr="00BE2913" w:rsidP="00BE2913">
      <w:pPr>
        <w:pStyle w:val="Heading1"/>
      </w:pPr>
      <w:bookmarkStart w:id="1" w:name="O_464829"/>
      <w:bookmarkEnd w:id="1"/>
      <w:r w:rsidRPr="00BE2913">
        <w:t>Modification History</w:t>
      </w:r>
    </w:p>
    <w:p w:rsidR="00000000" w:rsidRPr="00BE2913" w:rsidP="00BE2913">
      <w:pPr>
        <w:pStyle w:val="BodyText"/>
      </w:pPr>
      <w:r w:rsidRPr="00BE2913">
        <w:t>Not applicable.</w:t>
      </w:r>
    </w:p>
    <w:p w:rsidR="00000000" w:rsidRPr="00BE2913" w:rsidP="00BE2913">
      <w:pPr>
        <w:pStyle w:val="AllowPageBreak"/>
      </w:pPr>
    </w:p>
    <w:p w:rsidR="00000000" w:rsidRPr="00BE2913" w:rsidP="00BE2913">
      <w:pPr>
        <w:pStyle w:val="Heading1"/>
      </w:pPr>
      <w:bookmarkStart w:id="2" w:name="O_464827"/>
      <w:bookmarkEnd w:id="2"/>
      <w:r w:rsidRPr="00BE2913">
        <w:t>Unit Desc</w:t>
      </w:r>
      <w:r w:rsidRPr="00BE2913">
        <w:t>riptor</w:t>
      </w:r>
    </w:p>
    <w:tbl>
      <w:tblPr>
        <w:tblW w:w="0" w:type="auto"/>
        <w:tblLayout w:type="fixed"/>
        <w:tblCellMar>
          <w:left w:w="62" w:type="dxa"/>
          <w:right w:w="62" w:type="dxa"/>
        </w:tblCellMar>
        <w:tblLook w:val="0000"/>
      </w:tblPr>
      <w:tblGrid>
        <w:gridCol w:w="2700"/>
        <w:gridCol w:w="5760"/>
      </w:tblGrid>
      <w:tr w:rsidTr="000619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1)</w:t>
            </w:r>
            <w:r w:rsidRPr="00BE2913">
              <w:t xml:space="preserve"> </w:t>
            </w:r>
            <w:r w:rsidRPr="00BE2913">
              <w:rPr>
                <w:rStyle w:val="SpecialBold"/>
              </w:rPr>
              <w:t>Scope:</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29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1.1) Descriptor</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 xml:space="preserve">This Competency Standard Unit covers management of energy registration data errors for revenue billing purposes.  It covers the identification </w:t>
            </w:r>
            <w:r w:rsidRPr="00BE2913">
              <w:t>of energy registration error within a metering scheme.  Evaluate the impact on the energy registration and customer billing data and making recommendation for billing corrections and market settlement data updates.</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3" w:name="O_464816"/>
      <w:bookmarkEnd w:id="3"/>
      <w:r w:rsidRPr="00BE2913">
        <w:t>Application of the Uni</w:t>
      </w:r>
      <w:r w:rsidRPr="00BE2913">
        <w:t>t</w:t>
      </w:r>
    </w:p>
    <w:tbl>
      <w:tblPr>
        <w:tblW w:w="0" w:type="auto"/>
        <w:tblLayout w:type="fixed"/>
        <w:tblCellMar>
          <w:left w:w="62" w:type="dxa"/>
          <w:right w:w="62" w:type="dxa"/>
        </w:tblCellMar>
        <w:tblLook w:val="0000"/>
      </w:tblPr>
      <w:tblGrid>
        <w:gridCol w:w="2672"/>
        <w:gridCol w:w="5699"/>
      </w:tblGrid>
      <w:tr w:rsidTr="0006191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2)</w:t>
            </w:r>
          </w:p>
        </w:tc>
      </w:tr>
      <w:tr w:rsidTr="0006191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This competency standard is suitable for employment-based programs under an approved contract of training at the AQF level of the qualification in which the unit is first packaged or higher.</w:t>
            </w:r>
          </w:p>
          <w:p w:rsidR="00000000" w:rsidRPr="00BE2913" w:rsidP="00BE2913">
            <w:pPr>
              <w:pStyle w:val="BodyText"/>
            </w:pPr>
            <w:r w:rsidRPr="00BE2913">
              <w:t>The unit may be selected as an elective from the relevant schedule (see qualification packaging rules) provided that all prerequisite units are undertaken or addressed through recognition processes.</w:t>
            </w:r>
          </w:p>
          <w:p w:rsidR="00000000" w:rsidRPr="00BE2913" w:rsidP="00BE2913">
            <w:pPr>
              <w:pStyle w:val="BodyText"/>
            </w:pPr>
            <w:r w:rsidRPr="00BE2913">
              <w:t>This unit may be included in a skill set provided that it</w:t>
            </w:r>
            <w:r w:rsidRPr="00BE2913">
              <w:t xml:space="preserve"> is listed in the schedule of electives (see Qualification Framework) and all prerequisite units are undertaken or addressed through recognition processes.</w:t>
            </w:r>
          </w:p>
          <w:p w:rsidR="00000000" w:rsidRPr="00BE2913" w:rsidP="00BE2913">
            <w:pPr>
              <w:pStyle w:val="BodyText"/>
            </w:pPr>
            <w:r w:rsidRPr="00BE2913">
              <w:t>Delivery and assessment of this unit should be undertaken within regard to the requirements of Licen</w:t>
            </w:r>
            <w:r w:rsidRPr="00BE2913">
              <w:t xml:space="preserve">se to Practice (1.2 above), Prerequisite Competencies and Literacy and Numeracy skills (2 above) and the  recommendations for concurrent assessment and </w:t>
            </w:r>
            <w:r w:rsidRPr="00BE2913">
              <w:t>relationship with other units (9.5 below).</w:t>
            </w:r>
          </w:p>
          <w:p w:rsidR="00000000" w:rsidRPr="00BE2913" w:rsidP="00BE2913">
            <w:pPr>
              <w:pStyle w:val="BodyText"/>
            </w:pPr>
            <w:r w:rsidRPr="00BE2913">
              <w:t>Practice in the workplace and during training is also subject</w:t>
            </w:r>
            <w:r w:rsidRPr="00BE2913">
              <w:t xml:space="preserve"> to regulations directly related to occupational health and safety and where applicable contracts of training such as apprenticeships.</w:t>
            </w:r>
          </w:p>
          <w:p w:rsidR="00000000" w:rsidRPr="00BE2913" w:rsidP="00BE2913">
            <w:pPr>
              <w:pStyle w:val="BodyText"/>
            </w:pPr>
            <w:r w:rsidRPr="00BE2913">
              <w:t>Note:</w:t>
            </w:r>
          </w:p>
          <w:p w:rsidR="00000000" w:rsidRPr="00BE2913" w:rsidP="00BE2913">
            <w:pPr>
              <w:pStyle w:val="BodyText"/>
            </w:pPr>
            <w:r w:rsidRPr="00BE2913">
              <w:t>1. Compliance with permits may be required in various jurisdictions and typically relates to the operation of plant</w:t>
            </w:r>
            <w:r w:rsidRPr="00BE2913">
              <w:t>, machinery and equipment such as elevating work platforms, powder operated fixing tools, power operated tools, vehicles, road signage and traffic control and lifting equipment. Permits may also be required for some work environments such as confined space</w:t>
            </w:r>
            <w:r w:rsidRPr="00BE2913">
              <w:t>s, working aloft, near live electrical apparatus and site rehabilitation.</w:t>
            </w:r>
          </w:p>
          <w:p w:rsidR="00000000" w:rsidRPr="00BE2913" w:rsidP="00BE2913">
            <w:pPr>
              <w:pStyle w:val="BodyText"/>
            </w:pPr>
            <w:r w:rsidRPr="00BE2913">
              <w:t>2. Compliance may be required in various jurisdictions relating to currency in First Aid, confined space, lifting, risk safety measures etc</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4" w:name="O_464823"/>
      <w:bookmarkEnd w:id="4"/>
      <w:r w:rsidRPr="00BE2913">
        <w:t>Licensing/Regulatory In</w:t>
      </w:r>
      <w:r w:rsidRPr="00BE2913">
        <w:t>formation</w:t>
      </w:r>
    </w:p>
    <w:tbl>
      <w:tblPr>
        <w:tblW w:w="0" w:type="auto"/>
        <w:tblLayout w:type="fixed"/>
        <w:tblCellMar>
          <w:left w:w="62" w:type="dxa"/>
          <w:right w:w="62" w:type="dxa"/>
        </w:tblCellMar>
        <w:tblLook w:val="0000"/>
      </w:tblPr>
      <w:tblGrid>
        <w:gridCol w:w="2700"/>
        <w:gridCol w:w="5760"/>
      </w:tblGrid>
      <w:tr w:rsidTr="000619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 xml:space="preserve">3) </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 xml:space="preserve">The skills and knowledge described in this unit requires a licence/registration to practice in the work place subject to regulations for undertaking </w:t>
            </w:r>
            <w:r w:rsidRPr="00BE2913">
              <w:t>of electrical work. Practice in workplace and during training is also subject to regulations directly related to Occupational Health and Safety, electricity/telecommunications/gas/water industry safety and compliance, industrial relations, environmental pr</w:t>
            </w:r>
            <w:r w:rsidRPr="00BE2913">
              <w:t>otection, anti discrimination and training. Commonwealth, State/Territory or Local Government legislation and regulations may exist that limits the age of operating certain equipment.</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5" w:name="O_464824"/>
      <w:bookmarkEnd w:id="5"/>
      <w:r w:rsidRPr="00BE2913">
        <w:t>Pre-Requisites</w:t>
      </w:r>
    </w:p>
    <w:tbl>
      <w:tblPr>
        <w:tblW w:w="0" w:type="auto"/>
        <w:tblLayout w:type="fixed"/>
        <w:tblCellMar>
          <w:left w:w="62" w:type="dxa"/>
          <w:right w:w="62" w:type="dxa"/>
        </w:tblCellMar>
        <w:tblLook w:val="0000"/>
      </w:tblPr>
      <w:tblGrid>
        <w:gridCol w:w="2700"/>
        <w:gridCol w:w="1980"/>
        <w:gridCol w:w="3780"/>
      </w:tblGrid>
      <w:tr w:rsidTr="000619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 xml:space="preserve">4) </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4.1)</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 xml:space="preserve">Granting of competency in this unit shall be made only </w:t>
            </w:r>
            <w:r w:rsidRPr="00BE2913">
              <w:t>after competency in the following unit(s) has/have been confirmed.</w:t>
            </w:r>
          </w:p>
          <w:p w:rsidR="00000000" w:rsidRPr="00BE2913" w:rsidP="00BE2913">
            <w:pPr>
              <w:pStyle w:val="BodyText"/>
            </w:pPr>
            <w:r w:rsidRPr="00BE2913">
              <w:t>Where pre-requisite pathways have been identified. All competencies in the Common Unit Group must be have been co</w:t>
            </w:r>
            <w:r w:rsidRPr="00BE2913">
              <w:t>mpleted plus all the competencies in one (1) of the identified Pathway Unit Group(s):</w:t>
            </w:r>
          </w:p>
          <w:p w:rsidR="00000000" w:rsidP="00BE2913">
            <w:pPr>
              <w:pStyle w:val="BodyText"/>
              <w:rPr>
                <w:lang w:val="en-NZ"/>
              </w:rPr>
            </w:pPr>
            <w:r w:rsidRPr="00BE2913">
              <w:t>Common Unit Group</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Unit Code</w:t>
            </w:r>
          </w:p>
        </w:tc>
        <w:tc>
          <w:tcPr>
            <w:tcW w:w="378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Unit Title</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Apply Occupational Health and Safety regulations, codes and practices in the workplace</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Fabricate, assemble and dismantle utilities industry components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Solve problems in d.c. Circuits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Fix and secure electrotechnology equipment</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Use drawings, diagrams, schedules, standards, codes and specifications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UEENEEE137A</w:t>
            </w:r>
          </w:p>
        </w:tc>
        <w:tc>
          <w:tcPr>
            <w:tcW w:w="378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Document and apply measures to control OHS risks associated with electrotechnology work</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Solve problems in single and three phase low voltage machines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Solve problems in single and three phase low voltage electrical ap</w:t>
            </w:r>
            <w:r w:rsidRPr="00BE2913">
              <w:t>paratus and circuits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Arrange circuits, control and protection for general electrical installations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UEENEEG076A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Install and replace low voltage current transformer metering</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Solve problems in electromagnetic devices and related circuits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Solve problems in electromagnetic devices and related circuits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Install low voltage wiring and accessories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Install appliances, switchgear and associated</w:t>
            </w:r>
            <w:r w:rsidRPr="00BE2913">
              <w:t xml:space="preserve"> accessories for low voltage electrical installations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RPr="00BE2913" w:rsidP="00BE2913">
            <w:pPr>
              <w:pStyle w:val="BodyText"/>
            </w:pPr>
            <w:r w:rsidRPr="00BE2913">
              <w:t>UEENEEG105A</w:t>
            </w:r>
          </w:p>
        </w:tc>
        <w:tc>
          <w:tcPr>
            <w:tcW w:w="378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656"/>
            </w:tblGrid>
            <w:tr>
              <w:tblPrEx>
                <w:tblW w:w="0" w:type="auto"/>
                <w:tblLayout w:type="fixed"/>
                <w:tblCellMar>
                  <w:left w:w="62" w:type="dxa"/>
                  <w:right w:w="62" w:type="dxa"/>
                </w:tblCellMar>
                <w:tblLook w:val="0000"/>
              </w:tblPrEx>
              <w:tc>
                <w:tcPr>
                  <w:tcW w:w="3656" w:type="dxa"/>
                  <w:shd w:val="clear" w:color="auto" w:fill="FFFFFF"/>
                  <w:tcMar>
                    <w:top w:w="0" w:type="dxa"/>
                    <w:left w:w="62" w:type="dxa"/>
                    <w:bottom w:w="0" w:type="dxa"/>
                    <w:right w:w="62" w:type="dxa"/>
                  </w:tcMar>
                </w:tcPr>
                <w:p w:rsidR="00000000" w:rsidRPr="00BE2913" w:rsidP="00BE2913">
                  <w:pPr>
                    <w:pStyle w:val="BodyText"/>
                  </w:pPr>
                  <w:r w:rsidRPr="00BE2913">
                    <w:t>Verify compliance and functionality of low voltage general electrical installations</w:t>
                  </w:r>
                </w:p>
              </w:tc>
            </w:tr>
          </w:tbl>
          <w:p w:rsidR="00000000" w:rsidP="00BE2913">
            <w:pPr>
              <w:pStyle w:val="BodyText"/>
              <w:rPr>
                <w:lang w:val="en-NZ"/>
              </w:rPr>
            </w:pP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Terminate cables, cords and accessories for low voltage circuits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Select wiring systems and cables for low voltage general electrical installations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 xml:space="preserve">Trouble-shoot and repair faults in low voltage electrical apparatus and </w:t>
            </w:r>
            <w:r w:rsidRPr="00BE2913">
              <w:t>circuits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Develop and connect electrical control circuits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UEENEEG171A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Ins</w:t>
            </w:r>
            <w:r w:rsidRPr="00BE2913">
              <w:t>tall, set up and commission interval metering</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Apply sustainable energy and environmental procedures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UETTDREL15A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Respond to power systems technical enquiries and requests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Working safely near live electrical apparatus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UETTDRTS37A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Perform current injection testing using phantom load</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UETTDRTS38A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Install and replace high voltage metering and associated equipment</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UETTDRTS39A</w:t>
            </w:r>
          </w:p>
        </w:tc>
        <w:tc>
          <w:tcPr>
            <w:tcW w:w="37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Maintain compliance with national electricity market metrology practices and procedures</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E2913">
            <w:pPr>
              <w:pStyle w:val="BodyText"/>
              <w:rPr>
                <w:lang w:val="en-NZ"/>
              </w:rPr>
            </w:pPr>
            <w:r w:rsidRPr="00BE2913">
              <w:t>UETTDR</w:t>
            </w:r>
            <w:r w:rsidRPr="00BE2913">
              <w:t>TS40A</w:t>
            </w:r>
          </w:p>
        </w:tc>
        <w:tc>
          <w:tcPr>
            <w:tcW w:w="3780" w:type="dxa"/>
            <w:tcBorders>
              <w:top w:val="nil"/>
              <w:left w:val="nil"/>
              <w:bottom w:val="nil"/>
              <w:right w:val="nil"/>
            </w:tcBorders>
            <w:tcMar>
              <w:top w:w="0" w:type="dxa"/>
              <w:left w:w="62" w:type="dxa"/>
              <w:bottom w:w="0" w:type="dxa"/>
              <w:right w:w="62" w:type="dxa"/>
            </w:tcMar>
            <w:vAlign w:val="center"/>
          </w:tcPr>
          <w:p w:rsidR="00000000" w:rsidRPr="00BE2913" w:rsidP="00BE2913">
            <w:pPr>
              <w:pStyle w:val="BodyText"/>
            </w:pPr>
            <w:r w:rsidRPr="00BE2913">
              <w:t>Test and maintain energy/revenue metering schemes</w:t>
            </w:r>
          </w:p>
        </w:tc>
      </w:tr>
    </w:tbl>
    <w:p w:rsidR="00000000" w:rsidRPr="00BE2913" w:rsidP="00BE291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191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 xml:space="preserve">4.2) </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 xml:space="preserve">Participants are best equipped to achieve this unit if they have reading, writing and numeracy skills indicated by the following scales. Description </w:t>
            </w:r>
            <w:r w:rsidRPr="00BE2913">
              <w:t>of each scale is given in Volume 2, Part 3 “Literacy and Numeracy”</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Reading</w:t>
            </w:r>
          </w:p>
        </w:tc>
        <w:tc>
          <w:tcPr>
            <w:tcW w:w="81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5</w:t>
            </w:r>
          </w:p>
        </w:tc>
        <w:tc>
          <w:tcPr>
            <w:tcW w:w="99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Writing</w:t>
            </w:r>
          </w:p>
        </w:tc>
        <w:tc>
          <w:tcPr>
            <w:tcW w:w="90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5</w:t>
            </w:r>
          </w:p>
        </w:tc>
        <w:tc>
          <w:tcPr>
            <w:tcW w:w="12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Numeracy</w:t>
            </w:r>
          </w:p>
        </w:tc>
        <w:tc>
          <w:tcPr>
            <w:tcW w:w="72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5</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6" w:name="O_464820"/>
      <w:bookmarkEnd w:id="6"/>
      <w:r w:rsidRPr="00BE2913">
        <w:t>Employability Skills Information</w:t>
      </w:r>
    </w:p>
    <w:tbl>
      <w:tblPr>
        <w:tblW w:w="0" w:type="auto"/>
        <w:tblLayout w:type="fixed"/>
        <w:tblCellMar>
          <w:left w:w="62" w:type="dxa"/>
          <w:right w:w="62" w:type="dxa"/>
        </w:tblCellMar>
        <w:tblLook w:val="0000"/>
      </w:tblPr>
      <w:tblGrid>
        <w:gridCol w:w="2700"/>
        <w:gridCol w:w="5760"/>
      </w:tblGrid>
      <w:tr w:rsidTr="000619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 xml:space="preserve">5) </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 xml:space="preserve">The required outcomes described in this </w:t>
            </w:r>
            <w:r w:rsidRPr="00BE2913">
              <w:t>unit of competency contain applicable facets of Employability Skills. The Employability Skills Summary of the qualification in which this unit of competency is packaged will assist in identifying Employability Skill requirements.</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7" w:name="O_464819"/>
      <w:bookmarkEnd w:id="7"/>
      <w:r w:rsidRPr="00BE2913">
        <w:t>Element</w:t>
      </w:r>
      <w:r w:rsidRPr="00BE2913">
        <w:t>s and Performance Criteria Pre-Content</w:t>
      </w:r>
    </w:p>
    <w:tbl>
      <w:tblPr>
        <w:tblW w:w="0" w:type="auto"/>
        <w:tblLayout w:type="fixed"/>
        <w:tblCellMar>
          <w:left w:w="62" w:type="dxa"/>
          <w:right w:w="62" w:type="dxa"/>
        </w:tblCellMar>
        <w:tblLook w:val="0000"/>
      </w:tblPr>
      <w:tblGrid>
        <w:gridCol w:w="2700"/>
        <w:gridCol w:w="5760"/>
      </w:tblGrid>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6)</w:t>
            </w:r>
            <w:r w:rsidRPr="00BE291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Performance Criteria describe the required performance needed to demonstrate achievement of the element. Assessment of performance is to be con</w:t>
            </w:r>
            <w:r w:rsidRPr="00BE2913">
              <w:t>sistent with the Evidence Guide.</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8" w:name="O_464818"/>
      <w:bookmarkEnd w:id="8"/>
      <w:r w:rsidRPr="00BE2913">
        <w:t>Elements and Performance Criteria</w:t>
      </w:r>
    </w:p>
    <w:tbl>
      <w:tblPr>
        <w:tblW w:w="0" w:type="auto"/>
        <w:tblLayout w:type="fixed"/>
        <w:tblCellMar>
          <w:left w:w="62" w:type="dxa"/>
          <w:right w:w="62" w:type="dxa"/>
        </w:tblCellMar>
        <w:tblLook w:val="0000"/>
      </w:tblPr>
      <w:tblGrid>
        <w:gridCol w:w="405"/>
        <w:gridCol w:w="2300"/>
        <w:gridCol w:w="964"/>
        <w:gridCol w:w="4796"/>
        <w:gridCol w:w="8"/>
      </w:tblGrid>
      <w:tr w:rsidTr="00061916">
        <w:tblPrEx>
          <w:tblW w:w="0" w:type="auto"/>
          <w:tblLayout w:type="fixed"/>
          <w:tblCellMar>
            <w:left w:w="62" w:type="dxa"/>
            <w:right w:w="62" w:type="dxa"/>
          </w:tblCellMar>
          <w:tblLook w:val="0000"/>
        </w:tblPrEx>
        <w:trPr>
          <w:gridAfter w:val="1"/>
          <w:wAfter w:w="8" w:type="dxa"/>
          <w:tblHeader/>
        </w:trPr>
        <w:tc>
          <w:tcPr>
            <w:tcW w:w="2705" w:type="dxa"/>
            <w:gridSpan w:val="2"/>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PERFORMANCE CRITERIA</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w:t>
            </w:r>
          </w:p>
        </w:tc>
        <w:tc>
          <w:tcPr>
            <w:tcW w:w="2300" w:type="dxa"/>
            <w:vMerge w:val="restart"/>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Plan for the Management of energy registration data errors for revenue billing purposes</w:t>
            </w: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1.1</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OHS practices/procedures and environmental and sustainable energy procedures, which may influence the management of energy registration data errors for revenue billing purposes are reviewed and determined.</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1.2</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Purpose of the management of energy registration data errors for revenue billing purposes is established after data is analysed and expected outcomes of the work are confirmed with the appropriate personnel.</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1.3</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Organisational established procedures, po</w:t>
            </w:r>
            <w:r w:rsidRPr="00BE2913">
              <w:t>licies and specifications for the management of energy registration data errors for revenue billing purposes are obtained or established with the appropriate personnel.</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1.4</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Management of energy registration data errors for revenue billing purposes proce</w:t>
            </w:r>
            <w:r w:rsidRPr="00BE2913">
              <w:t>dures are discussed with/directed to the appropriate personnel in order to ascertain the project brief.</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1.5</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Management of energy registration data errors for revenue billing purposes parameters are established from organisational established procedures, policies and specifications.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1.6</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Equipment/tools and personal protective equipment are selected based on sp</w:t>
            </w:r>
            <w:r w:rsidRPr="00BE2913">
              <w:t>ecified Performance Criteria and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1.7</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Work roles and tasks are allocated according to requirements and individuals’ competencies.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1.8</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 xml:space="preserve">Work is prioritised and sequenced for the most efficient/effective outcome, completed within </w:t>
            </w:r>
            <w:r w:rsidRPr="00BE2913">
              <w:t>an acceptable timeframe to a quality standard and in accordance with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1.9</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Liaison and communication issues with other/authorised personnel, authorities, clients and customers are resolved and activities coordinated to carry out wo</w:t>
            </w:r>
            <w:r w:rsidRPr="00BE2913">
              <w:t>rk.</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1.10</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Risk control measures are identified, prioritised and evaluated against the work schedule.</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1.11</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Relevant internal/external work permits are obtained to coordinate the performance of work according to requirements and/or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w:t>
            </w:r>
          </w:p>
        </w:tc>
        <w:tc>
          <w:tcPr>
            <w:tcW w:w="2300" w:type="dxa"/>
            <w:vMerge w:val="restart"/>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Carry out the management of energy registration data errors for revenue billing purposes</w:t>
            </w: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2.1</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OHS and sust</w:t>
            </w:r>
            <w:r w:rsidRPr="00BE2913">
              <w:t>ainable energy principles, functionality and practices to prevent the incidents of accidents and minimise waste are incorporated into the project in accordance with requirements and/or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2.2</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First Aid, Rescue and other related work procedures are performed according to requirements and/or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2.3</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Lifting, climbing, and use of powertools/equipment, techniques and practices are safely exercised according to requirements.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2.4</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Hazard warnings and safety signs are recognized and hazards and assessed OHS risks are reported to the immediate authorised persons for directions according to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2.5</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Remedial actions are taken to overcome any shortfalls encou</w:t>
            </w:r>
            <w:r w:rsidRPr="00BE2913">
              <w:t>ntered in the work schedule according to requirements and/or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 xml:space="preserve"> </w:t>
            </w: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2.6</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Testing equipment is used in accordance with the work schedule and requirements and/or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2.7</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Evaluation of revenue metering data and fault</w:t>
            </w:r>
            <w:r w:rsidRPr="00BE2913">
              <w:t>s is carried out in accordance with the work schedule</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2.8</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 xml:space="preserve">Technical advice is given regarding potential hazards, safety risks and control measures so that monitoring and preventative action can be </w:t>
            </w:r>
            <w:r w:rsidRPr="00BE2913">
              <w:t>undertaken and/or appropriate authorities consulted, where necessary, in accordance with requirements and established procedures.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2.9</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 xml:space="preserve">Essential knowledge and associated skills are applied in the management of energy registration data errors for revenue </w:t>
            </w:r>
            <w:r w:rsidRPr="00BE2913">
              <w:t>billing purposes to ensure completion in an agreed timeframe according to requirements.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2.10</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Solutions to non-routine problems are identified and actioned, using essential knowledge and associated skills, according to requirements.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2.11</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Quality of wo</w:t>
            </w:r>
            <w:r w:rsidRPr="00BE2913">
              <w:t>rk is monitored against personal performance agreement and/or established organisational and professional standards.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3</w:t>
            </w:r>
          </w:p>
        </w:tc>
        <w:tc>
          <w:tcPr>
            <w:tcW w:w="230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Complete the evaluation of revenue metering data and faults</w:t>
            </w: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3.1</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Final inspections of the management of energy registration data errors f</w:t>
            </w:r>
            <w:r w:rsidRPr="00BE2913">
              <w:t>or revenue billing purposes using routine tests and acceptance tests are undertaken to ensure they comply with all requirements and include all specifications and documents needed to complete the project.</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3.2</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Appropriate internal/external personnel are notified of completion and reports and/or completion documents are finalised/commissioned according to established procedures and timeframes.</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3.3</w:t>
            </w:r>
          </w:p>
        </w:tc>
        <w:tc>
          <w:tcPr>
            <w:tcW w:w="4804" w:type="dxa"/>
            <w:gridSpan w:val="2"/>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Reports and/or completion documents are submitted to relevant p</w:t>
            </w:r>
            <w:r w:rsidRPr="00BE2913">
              <w:t>ersonnel/organisations for approval and, where applicable, statutory or regulatory approval.</w:t>
            </w:r>
          </w:p>
        </w:tc>
      </w:tr>
      <w:tr w:rsidTr="0006191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4"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t>3.4</w:t>
            </w:r>
          </w:p>
        </w:tc>
        <w:tc>
          <w:tcPr>
            <w:tcW w:w="4804" w:type="dxa"/>
            <w:gridSpan w:val="2"/>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Approved copies of routine testing and acceptance testing procedures/activities/results, for the management of energy registration data errors for revenue b</w:t>
            </w:r>
            <w:r w:rsidRPr="00BE2913">
              <w:t>illing purposes, documents are issued and records are updated in accordance with established procedures.</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9" w:name="O_464826"/>
      <w:bookmarkEnd w:id="9"/>
      <w:r w:rsidRPr="00BE2913">
        <w:t>Required Skills and Knowledge</w:t>
      </w:r>
    </w:p>
    <w:tbl>
      <w:tblPr>
        <w:tblW w:w="0" w:type="auto"/>
        <w:tblLayout w:type="fixed"/>
        <w:tblCellMar>
          <w:left w:w="62" w:type="dxa"/>
          <w:right w:w="62" w:type="dxa"/>
        </w:tblCellMar>
        <w:tblLook w:val="0000"/>
      </w:tblPr>
      <w:tblGrid>
        <w:gridCol w:w="8460"/>
      </w:tblGrid>
      <w:tr w:rsidTr="0006191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REQUIRED SKILLS AND KNOWLEDGE</w:t>
            </w:r>
          </w:p>
        </w:tc>
      </w:tr>
      <w:tr w:rsidTr="0006191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8)</w:t>
            </w:r>
            <w:r w:rsidRPr="00BE2913">
              <w:t xml:space="preserve"> Essential Knowledge and Associated Skills (EKAS): This describes the essential skills and knowledge and their level, required for this unit.</w:t>
            </w:r>
          </w:p>
          <w:p w:rsidR="00000000" w:rsidRPr="00BE2913" w:rsidP="00BE2913">
            <w:pPr>
              <w:pStyle w:val="BodyText"/>
            </w:pPr>
            <w:r w:rsidRPr="00BE2913">
              <w:t>Evidence shall show that knowledge has been acquired of the management of energy registration data errors for reve</w:t>
            </w:r>
            <w:r w:rsidRPr="00BE2913">
              <w:t xml:space="preserve">nue billing purposes. </w:t>
            </w:r>
          </w:p>
          <w:p w:rsidR="00000000" w:rsidRPr="00BE2913" w:rsidP="00BE2913">
            <w:pPr>
              <w:pStyle w:val="BodyText"/>
            </w:pPr>
            <w:r w:rsidRPr="00BE2913">
              <w:t>All knowledge and skills detailed in this unit should be contextualised to current industry practices and technologies.</w:t>
            </w:r>
          </w:p>
          <w:p w:rsidR="00000000" w:rsidRPr="00BE2913" w:rsidP="00BE2913">
            <w:pPr>
              <w:pStyle w:val="BodyText"/>
            </w:pPr>
            <w:r w:rsidRPr="00BE2913">
              <w:t xml:space="preserve">KS01-TTS42A </w:t>
            </w:r>
            <w:r w:rsidRPr="00BE2913">
              <w:tab/>
              <w:t>Revenue billing registration data error management</w:t>
            </w:r>
          </w:p>
          <w:p w:rsidR="00000000" w:rsidRPr="00BE2913" w:rsidP="00BE2913">
            <w:pPr>
              <w:pStyle w:val="BodyText"/>
            </w:pPr>
            <w:r w:rsidRPr="00BE2913">
              <w:t>Evidence shall show an understanding of the manag</w:t>
            </w:r>
            <w:r w:rsidRPr="00BE2913">
              <w:t xml:space="preserve">ement of energy registration data errors for revenue billing purposes to an extent indicated by the following aspects: </w:t>
            </w:r>
          </w:p>
          <w:p w:rsidR="00000000" w:rsidRPr="00BE2913" w:rsidP="00BE2913">
            <w:pPr>
              <w:pStyle w:val="BodyText"/>
            </w:pPr>
            <w:r w:rsidRPr="00BE2913">
              <w:t>T1</w:t>
            </w:r>
            <w:r w:rsidRPr="00BE2913">
              <w:tab/>
              <w:t>Requires the use of different types of meter manufacturer proprietary software</w:t>
            </w:r>
          </w:p>
          <w:p w:rsidR="00000000" w:rsidRPr="00BE2913" w:rsidP="00BE2913">
            <w:pPr>
              <w:pStyle w:val="BodyText"/>
            </w:pPr>
            <w:r w:rsidRPr="00BE2913">
              <w:t>T2</w:t>
            </w:r>
            <w:r w:rsidRPr="00BE2913">
              <w:tab/>
              <w:t>Requires an understanding of common failure modes a</w:t>
            </w:r>
            <w:r w:rsidRPr="00BE2913">
              <w:t>nd the impact on revenue billing</w:t>
            </w:r>
          </w:p>
          <w:p w:rsidR="00000000" w:rsidRPr="00BE2913" w:rsidP="00BE2913">
            <w:pPr>
              <w:pStyle w:val="BodyText"/>
            </w:pPr>
            <w:r w:rsidRPr="00BE2913">
              <w:t>T3</w:t>
            </w:r>
            <w:r w:rsidRPr="00BE2913">
              <w:tab/>
              <w:t>Understanding of tariff structures and conditions</w:t>
            </w:r>
          </w:p>
          <w:p w:rsidR="00000000" w:rsidRPr="00BE2913" w:rsidP="00BE2913">
            <w:pPr>
              <w:pStyle w:val="BodyText"/>
            </w:pPr>
            <w:r w:rsidRPr="00BE2913">
              <w:t>T4</w:t>
            </w:r>
            <w:r w:rsidRPr="00BE2913">
              <w:tab/>
              <w:t xml:space="preserve">Understanding of customer segments and commercial and industrial load patterns </w:t>
            </w:r>
          </w:p>
          <w:p w:rsidR="00000000" w:rsidRPr="00BE2913" w:rsidP="00BE2913">
            <w:pPr>
              <w:pStyle w:val="BodyText"/>
            </w:pPr>
            <w:r w:rsidRPr="00BE2913">
              <w:t>T5</w:t>
            </w:r>
            <w:r w:rsidRPr="00BE2913">
              <w:tab/>
              <w:t>Determination of sources of alternative interval data from non-revenue metering syst</w:t>
            </w:r>
            <w:r w:rsidRPr="00BE2913">
              <w:t>ems for use in substitution of revenue data</w:t>
            </w:r>
          </w:p>
          <w:p w:rsidR="00000000" w:rsidRPr="00BE2913" w:rsidP="00BE2913">
            <w:pPr>
              <w:pStyle w:val="BodyText"/>
            </w:pPr>
            <w:r w:rsidRPr="00BE2913">
              <w:t>T6</w:t>
            </w:r>
            <w:r w:rsidRPr="00BE2913">
              <w:tab/>
              <w:t>Awareness and the application of ‘Metering Data Substitution Estimation and Validation Procedures for Metering Types 1-7’</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10" w:name="O_464821"/>
      <w:bookmarkEnd w:id="10"/>
      <w:r w:rsidRPr="00BE2913">
        <w:t>Evidence Guide</w:t>
      </w:r>
    </w:p>
    <w:tbl>
      <w:tblPr>
        <w:tblW w:w="0" w:type="auto"/>
        <w:tblLayout w:type="fixed"/>
        <w:tblCellMar>
          <w:left w:w="62" w:type="dxa"/>
          <w:right w:w="62" w:type="dxa"/>
        </w:tblCellMar>
        <w:tblLook w:val="0000"/>
      </w:tblPr>
      <w:tblGrid>
        <w:gridCol w:w="8460"/>
      </w:tblGrid>
      <w:tr w:rsidTr="0006191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EVIDENCE GUIDE</w:t>
            </w:r>
          </w:p>
        </w:tc>
      </w:tr>
      <w:tr w:rsidTr="000619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9)</w:t>
            </w:r>
            <w:r w:rsidRPr="00BE2913">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BE2913" w:rsidP="00BE2913">
            <w:pPr>
              <w:pStyle w:val="BodyText"/>
            </w:pPr>
            <w:r w:rsidRPr="00BE2913">
              <w:t>The Evidence Guide form</w:t>
            </w:r>
            <w:r w:rsidRPr="00BE2913">
              <w:t>s an integral part of this Competency Standard Unit and shall be used in conjunction with all component parts of this unit and, performed in accordance with the Assessment Guidelines of this Training Package.</w:t>
            </w:r>
          </w:p>
        </w:tc>
      </w:tr>
    </w:tbl>
    <w:p w:rsidR="00000000" w:rsidRPr="00BE2913" w:rsidP="00BE2913">
      <w:pPr>
        <w:pStyle w:val="BodyText"/>
      </w:pPr>
    </w:p>
    <w:tbl>
      <w:tblPr>
        <w:tblW w:w="0" w:type="auto"/>
        <w:tblLayout w:type="fixed"/>
        <w:tblCellMar>
          <w:left w:w="62" w:type="dxa"/>
          <w:right w:w="62" w:type="dxa"/>
        </w:tblCellMar>
        <w:tblLook w:val="0000"/>
      </w:tblPr>
      <w:tblGrid>
        <w:gridCol w:w="1890"/>
        <w:gridCol w:w="6570"/>
      </w:tblGrid>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9.1)</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Longitudinal co</w:t>
            </w:r>
            <w:r w:rsidRPr="00BE2913">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BE2913">
              <w:t>It is the Industry’s preferred model for apprenticeships. However, where summative (or final) assessment is used it is to include the application of the competency in the normal work environment or, at a minimum, the application of the competency in a real</w:t>
            </w:r>
            <w:r w:rsidRPr="00BE2913">
              <w:t>istically simulated work environment. It is recognised that, in some circumstances, assessment in part or full can occur outside the workplace. However, it must be in accord with Industry and, Regulatory policy in this regard.</w:t>
            </w:r>
          </w:p>
          <w:p w:rsidR="00000000" w:rsidRPr="00BE2913" w:rsidP="00BE2913">
            <w:pPr>
              <w:pStyle w:val="BodyText"/>
            </w:pPr>
            <w:r w:rsidRPr="00BE2913">
              <w:t>Methods chosen for a particular assessment will be influenced by various factors. These include the extent of the assessment, the most effective locations for the assessment activities to take place, access to physical resources, additional safety measures</w:t>
            </w:r>
            <w:r w:rsidRPr="00BE2913">
              <w:t xml:space="preserve"> that may be required and the critical nature of the competencies being assessed.</w:t>
            </w:r>
          </w:p>
          <w:p w:rsidR="00000000" w:rsidRPr="00BE2913" w:rsidP="00BE2913">
            <w:pPr>
              <w:pStyle w:val="BodyText"/>
            </w:pPr>
            <w:r w:rsidRPr="00BE2913">
              <w:t>The critical safety nature of working with electricity, electrical equipment, gas or any other hazardous substance/material carries risk in deeming a person competent. Hence,</w:t>
            </w:r>
            <w:r w:rsidRPr="00BE2913">
              <w:t xml:space="preserve"> sources of evidence need to be ‘rich’ in nature so as to minimise error in judgment.</w:t>
            </w:r>
          </w:p>
          <w:p w:rsidR="00000000" w:rsidRPr="00BE2913" w:rsidP="00BE2913">
            <w:pPr>
              <w:pStyle w:val="BodyText"/>
            </w:pPr>
            <w:r w:rsidRPr="00BE2913">
              <w:t xml:space="preserve">Activities associated with normal every day work have a bearing on the decision as to how much and how detailed the data gathered will contribute to its ‘richness’. Some </w:t>
            </w:r>
            <w:r w:rsidRPr="00BE2913">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BE2913">
              <w:t>Sample assessment instruments are included for Assessors in the Assessment Guidelines of this Training Package.</w:t>
            </w:r>
          </w:p>
        </w:tc>
      </w:tr>
    </w:tbl>
    <w:p w:rsidR="00000000" w:rsidRPr="00BE2913" w:rsidP="00BE291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9.2)</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 xml:space="preserve">Before the critical aspects of evidence are considered </w:t>
            </w:r>
            <w:r w:rsidRPr="00BE2913">
              <w:t>all prerequisites shall be met.</w:t>
            </w:r>
          </w:p>
          <w:p w:rsidR="00000000" w:rsidRPr="00BE2913" w:rsidP="00BE2913">
            <w:pPr>
              <w:pStyle w:val="BodyText"/>
            </w:pPr>
            <w:r w:rsidRPr="00BE2913">
              <w:t xml:space="preserve">Evidence for competence in this unit shall be considered holistically. Each element and associated Performance Criteria shall be demonstrated on at least two occasions in accordance with the “Assessment Guidelines – UET12”. </w:t>
            </w:r>
            <w:r w:rsidRPr="00BE2913">
              <w:t>Evidence shall also comprise:</w:t>
            </w:r>
          </w:p>
          <w:p w:rsidR="00000000" w:rsidRPr="00BE2913" w:rsidP="00BE2913">
            <w:pPr>
              <w:pStyle w:val="ListBullet"/>
            </w:pPr>
            <w:r w:rsidRPr="00BE2913">
              <w:t>A representative body of Performance Criteria demonstrated within the timeframes typically expected of the discipline, work function and industrial environment. In particular this shall incorporate evidence that shows a candid</w:t>
            </w:r>
            <w:r w:rsidRPr="00BE2913">
              <w:t>ate is able to:</w:t>
            </w:r>
          </w:p>
          <w:p w:rsidR="00000000" w:rsidRPr="00BE2913" w:rsidP="00BE2913">
            <w:pPr>
              <w:pStyle w:val="ListBullet2"/>
            </w:pPr>
            <w:r w:rsidRPr="00BE2913">
              <w:t>Implement Occupational Health and Safety workplace procedures and practices including the use of risk control measures as specified in the Performance Criteria and range; and</w:t>
            </w:r>
          </w:p>
          <w:p w:rsidR="00000000" w:rsidRPr="00BE2913" w:rsidP="00BE2913">
            <w:pPr>
              <w:pStyle w:val="ListBullet2"/>
            </w:pPr>
            <w:r w:rsidRPr="00BE2913">
              <w:t>Apply sustainable energy principles and practices as specified in the Performance Criteria and range; and</w:t>
            </w:r>
          </w:p>
          <w:p w:rsidR="00000000" w:rsidRPr="00BE2913" w:rsidP="00BE2913">
            <w:pPr>
              <w:pStyle w:val="ListBullet2"/>
            </w:pPr>
            <w:r w:rsidRPr="00BE2913">
              <w:t>Demonstrate an understanding of the essential knowledge and associated skills as described in this unit to such an extent that the learner’s performan</w:t>
            </w:r>
            <w:r w:rsidRPr="00BE2913">
              <w:t>ce outcome is reported in accordance with the preferred approach; namely a percentile graded result, where required by the regulated environment; and</w:t>
            </w:r>
          </w:p>
          <w:p w:rsidR="00000000" w:rsidRPr="00BE2913" w:rsidP="00BE2913">
            <w:pPr>
              <w:pStyle w:val="ListBullet2"/>
            </w:pPr>
            <w:r w:rsidRPr="00BE2913">
              <w:t>Demonstrate an appropriate level of employability skills; and</w:t>
            </w:r>
          </w:p>
          <w:p w:rsidR="00000000" w:rsidRPr="00BE2913" w:rsidP="00BE2913">
            <w:pPr>
              <w:pStyle w:val="ListBullet"/>
            </w:pPr>
            <w:r w:rsidRPr="00BE2913">
              <w:t>Conduct work observing the relevant Anti dis</w:t>
            </w:r>
            <w:r w:rsidRPr="00BE2913">
              <w:t>crimination legislation, regulations, policies and workplace procedures; and</w:t>
            </w:r>
          </w:p>
          <w:p w:rsidR="00000000" w:rsidP="00BE2913">
            <w:pPr>
              <w:pStyle w:val="ListBullet2"/>
              <w:rPr>
                <w:lang w:val="en-NZ"/>
              </w:rPr>
            </w:pPr>
            <w:r w:rsidRPr="00BE2913">
              <w:t>Demonstrated performance across a representative range of contexts from the prescribed items below:</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E291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rPr>
                <w:rStyle w:val="SpecialBold"/>
              </w:rPr>
              <w:t>Range of tools/equipment/materials/procedures/workplaces/other variables</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E291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913" w:rsidP="00BE2913">
            <w:pPr>
              <w:pStyle w:val="BodyText"/>
            </w:pPr>
            <w:r w:rsidRPr="00BE291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913" w:rsidP="00BE2913">
            <w:pPr>
              <w:pStyle w:val="BodyText"/>
            </w:pPr>
            <w:r w:rsidRPr="00BE2913">
              <w:rPr>
                <w:rStyle w:val="SpecialBold"/>
              </w:rPr>
              <w:t xml:space="preserve">The minimum number of items on which skill is to be </w:t>
            </w:r>
            <w:r w:rsidRPr="00BE2913">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rPr>
                <w:rStyle w:val="SpecialBold"/>
              </w:rPr>
              <w:t>Item List</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Perform, on at least three (3) occasions, the evaluation of two (2) of the following revenue metering data by: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913" w:rsidP="00BE2913">
            <w:pPr>
              <w:pStyle w:val="BodyText"/>
            </w:pPr>
            <w:r w:rsidRPr="00BE2913">
              <w:t>Downloading load profile data</w:t>
            </w:r>
          </w:p>
          <w:p w:rsidR="00000000" w:rsidRPr="00BE2913" w:rsidP="00BE2913">
            <w:pPr>
              <w:pStyle w:val="BodyText"/>
            </w:pPr>
            <w:r w:rsidRPr="00BE2913">
              <w:t>Downloading event logs</w:t>
            </w:r>
          </w:p>
          <w:p w:rsidR="00000000" w:rsidP="00BE2913">
            <w:pPr>
              <w:pStyle w:val="BodyText"/>
              <w:rPr>
                <w:lang w:val="en-NZ"/>
              </w:rPr>
            </w:pPr>
            <w:r w:rsidRPr="00BE2913">
              <w:t>Determination of error date and time (includes calculating substitution data)</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Demonstrate, on at least three (3) occasions, the use of at least two different proprietary types of software to interpret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913" w:rsidP="00BE2913">
            <w:pPr>
              <w:pStyle w:val="BodyText"/>
            </w:pPr>
            <w:r w:rsidRPr="00BE2913">
              <w:t>Alarms</w:t>
            </w:r>
          </w:p>
          <w:p w:rsidR="00000000" w:rsidRPr="00BE2913" w:rsidP="00BE2913">
            <w:pPr>
              <w:pStyle w:val="BodyText"/>
            </w:pPr>
            <w:r w:rsidRPr="00BE2913">
              <w:t>Meter</w:t>
            </w:r>
            <w:r w:rsidRPr="00BE2913">
              <w:t xml:space="preserve"> program/software settings</w:t>
            </w:r>
          </w:p>
          <w:p w:rsidR="00000000" w:rsidRPr="00BE2913" w:rsidP="00BE2913">
            <w:pPr>
              <w:pStyle w:val="BodyText"/>
            </w:pPr>
            <w:r w:rsidRPr="00BE2913">
              <w:t>Event records</w:t>
            </w:r>
          </w:p>
          <w:p w:rsidR="00000000" w:rsidRPr="00BE2913" w:rsidP="00BE2913">
            <w:pPr>
              <w:pStyle w:val="BodyText"/>
            </w:pPr>
            <w:r w:rsidRPr="00BE2913">
              <w:t>Power quality records</w:t>
            </w:r>
          </w:p>
          <w:p w:rsidR="00000000" w:rsidP="00BE2913">
            <w:pPr>
              <w:pStyle w:val="BodyText"/>
              <w:rPr>
                <w:lang w:val="en-NZ"/>
              </w:rPr>
            </w:pPr>
            <w:r w:rsidRPr="00BE2913">
              <w:t>Sequence of events records</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Perform, on at least three (3)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Report writing on in depth analysis</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Perform, on at least three (3) occasion, the evaluation and or investigation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913" w:rsidP="00BE2913">
            <w:pPr>
              <w:pStyle w:val="BodyText"/>
            </w:pPr>
            <w:r w:rsidRPr="00BE2913">
              <w:t>Energy consumption data</w:t>
            </w:r>
          </w:p>
          <w:p w:rsidR="00000000" w:rsidRPr="00BE2913" w:rsidP="00BE2913">
            <w:pPr>
              <w:pStyle w:val="BodyText"/>
            </w:pPr>
            <w:r w:rsidRPr="00BE2913">
              <w:t>Registration data</w:t>
            </w:r>
          </w:p>
          <w:p w:rsidR="00000000" w:rsidRPr="00BE2913" w:rsidP="00BE2913">
            <w:pPr>
              <w:pStyle w:val="BodyText"/>
            </w:pPr>
            <w:r w:rsidRPr="00BE2913">
              <w:t>CT/VT ratio confirmations</w:t>
            </w:r>
          </w:p>
          <w:p w:rsidR="00000000" w:rsidRPr="00BE2913" w:rsidP="00BE2913">
            <w:pPr>
              <w:pStyle w:val="BodyText"/>
            </w:pPr>
            <w:r w:rsidRPr="00BE2913">
              <w:t>On site load comparisons</w:t>
            </w:r>
          </w:p>
          <w:p w:rsidR="00000000" w:rsidP="00BE2913">
            <w:pPr>
              <w:pStyle w:val="BodyText"/>
              <w:rPr>
                <w:lang w:val="en-NZ"/>
              </w:rPr>
            </w:pPr>
            <w:r w:rsidRPr="00BE2913">
              <w:t>Customer consumption history</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Perform, on at least two (2) occas</w:t>
            </w:r>
            <w:r w:rsidRPr="00BE2913">
              <w:t>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Consultation with customers or their representatives to confirm site consumption patterns and loading</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913">
            <w:pPr>
              <w:pStyle w:val="BodyText"/>
              <w:rPr>
                <w:lang w:val="en-NZ"/>
              </w:rPr>
            </w:pPr>
            <w:r w:rsidRPr="00BE2913">
              <w:t xml:space="preserve">Demonstrate, on at least one (1) occasion, the </w:t>
            </w:r>
            <w:r w:rsidRPr="00BE2913">
              <w:t>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913" w:rsidP="00BE2913">
            <w:pPr>
              <w:pStyle w:val="BodyText"/>
            </w:pPr>
            <w:r w:rsidRPr="00BE2913">
              <w:t xml:space="preserve">Dealing with an unplanned event by drawing on essential </w:t>
            </w:r>
            <w:r w:rsidRPr="00BE2913">
              <w:t>knowledge and associated skills to provide appropriate solutions incorporated in the holistic assessment with the above listed items.</w:t>
            </w:r>
          </w:p>
        </w:tc>
      </w:tr>
    </w:tbl>
    <w:p w:rsidR="00000000" w:rsidRPr="00BE2913" w:rsidP="00BE2913">
      <w:pPr>
        <w:pStyle w:val="BodyText"/>
      </w:pPr>
    </w:p>
    <w:tbl>
      <w:tblPr>
        <w:tblW w:w="0" w:type="auto"/>
        <w:tblLayout w:type="fixed"/>
        <w:tblCellMar>
          <w:left w:w="62" w:type="dxa"/>
          <w:right w:w="62" w:type="dxa"/>
        </w:tblCellMar>
        <w:tblLook w:val="0000"/>
      </w:tblPr>
      <w:tblGrid>
        <w:gridCol w:w="1890"/>
        <w:gridCol w:w="6570"/>
      </w:tblGrid>
      <w:tr w:rsidTr="0006191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9.3)</w:t>
            </w:r>
          </w:p>
        </w:tc>
      </w:tr>
      <w:tr w:rsidTr="0006191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This unit should be assessed as it relates to normal work practice using procedures, information and resources typical of a workplace. This should include:</w:t>
            </w:r>
          </w:p>
          <w:p w:rsidR="00000000" w:rsidRPr="00BE2913" w:rsidP="00BE2913">
            <w:pPr>
              <w:pStyle w:val="ListBullet"/>
            </w:pPr>
            <w:r w:rsidRPr="00BE2913">
              <w:t>OHS policy and work procedures and instructions.</w:t>
            </w:r>
          </w:p>
          <w:p w:rsidR="00000000" w:rsidRPr="00BE2913" w:rsidP="00BE2913">
            <w:pPr>
              <w:pStyle w:val="ListBullet"/>
            </w:pPr>
            <w:r w:rsidRPr="00BE2913">
              <w:t>Suitable work environment, facilities, equipment an</w:t>
            </w:r>
            <w:r w:rsidRPr="00BE2913">
              <w:t>d materials to undertake actual management of energy registration data errors for revenue billing purposes.</w:t>
            </w:r>
          </w:p>
          <w:p w:rsidR="00000000" w:rsidRPr="00BE2913" w:rsidP="00BE2913">
            <w:pPr>
              <w:pStyle w:val="ListBullet"/>
            </w:pPr>
            <w:r w:rsidRPr="00BE2913">
              <w:t>Operational access to relevant plant, drawings, manufacture’s specifications/manuals and specialised testing equipment.</w:t>
            </w:r>
          </w:p>
          <w:p w:rsidR="00000000" w:rsidRPr="00BE2913" w:rsidP="00BE2913">
            <w:pPr>
              <w:pStyle w:val="BodyText"/>
            </w:pPr>
            <w:r w:rsidRPr="00BE2913">
              <w:t>In addition to the resources</w:t>
            </w:r>
            <w:r w:rsidRPr="00BE2913">
              <w:t xml:space="preserve"> listed above, in Context of and specific resources for assessment, evidence should show demonstrated competency working in realistic environment and a variety of conditions.</w:t>
            </w:r>
          </w:p>
        </w:tc>
      </w:tr>
    </w:tbl>
    <w:p w:rsidR="00000000" w:rsidRPr="00BE2913" w:rsidP="00BE2913">
      <w:pPr>
        <w:pStyle w:val="BodyText"/>
      </w:pPr>
    </w:p>
    <w:tbl>
      <w:tblPr>
        <w:tblW w:w="0" w:type="auto"/>
        <w:tblLayout w:type="fixed"/>
        <w:tblCellMar>
          <w:left w:w="62" w:type="dxa"/>
          <w:right w:w="62" w:type="dxa"/>
        </w:tblCellMar>
        <w:tblLook w:val="0000"/>
      </w:tblPr>
      <w:tblGrid>
        <w:gridCol w:w="1890"/>
        <w:gridCol w:w="6570"/>
      </w:tblGrid>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9.4)</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 xml:space="preserve">This Competency Standard Unit shall be assessed by </w:t>
            </w:r>
            <w:r w:rsidRPr="00BE2913">
              <w:t>methods given in Volume 1, Part 3 “Assessment Guidelines”.</w:t>
            </w:r>
          </w:p>
          <w:p w:rsidR="00000000" w:rsidRPr="00BE2913" w:rsidP="00BE2913">
            <w:pPr>
              <w:pStyle w:val="BodyText"/>
            </w:pPr>
            <w:r w:rsidRPr="00BE2913">
              <w:t xml:space="preserve">Note: </w:t>
            </w:r>
          </w:p>
          <w:p w:rsidR="00000000" w:rsidRPr="00BE2913" w:rsidP="00BE2913">
            <w:pPr>
              <w:pStyle w:val="BodyText"/>
            </w:pPr>
            <w:r w:rsidRPr="00BE2913">
              <w:t>Competent performance with inherent safe working practices is expected in the Transmission, Distribution and Rail Traction Industry. This requires that the specified essential knowledge and associated skills are assessed in a structured environment which i</w:t>
            </w:r>
            <w:r w:rsidRPr="00BE2913">
              <w:t>s primarily intended for learning/assessment and incorporates all necessary equipment and facilities for learners to develop and demonstrate the essential knowledge and associated skills described in this unit.</w:t>
            </w:r>
          </w:p>
        </w:tc>
      </w:tr>
    </w:tbl>
    <w:p w:rsidR="00000000" w:rsidRPr="00BE2913" w:rsidP="00BE2913">
      <w:pPr>
        <w:pStyle w:val="BodyText"/>
      </w:pPr>
    </w:p>
    <w:tbl>
      <w:tblPr>
        <w:tblW w:w="0" w:type="auto"/>
        <w:tblLayout w:type="fixed"/>
        <w:tblCellMar>
          <w:left w:w="62" w:type="dxa"/>
          <w:right w:w="62" w:type="dxa"/>
        </w:tblCellMar>
        <w:tblLook w:val="0000"/>
      </w:tblPr>
      <w:tblGrid>
        <w:gridCol w:w="1890"/>
        <w:gridCol w:w="6570"/>
      </w:tblGrid>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Concurrent assessment and relationship with</w:t>
            </w:r>
            <w:r w:rsidRPr="00BE2913">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9.5)</w:t>
            </w:r>
          </w:p>
        </w:tc>
      </w:tr>
      <w:tr w:rsidTr="0006191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There are no concurrent assessment recommendations for this unit.</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11" w:name="O_464825"/>
      <w:bookmarkEnd w:id="11"/>
      <w:r w:rsidRPr="00BE2913">
        <w:t>Range Statement</w:t>
      </w:r>
    </w:p>
    <w:tbl>
      <w:tblPr>
        <w:tblW w:w="0" w:type="auto"/>
        <w:tblLayout w:type="fixed"/>
        <w:tblCellMar>
          <w:left w:w="62" w:type="dxa"/>
          <w:right w:w="62" w:type="dxa"/>
        </w:tblCellMar>
        <w:tblLook w:val="0000"/>
      </w:tblPr>
      <w:tblGrid>
        <w:gridCol w:w="8460"/>
      </w:tblGrid>
      <w:tr w:rsidTr="0006191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RANGE STATEMENT</w:t>
            </w:r>
          </w:p>
        </w:tc>
      </w:tr>
      <w:tr w:rsidTr="000619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10)</w:t>
            </w:r>
            <w:r w:rsidRPr="00BE2913">
              <w:t xml:space="preserve"> This relates to the unit of competency as a whole providing the range of contexts and conditions </w:t>
            </w:r>
            <w:r w:rsidRPr="00BE2913">
              <w:t>to which the Performance Criteria apply. It allows for different work environments and situations that will affect performance.</w:t>
            </w:r>
          </w:p>
          <w:p w:rsidR="00000000" w:rsidRPr="00BE2913" w:rsidP="00BE2913">
            <w:pPr>
              <w:pStyle w:val="BodyText"/>
            </w:pPr>
            <w:r w:rsidRPr="00BE2913">
              <w:t>This Competency Standard Unit shall be demonstrated in relation to the management of energy registration data errors for revenue</w:t>
            </w:r>
            <w:r w:rsidRPr="00BE2913">
              <w:t xml:space="preserve"> billing purposes and may include the following:</w:t>
            </w:r>
          </w:p>
          <w:p w:rsidR="00000000" w:rsidRPr="00BE2913" w:rsidP="00BE2913">
            <w:pPr>
              <w:pStyle w:val="BodyText"/>
            </w:pPr>
            <w:r w:rsidRPr="00BE2913">
              <w:t xml:space="preserve">Evaluating revenue metering faults by following established procedures to obtain load profile data and event logs. </w:t>
            </w:r>
          </w:p>
          <w:p w:rsidR="00000000" w:rsidRPr="00BE2913" w:rsidP="00BE2913">
            <w:pPr>
              <w:pStyle w:val="BodyText"/>
            </w:pPr>
            <w:r w:rsidRPr="00BE2913">
              <w:t>Interpreting items such as; alarms, meter program/software settings, event records, power quality records, to identify a sequence of events and make final recommendations of error, date and time and substitution data to the responsible person.  Requires th</w:t>
            </w:r>
            <w:r w:rsidRPr="00BE2913">
              <w:t xml:space="preserve">e use of different types of meter specific proprietary software. </w:t>
            </w:r>
          </w:p>
          <w:p w:rsidR="00000000" w:rsidRPr="00BE2913" w:rsidP="00BE2913">
            <w:pPr>
              <w:pStyle w:val="BodyText"/>
            </w:pPr>
            <w:r w:rsidRPr="00BE2913">
              <w:t xml:space="preserve">The evaluation and or investigation of the energy consumption and registration data, CT/VT ratio confirmations, on site load comparisons and established customer consumption history. </w:t>
            </w:r>
          </w:p>
          <w:p w:rsidR="00000000" w:rsidRPr="00BE2913" w:rsidP="00BE2913">
            <w:pPr>
              <w:pStyle w:val="BodyText"/>
            </w:pPr>
            <w:r w:rsidRPr="00BE2913">
              <w:t>In dep</w:t>
            </w:r>
            <w:r w:rsidRPr="00BE2913">
              <w:t>th analysis will involve report writing.</w:t>
            </w:r>
          </w:p>
          <w:p w:rsidR="00000000" w:rsidRPr="00BE2913" w:rsidP="00BE2913">
            <w:pPr>
              <w:pStyle w:val="BodyText"/>
            </w:pPr>
            <w:r w:rsidRPr="00BE2913">
              <w:t xml:space="preserve">Ad hock informal reporting to meter data providers as required. </w:t>
            </w:r>
          </w:p>
          <w:p w:rsidR="00000000" w:rsidRPr="00BE2913" w:rsidP="00BE2913">
            <w:pPr>
              <w:pStyle w:val="BodyText"/>
            </w:pPr>
            <w:r w:rsidRPr="00BE2913">
              <w:t>Discretionary explanation of fault to customers in non technical terms according to procedures.</w:t>
            </w:r>
          </w:p>
          <w:p w:rsidR="00000000" w:rsidRPr="00BE2913" w:rsidP="00BE2913">
            <w:pPr>
              <w:pStyle w:val="BodyText"/>
            </w:pPr>
            <w:r w:rsidRPr="00BE2913">
              <w:t>Reporting on the detection and investigation of possib</w:t>
            </w:r>
            <w:r w:rsidRPr="00BE2913">
              <w:t>le revenue theft.</w:t>
            </w:r>
          </w:p>
          <w:p w:rsidR="00000000" w:rsidRPr="00BE2913" w:rsidP="00BE2913">
            <w:pPr>
              <w:pStyle w:val="BodyText"/>
            </w:pPr>
            <w:r w:rsidRPr="00BE2913">
              <w:t>Evaluation may include consultation with customers or their representatives to confirm site consumption patterns and loading.</w:t>
            </w:r>
          </w:p>
          <w:p w:rsidR="00000000" w:rsidRPr="00BE2913" w:rsidP="00BE2913">
            <w:pPr>
              <w:pStyle w:val="BodyText"/>
            </w:pPr>
            <w:r w:rsidRPr="00BE2913">
              <w:t>The following constants and variables included in the element/Performance Criteria in this unit are fully descri</w:t>
            </w:r>
            <w:r w:rsidRPr="00BE2913">
              <w:t>bed in the Definitions Section 1 of this volume and form an integral part of the Range Statement of this unit:</w:t>
            </w:r>
          </w:p>
          <w:p w:rsidR="00000000" w:rsidRPr="00BE2913" w:rsidP="00BE2913">
            <w:pPr>
              <w:pStyle w:val="ListBullet3"/>
            </w:pPr>
            <w:r w:rsidRPr="00BE2913">
              <w:t>Appropriate and relevant persons (see Personnel)</w:t>
            </w:r>
          </w:p>
          <w:p w:rsidR="00000000" w:rsidRPr="00BE2913" w:rsidP="00BE2913">
            <w:pPr>
              <w:pStyle w:val="ListBullet3"/>
            </w:pPr>
            <w:r w:rsidRPr="00BE2913">
              <w:t>Appropriate authorities</w:t>
            </w:r>
          </w:p>
          <w:p w:rsidR="00000000" w:rsidRPr="00BE2913" w:rsidP="00BE2913">
            <w:pPr>
              <w:pStyle w:val="ListBullet3"/>
            </w:pPr>
            <w:r w:rsidRPr="00BE2913">
              <w:t>Appropriate work platform</w:t>
            </w:r>
          </w:p>
          <w:p w:rsidR="00000000" w:rsidRPr="00BE2913" w:rsidP="00BE2913">
            <w:pPr>
              <w:pStyle w:val="ListBullet3"/>
            </w:pPr>
            <w:r w:rsidRPr="00BE2913">
              <w:t>Assessing risk</w:t>
            </w:r>
          </w:p>
          <w:p w:rsidR="00000000" w:rsidRPr="00BE2913" w:rsidP="00BE2913">
            <w:pPr>
              <w:pStyle w:val="ListBullet3"/>
            </w:pPr>
            <w:r w:rsidRPr="00BE2913">
              <w:t>Assessment</w:t>
            </w:r>
          </w:p>
          <w:p w:rsidR="00000000" w:rsidRPr="00BE2913" w:rsidP="00BE2913">
            <w:pPr>
              <w:pStyle w:val="ListBullet3"/>
            </w:pPr>
            <w:r w:rsidRPr="00BE2913">
              <w:t>Authorisation</w:t>
            </w:r>
          </w:p>
          <w:p w:rsidR="00000000" w:rsidRPr="00BE2913" w:rsidP="00BE2913">
            <w:pPr>
              <w:pStyle w:val="ListBullet3"/>
            </w:pPr>
            <w:r w:rsidRPr="00BE2913">
              <w:t>Confi</w:t>
            </w:r>
            <w:r w:rsidRPr="00BE2913">
              <w:t>ned space</w:t>
            </w:r>
          </w:p>
          <w:p w:rsidR="00000000" w:rsidRPr="00BE2913" w:rsidP="00BE2913">
            <w:pPr>
              <w:pStyle w:val="ListBullet3"/>
            </w:pPr>
            <w:r w:rsidRPr="00BE2913">
              <w:t>Diagnostic, testing and restoration</w:t>
            </w:r>
          </w:p>
          <w:p w:rsidR="00000000" w:rsidRPr="00BE2913" w:rsidP="00BE2913">
            <w:pPr>
              <w:pStyle w:val="ListBullet3"/>
            </w:pPr>
            <w:r w:rsidRPr="00BE2913">
              <w:t>Documenting detail work events, record keeping and or storage of information</w:t>
            </w:r>
          </w:p>
          <w:p w:rsidR="00000000" w:rsidRPr="00BE2913" w:rsidP="00BE2913">
            <w:pPr>
              <w:pStyle w:val="ListBullet3"/>
            </w:pPr>
            <w:r w:rsidRPr="00BE2913">
              <w:t>Drawings and specifications</w:t>
            </w:r>
          </w:p>
          <w:p w:rsidR="00000000" w:rsidRPr="00BE2913" w:rsidP="00BE2913">
            <w:pPr>
              <w:pStyle w:val="ListBullet3"/>
            </w:pPr>
            <w:r w:rsidRPr="00BE2913">
              <w:t>Emergency</w:t>
            </w:r>
          </w:p>
          <w:p w:rsidR="00000000" w:rsidRPr="00BE2913" w:rsidP="00BE2913">
            <w:pPr>
              <w:pStyle w:val="ListBullet3"/>
            </w:pPr>
            <w:r w:rsidRPr="00BE2913">
              <w:t>Environmental and sustainable energy procedures</w:t>
            </w:r>
          </w:p>
          <w:p w:rsidR="00000000" w:rsidRPr="00BE2913" w:rsidP="00BE2913">
            <w:pPr>
              <w:pStyle w:val="ListBullet3"/>
            </w:pPr>
            <w:r w:rsidRPr="00BE2913">
              <w:t>Environmental legislation</w:t>
            </w:r>
          </w:p>
          <w:p w:rsidR="00000000" w:rsidRPr="00BE2913" w:rsidP="00BE2913">
            <w:pPr>
              <w:pStyle w:val="ListBullet3"/>
            </w:pPr>
            <w:r w:rsidRPr="00BE2913">
              <w:t>Environmental management documentation</w:t>
            </w:r>
          </w:p>
          <w:p w:rsidR="00000000" w:rsidRPr="00BE2913" w:rsidP="00BE2913">
            <w:pPr>
              <w:pStyle w:val="ListBullet3"/>
            </w:pPr>
            <w:r w:rsidRPr="00BE2913">
              <w:t>Established procedures</w:t>
            </w:r>
          </w:p>
          <w:p w:rsidR="00000000" w:rsidRPr="00BE2913" w:rsidP="00BE2913">
            <w:pPr>
              <w:pStyle w:val="ListBullet3"/>
            </w:pPr>
            <w:r w:rsidRPr="00BE2913">
              <w:t>Fall prevention</w:t>
            </w:r>
          </w:p>
          <w:p w:rsidR="00000000" w:rsidRPr="00BE2913" w:rsidP="00BE2913">
            <w:pPr>
              <w:pStyle w:val="ListBullet3"/>
            </w:pPr>
            <w:r w:rsidRPr="00BE2913">
              <w:t>Hazards</w:t>
            </w:r>
          </w:p>
          <w:p w:rsidR="00000000" w:rsidRPr="00BE2913" w:rsidP="00BE2913">
            <w:pPr>
              <w:pStyle w:val="ListBullet3"/>
            </w:pPr>
            <w:r w:rsidRPr="00BE2913">
              <w:t>Identifying hazards</w:t>
            </w:r>
          </w:p>
          <w:p w:rsidR="00000000" w:rsidRPr="00BE2913" w:rsidP="00BE2913">
            <w:pPr>
              <w:pStyle w:val="ListBullet3"/>
            </w:pPr>
            <w:r w:rsidRPr="00BE2913">
              <w:t>Inspect</w:t>
            </w:r>
          </w:p>
          <w:p w:rsidR="00000000" w:rsidRPr="00BE2913" w:rsidP="00BE2913">
            <w:pPr>
              <w:pStyle w:val="ListBullet3"/>
            </w:pPr>
            <w:r w:rsidRPr="00BE2913">
              <w:t>Legislation</w:t>
            </w:r>
          </w:p>
          <w:p w:rsidR="00000000" w:rsidRPr="00BE2913" w:rsidP="00BE2913">
            <w:pPr>
              <w:pStyle w:val="ListBullet3"/>
            </w:pPr>
            <w:r w:rsidRPr="00BE2913">
              <w:t>MSDS</w:t>
            </w:r>
          </w:p>
          <w:p w:rsidR="00000000" w:rsidRPr="00BE2913" w:rsidP="00BE2913">
            <w:pPr>
              <w:pStyle w:val="ListBullet3"/>
            </w:pPr>
            <w:r w:rsidRPr="00BE2913">
              <w:t>Notification</w:t>
            </w:r>
          </w:p>
          <w:p w:rsidR="00000000" w:rsidRPr="00BE2913" w:rsidP="00BE2913">
            <w:pPr>
              <w:pStyle w:val="ListBullet3"/>
            </w:pPr>
            <w:r w:rsidRPr="00BE2913">
              <w:t>OHS practices</w:t>
            </w:r>
          </w:p>
          <w:p w:rsidR="00000000" w:rsidRPr="00BE2913" w:rsidP="00BE2913">
            <w:pPr>
              <w:pStyle w:val="ListBullet3"/>
            </w:pPr>
            <w:r w:rsidRPr="00BE2913">
              <w:t>OHS issues</w:t>
            </w:r>
          </w:p>
          <w:p w:rsidR="00000000" w:rsidRPr="00BE2913" w:rsidP="00BE2913">
            <w:pPr>
              <w:pStyle w:val="ListBullet3"/>
            </w:pPr>
            <w:r w:rsidRPr="00BE2913">
              <w:t>Permits and/or permits to work</w:t>
            </w:r>
          </w:p>
          <w:p w:rsidR="00000000" w:rsidRPr="00BE2913" w:rsidP="00BE2913">
            <w:pPr>
              <w:pStyle w:val="ListBullet3"/>
            </w:pPr>
            <w:r w:rsidRPr="00BE2913">
              <w:t>Personnel</w:t>
            </w:r>
          </w:p>
          <w:p w:rsidR="00000000" w:rsidRPr="00BE2913" w:rsidP="00BE2913">
            <w:pPr>
              <w:pStyle w:val="ListBullet3"/>
            </w:pPr>
            <w:r w:rsidRPr="00BE2913">
              <w:t>Quality assurance systems</w:t>
            </w:r>
          </w:p>
          <w:p w:rsidR="00000000" w:rsidRPr="00BE2913" w:rsidP="00BE2913">
            <w:pPr>
              <w:pStyle w:val="ListBullet3"/>
            </w:pPr>
            <w:r w:rsidRPr="00BE2913">
              <w:t>Requirements</w:t>
            </w:r>
          </w:p>
          <w:p w:rsidR="00000000" w:rsidRPr="00BE2913" w:rsidP="00BE2913">
            <w:pPr>
              <w:pStyle w:val="ListBullet3"/>
            </w:pPr>
            <w:r w:rsidRPr="00BE2913">
              <w:t>Testing</w:t>
            </w:r>
            <w:r w:rsidRPr="00BE2913">
              <w:t xml:space="preserve"> procedures</w:t>
            </w:r>
          </w:p>
          <w:p w:rsidR="00000000" w:rsidRPr="00BE2913" w:rsidP="00BE2913">
            <w:pPr>
              <w:pStyle w:val="ListBullet3"/>
            </w:pPr>
            <w:r w:rsidRPr="00BE2913">
              <w:t>Work clearance systems</w:t>
            </w:r>
          </w:p>
        </w:tc>
      </w:tr>
    </w:tbl>
    <w:p w:rsidR="00000000" w:rsidRPr="00BE2913" w:rsidP="00BE2913">
      <w:pPr>
        <w:pStyle w:val="BodyText"/>
      </w:pPr>
    </w:p>
    <w:p w:rsidR="00000000" w:rsidRPr="00BE2913" w:rsidP="00BE2913">
      <w:pPr>
        <w:pStyle w:val="AllowPageBreak"/>
      </w:pPr>
    </w:p>
    <w:p w:rsidR="00000000" w:rsidRPr="00BE2913" w:rsidP="00BE2913">
      <w:pPr>
        <w:pStyle w:val="Heading1"/>
      </w:pPr>
      <w:bookmarkStart w:id="12" w:name="O_464828"/>
      <w:bookmarkEnd w:id="12"/>
      <w:r w:rsidRPr="00BE2913">
        <w:t>Unit Sector(s)</w:t>
      </w:r>
    </w:p>
    <w:p w:rsidR="00000000" w:rsidRPr="00BE2913" w:rsidP="00BE2913">
      <w:pPr>
        <w:pStyle w:val="BodyText"/>
      </w:pPr>
      <w:r w:rsidRPr="00BE2913">
        <w:t>Not applicable.</w:t>
      </w:r>
    </w:p>
    <w:p w:rsidR="00000000" w:rsidRPr="00BE2913" w:rsidP="00BE2913">
      <w:pPr>
        <w:pStyle w:val="AllowPageBreak"/>
      </w:pPr>
    </w:p>
    <w:p w:rsidR="00000000" w:rsidRPr="00BE2913" w:rsidP="00BE2913">
      <w:pPr>
        <w:pStyle w:val="Heading1"/>
      </w:pPr>
      <w:bookmarkStart w:id="13" w:name="O_464817"/>
      <w:bookmarkEnd w:id="13"/>
      <w:r w:rsidRPr="00BE2913">
        <w:t>Competency Field</w:t>
      </w:r>
    </w:p>
    <w:tbl>
      <w:tblPr>
        <w:tblW w:w="0" w:type="auto"/>
        <w:tblLayout w:type="fixed"/>
        <w:tblCellMar>
          <w:left w:w="62" w:type="dxa"/>
          <w:right w:w="62" w:type="dxa"/>
        </w:tblCellMar>
        <w:tblLook w:val="0000"/>
      </w:tblPr>
      <w:tblGrid>
        <w:gridCol w:w="2700"/>
        <w:gridCol w:w="5760"/>
      </w:tblGrid>
      <w:tr w:rsidTr="000619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E2913">
            <w:pPr>
              <w:pStyle w:val="BodyText"/>
              <w:rPr>
                <w:lang w:val="en-NZ"/>
              </w:rPr>
            </w:pPr>
            <w:r w:rsidRPr="00BE2913">
              <w:rPr>
                <w:rStyle w:val="SpecialBold"/>
              </w:rPr>
              <w:t xml:space="preserve">11) </w:t>
            </w:r>
          </w:p>
        </w:tc>
      </w:tr>
      <w:tr w:rsidTr="000619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2913" w:rsidP="00BE2913">
            <w:pPr>
              <w:pStyle w:val="BodyText"/>
            </w:pPr>
            <w:r w:rsidRPr="00BE2913">
              <w:t>Testing Units</w:t>
            </w:r>
          </w:p>
        </w:tc>
      </w:tr>
    </w:tbl>
    <w:p w:rsidR="00000000" w:rsidRPr="00BE2913" w:rsidP="00BE2913">
      <w:pPr>
        <w:pStyle w:val="BodyText"/>
      </w:pPr>
    </w:p>
    <w:p w:rsidR="00000000" w:rsidRPr="00BE2913" w:rsidP="00BE2913"/>
    <w:sectPr w:rsidSect="00BE2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916" w:rsidP="000619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16" w:rsidP="00BE29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061916" w:rsidP="00BE2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1916" w:rsidP="00BE2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13" w:rsidRPr="00061916" w:rsidP="000619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16" w:rsidRPr="002D2AF8" w:rsidP="00BE2913">
    <w:pPr>
      <w:pStyle w:val="Header"/>
      <w:framePr w:wrap="around"/>
    </w:pPr>
    <w:r>
      <w:fldChar w:fldCharType="begin"/>
    </w:r>
    <w:r>
      <w:instrText xml:space="preserve"> TITLE   \* MERGEFORMAT </w:instrText>
    </w:r>
    <w:r>
      <w:fldChar w:fldCharType="separate"/>
    </w:r>
    <w:r>
      <w:t>UETTDRTS42A Management of energy registration data errors for revenue billing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061916" w:rsidP="00BE2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26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4F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AA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913"/>
    <w:pPr>
      <w:spacing w:before="360" w:after="60"/>
      <w:outlineLvl w:val="0"/>
    </w:pPr>
    <w:rPr>
      <w:sz w:val="32"/>
    </w:rPr>
  </w:style>
  <w:style w:type="paragraph" w:styleId="Heading2">
    <w:name w:val="heading 2"/>
    <w:basedOn w:val="HeadingBase"/>
    <w:next w:val="BodyText"/>
    <w:link w:val="Heading2Char"/>
    <w:qFormat/>
    <w:rsid w:val="00BE2913"/>
    <w:pPr>
      <w:keepLines/>
      <w:spacing w:before="240" w:after="120"/>
      <w:outlineLvl w:val="1"/>
    </w:pPr>
    <w:rPr>
      <w:sz w:val="28"/>
      <w:szCs w:val="40"/>
    </w:rPr>
  </w:style>
  <w:style w:type="paragraph" w:styleId="Heading3">
    <w:name w:val="heading 3"/>
    <w:basedOn w:val="HeadingBase"/>
    <w:next w:val="BodyText"/>
    <w:link w:val="Heading3Char"/>
    <w:qFormat/>
    <w:rsid w:val="00BE2913"/>
    <w:pPr>
      <w:spacing w:before="180" w:after="120"/>
      <w:outlineLvl w:val="2"/>
    </w:pPr>
    <w:rPr>
      <w:spacing w:val="-10"/>
      <w:kern w:val="32"/>
    </w:rPr>
  </w:style>
  <w:style w:type="paragraph" w:styleId="Heading4">
    <w:name w:val="heading 4"/>
    <w:basedOn w:val="HeadingBase"/>
    <w:next w:val="BodyText"/>
    <w:link w:val="Heading4Char"/>
    <w:qFormat/>
    <w:rsid w:val="00BE2913"/>
    <w:pPr>
      <w:spacing w:before="160" w:after="120"/>
      <w:outlineLvl w:val="3"/>
    </w:pPr>
    <w:rPr>
      <w:sz w:val="22"/>
    </w:rPr>
  </w:style>
  <w:style w:type="paragraph" w:styleId="Heading5">
    <w:name w:val="heading 5"/>
    <w:basedOn w:val="HeadingBase"/>
    <w:next w:val="Normal"/>
    <w:link w:val="Heading5Char"/>
    <w:qFormat/>
    <w:rsid w:val="00BE2913"/>
    <w:pPr>
      <w:spacing w:before="80"/>
      <w:outlineLvl w:val="4"/>
    </w:pPr>
    <w:rPr>
      <w:color w:val="918585"/>
      <w:sz w:val="20"/>
    </w:rPr>
  </w:style>
  <w:style w:type="paragraph" w:styleId="Heading6">
    <w:name w:val="heading 6"/>
    <w:basedOn w:val="HeadingBase"/>
    <w:next w:val="Normal"/>
    <w:link w:val="Heading6Char"/>
    <w:qFormat/>
    <w:rsid w:val="00BE2913"/>
    <w:pPr>
      <w:spacing w:before="60"/>
      <w:outlineLvl w:val="5"/>
    </w:pPr>
    <w:rPr>
      <w:color w:val="918585"/>
      <w:sz w:val="20"/>
    </w:rPr>
  </w:style>
  <w:style w:type="paragraph" w:styleId="Heading7">
    <w:name w:val="heading 7"/>
    <w:basedOn w:val="Normal"/>
    <w:next w:val="Normal"/>
    <w:link w:val="Heading7Char"/>
    <w:qFormat/>
    <w:rsid w:val="00BE2913"/>
    <w:pPr>
      <w:ind w:left="720"/>
      <w:outlineLvl w:val="6"/>
    </w:pPr>
    <w:rPr>
      <w:i/>
    </w:rPr>
  </w:style>
  <w:style w:type="paragraph" w:styleId="Heading8">
    <w:name w:val="heading 8"/>
    <w:basedOn w:val="Normal"/>
    <w:next w:val="Normal"/>
    <w:link w:val="Heading8Char"/>
    <w:qFormat/>
    <w:rsid w:val="00BE2913"/>
    <w:pPr>
      <w:ind w:left="720"/>
      <w:outlineLvl w:val="7"/>
    </w:pPr>
    <w:rPr>
      <w:i/>
    </w:rPr>
  </w:style>
  <w:style w:type="paragraph" w:styleId="Heading9">
    <w:name w:val="heading 9"/>
    <w:basedOn w:val="Normal"/>
    <w:next w:val="Normal"/>
    <w:link w:val="Heading9Char"/>
    <w:qFormat/>
    <w:rsid w:val="00BE2913"/>
    <w:pPr>
      <w:ind w:left="720"/>
      <w:outlineLvl w:val="8"/>
    </w:pPr>
    <w:rPr>
      <w:i/>
    </w:rPr>
  </w:style>
  <w:style w:type="character" w:default="1" w:styleId="DefaultParagraphFont">
    <w:name w:val="Default Paragraph Font"/>
    <w:uiPriority w:val="1"/>
    <w:unhideWhenUsed/>
    <w:rsid w:val="00BE2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913"/>
  </w:style>
  <w:style w:type="character" w:customStyle="1" w:styleId="Heading1Char">
    <w:name w:val="Heading 1 Char"/>
    <w:basedOn w:val="DefaultParagraphFont"/>
    <w:link w:val="Heading1"/>
    <w:rsid w:val="00BE2913"/>
    <w:rPr>
      <w:rFonts w:ascii="Times New Roman" w:eastAsia="Times New Roman" w:hAnsi="Times New Roman" w:cs="Times New Roman"/>
      <w:b/>
      <w:sz w:val="32"/>
      <w:szCs w:val="20"/>
      <w:lang w:eastAsia="en-US"/>
    </w:rPr>
  </w:style>
  <w:style w:type="paragraph" w:styleId="BodyText">
    <w:name w:val="Body Text"/>
    <w:basedOn w:val="Normal"/>
    <w:link w:val="BodyTextChar"/>
    <w:rsid w:val="00BE2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913"/>
    <w:rPr>
      <w:rFonts w:ascii="Times New Roman" w:eastAsia="Times New Roman" w:hAnsi="Times New Roman" w:cs="Times New Roman"/>
      <w:sz w:val="24"/>
      <w:lang w:eastAsia="en-US"/>
    </w:rPr>
  </w:style>
  <w:style w:type="paragraph" w:styleId="Footer">
    <w:name w:val="footer"/>
    <w:basedOn w:val="Normal"/>
    <w:link w:val="FooterChar"/>
    <w:rsid w:val="00BE2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913"/>
    <w:rPr>
      <w:rFonts w:ascii="Times New Roman" w:eastAsia="Times New Roman" w:hAnsi="Times New Roman" w:cs="Times New Roman"/>
      <w:sz w:val="16"/>
      <w:lang w:eastAsia="en-US"/>
    </w:rPr>
  </w:style>
  <w:style w:type="paragraph" w:styleId="ListBullet">
    <w:name w:val="List Bullet"/>
    <w:basedOn w:val="List"/>
    <w:rsid w:val="00BE2913"/>
    <w:pPr>
      <w:numPr>
        <w:numId w:val="14"/>
      </w:numPr>
      <w:tabs>
        <w:tab w:val="clear" w:pos="340"/>
      </w:tabs>
      <w:spacing w:before="40" w:after="40"/>
    </w:pPr>
  </w:style>
  <w:style w:type="character" w:customStyle="1" w:styleId="SpecialBold">
    <w:name w:val="Special Bold"/>
    <w:basedOn w:val="DefaultParagraphFont"/>
    <w:rsid w:val="00BE2913"/>
    <w:rPr>
      <w:b/>
      <w:spacing w:val="0"/>
    </w:rPr>
  </w:style>
  <w:style w:type="paragraph" w:styleId="ListBullet2">
    <w:name w:val="List Bullet 2"/>
    <w:basedOn w:val="List2"/>
    <w:rsid w:val="00BE2913"/>
    <w:pPr>
      <w:numPr>
        <w:numId w:val="15"/>
      </w:numPr>
      <w:tabs>
        <w:tab w:val="clear" w:pos="680"/>
      </w:tabs>
    </w:pPr>
  </w:style>
  <w:style w:type="paragraph" w:customStyle="1" w:styleId="SuperHeading">
    <w:name w:val="SuperHeading"/>
    <w:basedOn w:val="Normal"/>
    <w:rsid w:val="00BE2913"/>
    <w:pPr>
      <w:spacing w:before="240" w:after="120"/>
      <w:outlineLvl w:val="0"/>
    </w:pPr>
    <w:rPr>
      <w:rFonts w:ascii="Times New Roman" w:hAnsi="Times New Roman"/>
      <w:b/>
      <w:sz w:val="28"/>
    </w:rPr>
  </w:style>
  <w:style w:type="paragraph" w:customStyle="1" w:styleId="AllowPageBreak">
    <w:name w:val="AllowPageBreak"/>
    <w:rsid w:val="00BE29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2913"/>
    <w:pPr>
      <w:numPr>
        <w:numId w:val="3"/>
      </w:numPr>
      <w:tabs>
        <w:tab w:val="clear" w:pos="1021"/>
      </w:tabs>
      <w:ind w:left="1037" w:hanging="357"/>
    </w:pPr>
  </w:style>
  <w:style w:type="character" w:customStyle="1" w:styleId="Heading2Char">
    <w:name w:val="Heading 2 Char"/>
    <w:basedOn w:val="DefaultParagraphFont"/>
    <w:link w:val="Heading2"/>
    <w:rsid w:val="00BE2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913"/>
    <w:rPr>
      <w:rFonts w:ascii="Courier New" w:eastAsia="Times New Roman" w:hAnsi="Courier New" w:cs="Times New Roman"/>
      <w:i/>
      <w:szCs w:val="20"/>
      <w:lang w:eastAsia="en-US"/>
    </w:rPr>
  </w:style>
  <w:style w:type="paragraph" w:customStyle="1" w:styleId="HeadingBase">
    <w:name w:val="Heading Base"/>
    <w:rsid w:val="00BE2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913"/>
    <w:pPr>
      <w:tabs>
        <w:tab w:val="right" w:leader="dot" w:pos="9072"/>
      </w:tabs>
      <w:ind w:left="567"/>
    </w:pPr>
    <w:rPr>
      <w:szCs w:val="22"/>
    </w:rPr>
  </w:style>
  <w:style w:type="paragraph" w:customStyle="1" w:styleId="TOCBase">
    <w:name w:val="TOC Base"/>
    <w:rsid w:val="00BE2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913"/>
    <w:pPr>
      <w:tabs>
        <w:tab w:val="right" w:leader="dot" w:pos="9072"/>
      </w:tabs>
      <w:spacing w:before="40" w:after="40"/>
      <w:ind w:left="284"/>
    </w:pPr>
    <w:rPr>
      <w:rFonts w:ascii="Times New Roman" w:hAnsi="Times New Roman"/>
    </w:rPr>
  </w:style>
  <w:style w:type="paragraph" w:styleId="TOC1">
    <w:name w:val="toc 1"/>
    <w:basedOn w:val="TOCBase"/>
    <w:next w:val="Normal"/>
    <w:rsid w:val="00BE2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913"/>
    <w:pPr>
      <w:spacing w:before="5040"/>
      <w:jc w:val="center"/>
    </w:pPr>
    <w:rPr>
      <w:sz w:val="48"/>
      <w:szCs w:val="72"/>
      <w:lang w:val="en-US"/>
    </w:rPr>
  </w:style>
  <w:style w:type="character" w:customStyle="1" w:styleId="TitleChar">
    <w:name w:val="Title Char"/>
    <w:basedOn w:val="DefaultParagraphFont"/>
    <w:link w:val="Title"/>
    <w:rsid w:val="00BE2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913"/>
    <w:pPr>
      <w:tabs>
        <w:tab w:val="left" w:pos="3600"/>
        <w:tab w:val="left" w:pos="3958"/>
      </w:tabs>
    </w:pPr>
  </w:style>
  <w:style w:type="paragraph" w:styleId="List">
    <w:name w:val="List"/>
    <w:basedOn w:val="BodyText"/>
    <w:next w:val="BodyText"/>
    <w:rsid w:val="00BE2913"/>
    <w:pPr>
      <w:tabs>
        <w:tab w:val="left" w:pos="340"/>
      </w:tabs>
      <w:spacing w:before="60" w:after="60"/>
      <w:ind w:left="340" w:hanging="340"/>
    </w:pPr>
  </w:style>
  <w:style w:type="paragraph" w:customStyle="1" w:styleId="Note">
    <w:name w:val="Note"/>
    <w:basedOn w:val="BodyText"/>
    <w:rsid w:val="00BE2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913"/>
    <w:pPr>
      <w:framePr w:wrap="auto" w:hAnchor="text" w:y="6049"/>
    </w:pPr>
    <w:rPr>
      <w:color w:val="000000"/>
      <w:sz w:val="40"/>
    </w:rPr>
  </w:style>
  <w:style w:type="paragraph" w:customStyle="1" w:styleId="TOCTitle">
    <w:name w:val="TOCTitle"/>
    <w:basedOn w:val="Heading1"/>
    <w:rsid w:val="00BE2913"/>
    <w:pPr>
      <w:spacing w:after="240"/>
      <w:jc w:val="center"/>
      <w:outlineLvl w:val="9"/>
    </w:pPr>
    <w:rPr>
      <w:caps/>
    </w:rPr>
  </w:style>
  <w:style w:type="paragraph" w:customStyle="1" w:styleId="Version">
    <w:name w:val="Version"/>
    <w:rsid w:val="00BE2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913"/>
    <w:pPr>
      <w:keepNext w:val="0"/>
      <w:tabs>
        <w:tab w:val="right" w:pos="4176"/>
      </w:tabs>
      <w:ind w:left="198" w:hanging="198"/>
    </w:pPr>
    <w:rPr>
      <w:rFonts w:ascii="Garamond" w:hAnsi="Garamond"/>
    </w:rPr>
  </w:style>
  <w:style w:type="paragraph" w:styleId="IndexHeading">
    <w:name w:val="index heading"/>
    <w:basedOn w:val="Normal"/>
    <w:next w:val="Index1"/>
    <w:semiHidden/>
    <w:rsid w:val="00BE2913"/>
    <w:pPr>
      <w:spacing w:before="120" w:after="120"/>
    </w:pPr>
    <w:rPr>
      <w:rFonts w:ascii="Arial" w:hAnsi="Arial"/>
      <w:b/>
      <w:color w:val="918585"/>
      <w:sz w:val="24"/>
    </w:rPr>
  </w:style>
  <w:style w:type="paragraph" w:styleId="Header">
    <w:name w:val="header"/>
    <w:basedOn w:val="Normal"/>
    <w:link w:val="HeaderChar"/>
    <w:rsid w:val="00BE2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913"/>
    <w:rPr>
      <w:rFonts w:ascii="Times New Roman" w:eastAsia="Times New Roman" w:hAnsi="Times New Roman" w:cs="Times New Roman"/>
      <w:sz w:val="16"/>
      <w:szCs w:val="20"/>
      <w:lang w:val="en-GB" w:eastAsia="en-US"/>
    </w:rPr>
  </w:style>
  <w:style w:type="paragraph" w:customStyle="1" w:styleId="Chapter">
    <w:name w:val="Chapter"/>
    <w:basedOn w:val="Normal"/>
    <w:rsid w:val="00BE2913"/>
    <w:pPr>
      <w:spacing w:before="240"/>
    </w:pPr>
    <w:rPr>
      <w:rFonts w:ascii="Times New Roman" w:hAnsi="Times New Roman"/>
      <w:smallCaps/>
      <w:spacing w:val="80"/>
      <w:sz w:val="28"/>
    </w:rPr>
  </w:style>
  <w:style w:type="paragraph" w:customStyle="1" w:styleId="InChapter">
    <w:name w:val="InChapter"/>
    <w:basedOn w:val="Heading3"/>
    <w:rsid w:val="00BE2913"/>
    <w:pPr>
      <w:spacing w:after="240"/>
      <w:outlineLvl w:val="9"/>
    </w:pPr>
    <w:rPr>
      <w:noProof/>
    </w:rPr>
  </w:style>
  <w:style w:type="paragraph" w:styleId="Index2">
    <w:name w:val="index 2"/>
    <w:basedOn w:val="Normal"/>
    <w:next w:val="Normal"/>
    <w:semiHidden/>
    <w:rsid w:val="00BE2913"/>
    <w:pPr>
      <w:tabs>
        <w:tab w:val="right" w:pos="4176"/>
      </w:tabs>
      <w:ind w:left="568" w:hanging="284"/>
    </w:pPr>
    <w:rPr>
      <w:rFonts w:ascii="Garamond" w:hAnsi="Garamond"/>
    </w:rPr>
  </w:style>
  <w:style w:type="paragraph" w:customStyle="1" w:styleId="Byline">
    <w:name w:val="Byline"/>
    <w:rsid w:val="00BE2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913"/>
    <w:pPr>
      <w:tabs>
        <w:tab w:val="clear" w:pos="3600"/>
        <w:tab w:val="clear" w:pos="3958"/>
      </w:tabs>
      <w:jc w:val="right"/>
    </w:pPr>
  </w:style>
  <w:style w:type="character" w:styleId="Emphasis">
    <w:name w:val="Emphasis"/>
    <w:basedOn w:val="DefaultParagraphFont"/>
    <w:qFormat/>
    <w:rsid w:val="00BE2913"/>
    <w:rPr>
      <w:i/>
    </w:rPr>
  </w:style>
  <w:style w:type="paragraph" w:styleId="Caption">
    <w:name w:val="caption"/>
    <w:basedOn w:val="BodyText"/>
    <w:next w:val="Normal"/>
    <w:qFormat/>
    <w:rsid w:val="00BE2913"/>
    <w:pPr>
      <w:framePr w:w="2268" w:hSpace="181" w:vSpace="181" w:wrap="around" w:vAnchor="text" w:hAnchor="page" w:x="1135" w:y="285" w:anchorLock="1"/>
    </w:pPr>
    <w:rPr>
      <w:i/>
    </w:rPr>
  </w:style>
  <w:style w:type="paragraph" w:customStyle="1" w:styleId="MiniTOCTitle">
    <w:name w:val="MiniTOCTitle"/>
    <w:basedOn w:val="Heading4"/>
    <w:rsid w:val="00BE2913"/>
    <w:pPr>
      <w:spacing w:before="240"/>
      <w:outlineLvl w:val="9"/>
    </w:pPr>
    <w:rPr>
      <w:noProof/>
      <w:sz w:val="24"/>
    </w:rPr>
  </w:style>
  <w:style w:type="paragraph" w:customStyle="1" w:styleId="MiniTOCItem">
    <w:name w:val="MiniTOCItem"/>
    <w:basedOn w:val="ListBullet"/>
    <w:rsid w:val="00BE2913"/>
    <w:pPr>
      <w:numPr>
        <w:numId w:val="0"/>
      </w:numPr>
      <w:tabs>
        <w:tab w:val="right" w:leader="dot" w:pos="6521"/>
      </w:tabs>
      <w:spacing w:before="0" w:after="0"/>
    </w:pPr>
  </w:style>
  <w:style w:type="paragraph" w:customStyle="1" w:styleId="TOFTitle">
    <w:name w:val="TOFTitle"/>
    <w:basedOn w:val="TOCTitle"/>
    <w:rsid w:val="00BE2913"/>
  </w:style>
  <w:style w:type="paragraph" w:styleId="TableofFigures">
    <w:name w:val="table of figures"/>
    <w:basedOn w:val="Normal"/>
    <w:next w:val="Normal"/>
    <w:semiHidden/>
    <w:rsid w:val="00BE2913"/>
    <w:pPr>
      <w:tabs>
        <w:tab w:val="right" w:leader="dot" w:pos="9072"/>
      </w:tabs>
      <w:ind w:left="970" w:hanging="403"/>
    </w:pPr>
    <w:rPr>
      <w:rFonts w:ascii="Times New Roman" w:hAnsi="Times New Roman"/>
      <w:b/>
    </w:rPr>
  </w:style>
  <w:style w:type="paragraph" w:styleId="ListNumber">
    <w:name w:val="List Number"/>
    <w:basedOn w:val="List"/>
    <w:rsid w:val="00BE2913"/>
    <w:pPr>
      <w:numPr>
        <w:numId w:val="12"/>
      </w:numPr>
    </w:pPr>
  </w:style>
  <w:style w:type="character" w:customStyle="1" w:styleId="WingdingSymbols">
    <w:name w:val="Wingding Symbols"/>
    <w:rsid w:val="00BE2913"/>
    <w:rPr>
      <w:rFonts w:ascii="Wingdings" w:hAnsi="Wingdings"/>
    </w:rPr>
  </w:style>
  <w:style w:type="paragraph" w:customStyle="1" w:styleId="TableHeading">
    <w:name w:val="Table Heading"/>
    <w:basedOn w:val="HeadingBase"/>
    <w:rsid w:val="00BE2913"/>
    <w:pPr>
      <w:keepLines/>
      <w:pBdr>
        <w:bottom w:val="single" w:sz="6" w:space="1" w:color="918585"/>
      </w:pBdr>
      <w:spacing w:before="240"/>
    </w:pPr>
  </w:style>
  <w:style w:type="character" w:customStyle="1" w:styleId="HotSpot">
    <w:name w:val="HotSpot"/>
    <w:rsid w:val="00BE2913"/>
    <w:rPr>
      <w:color w:val="0033CC"/>
      <w:u w:val="none"/>
    </w:rPr>
  </w:style>
  <w:style w:type="paragraph" w:customStyle="1" w:styleId="BodyTextRight">
    <w:name w:val="Body Text Right"/>
    <w:basedOn w:val="BodyText"/>
    <w:rsid w:val="00BE2913"/>
    <w:pPr>
      <w:spacing w:before="0" w:after="0"/>
      <w:jc w:val="right"/>
    </w:pPr>
  </w:style>
  <w:style w:type="paragraph" w:styleId="Index3">
    <w:name w:val="index 3"/>
    <w:basedOn w:val="ListNumber2"/>
    <w:next w:val="Normal"/>
    <w:semiHidden/>
    <w:rsid w:val="00BE2913"/>
    <w:pPr>
      <w:numPr>
        <w:numId w:val="0"/>
      </w:numPr>
      <w:tabs>
        <w:tab w:val="right" w:leader="dot" w:pos="4176"/>
      </w:tabs>
    </w:pPr>
  </w:style>
  <w:style w:type="paragraph" w:styleId="ListNumber2">
    <w:name w:val="List Number 2"/>
    <w:basedOn w:val="List2"/>
    <w:rsid w:val="00BE2913"/>
    <w:pPr>
      <w:numPr>
        <w:numId w:val="11"/>
      </w:numPr>
      <w:tabs>
        <w:tab w:val="clear" w:pos="1060"/>
      </w:tabs>
    </w:pPr>
  </w:style>
  <w:style w:type="paragraph" w:customStyle="1" w:styleId="MarginNote">
    <w:name w:val="Margin Note"/>
    <w:basedOn w:val="BodyText"/>
    <w:rsid w:val="00BE2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913"/>
    <w:rPr>
      <w:sz w:val="32"/>
    </w:rPr>
  </w:style>
  <w:style w:type="paragraph" w:customStyle="1" w:styleId="HeadingProcedure">
    <w:name w:val="Heading Procedure"/>
    <w:basedOn w:val="HeadingBase"/>
    <w:next w:val="Normal"/>
    <w:rsid w:val="00BE2913"/>
    <w:pPr>
      <w:tabs>
        <w:tab w:val="left" w:pos="0"/>
      </w:tabs>
      <w:spacing w:before="120" w:after="60"/>
    </w:pPr>
    <w:rPr>
      <w:i/>
      <w:color w:val="918585"/>
      <w:sz w:val="22"/>
    </w:rPr>
  </w:style>
  <w:style w:type="paragraph" w:customStyle="1" w:styleId="TableBodyText">
    <w:name w:val="Table Body Text"/>
    <w:basedOn w:val="BodyText"/>
    <w:rsid w:val="00BE2913"/>
    <w:pPr>
      <w:spacing w:before="60" w:after="60"/>
    </w:pPr>
  </w:style>
  <w:style w:type="paragraph" w:styleId="ListContinue">
    <w:name w:val="List Continue"/>
    <w:basedOn w:val="List"/>
    <w:rsid w:val="00BE2913"/>
    <w:pPr>
      <w:ind w:firstLine="0"/>
    </w:pPr>
  </w:style>
  <w:style w:type="paragraph" w:customStyle="1" w:styleId="ListNote">
    <w:name w:val="List Note"/>
    <w:basedOn w:val="List"/>
    <w:rsid w:val="00BE2913"/>
    <w:pPr>
      <w:pBdr>
        <w:top w:val="single" w:sz="6" w:space="2" w:color="918585"/>
        <w:bottom w:val="single" w:sz="6" w:space="2" w:color="918585"/>
      </w:pBdr>
      <w:tabs>
        <w:tab w:val="left" w:pos="1021"/>
      </w:tabs>
      <w:ind w:firstLine="0"/>
    </w:pPr>
  </w:style>
  <w:style w:type="paragraph" w:customStyle="1" w:styleId="Warning">
    <w:name w:val="Warning"/>
    <w:basedOn w:val="BodyText"/>
    <w:rsid w:val="00BE2913"/>
    <w:pPr>
      <w:shd w:val="clear" w:color="auto" w:fill="D9D9D9"/>
      <w:tabs>
        <w:tab w:val="left" w:pos="992"/>
      </w:tabs>
      <w:ind w:left="119" w:right="119"/>
    </w:pPr>
    <w:rPr>
      <w:sz w:val="20"/>
    </w:rPr>
  </w:style>
  <w:style w:type="paragraph" w:customStyle="1" w:styleId="MarginIcons">
    <w:name w:val="Margin Icons"/>
    <w:basedOn w:val="BodyText"/>
    <w:rsid w:val="00BE2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913"/>
    <w:rPr>
      <w:rFonts w:ascii="Courier New" w:hAnsi="Courier New"/>
    </w:rPr>
  </w:style>
  <w:style w:type="paragraph" w:customStyle="1" w:styleId="NoteBullet">
    <w:name w:val="Note Bullet"/>
    <w:basedOn w:val="Note"/>
    <w:rsid w:val="00BE2913"/>
    <w:pPr>
      <w:tabs>
        <w:tab w:val="clear" w:pos="680"/>
      </w:tabs>
      <w:spacing w:before="60" w:after="60"/>
    </w:pPr>
  </w:style>
  <w:style w:type="paragraph" w:customStyle="1" w:styleId="SubHeading2">
    <w:name w:val="SubHeading2"/>
    <w:basedOn w:val="HeadingBase"/>
    <w:rsid w:val="00BE2913"/>
    <w:pPr>
      <w:spacing w:before="240" w:after="60"/>
    </w:pPr>
    <w:rPr>
      <w:sz w:val="20"/>
    </w:rPr>
  </w:style>
  <w:style w:type="paragraph" w:customStyle="1" w:styleId="SubHeading1">
    <w:name w:val="SubHeading1"/>
    <w:basedOn w:val="HeadingBase"/>
    <w:rsid w:val="00BE2913"/>
    <w:pPr>
      <w:spacing w:before="240" w:after="60"/>
    </w:pPr>
    <w:rPr>
      <w:color w:val="918585"/>
      <w:sz w:val="22"/>
    </w:rPr>
  </w:style>
  <w:style w:type="paragraph" w:customStyle="1" w:styleId="SideHeading">
    <w:name w:val="Side Heading"/>
    <w:basedOn w:val="HeadingBase"/>
    <w:rsid w:val="00BE2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913"/>
    <w:pPr>
      <w:numPr>
        <w:numId w:val="13"/>
      </w:numPr>
    </w:pPr>
  </w:style>
  <w:style w:type="paragraph" w:styleId="PlainText">
    <w:name w:val="Plain Text"/>
    <w:basedOn w:val="Normal"/>
    <w:link w:val="PlainTextChar"/>
    <w:rsid w:val="00BE2913"/>
    <w:rPr>
      <w:sz w:val="20"/>
    </w:rPr>
  </w:style>
  <w:style w:type="character" w:customStyle="1" w:styleId="PlainTextChar">
    <w:name w:val="Plain Text Char"/>
    <w:basedOn w:val="DefaultParagraphFont"/>
    <w:link w:val="PlainText"/>
    <w:rsid w:val="00BE2913"/>
    <w:rPr>
      <w:rFonts w:ascii="Courier New" w:eastAsia="Times New Roman" w:hAnsi="Courier New" w:cs="Times New Roman"/>
      <w:sz w:val="20"/>
      <w:szCs w:val="20"/>
      <w:lang w:eastAsia="en-US"/>
    </w:rPr>
  </w:style>
  <w:style w:type="character" w:customStyle="1" w:styleId="MenuOption">
    <w:name w:val="Menu Option"/>
    <w:basedOn w:val="DefaultParagraphFont"/>
    <w:rsid w:val="00BE2913"/>
    <w:rPr>
      <w:b/>
      <w:smallCaps/>
    </w:rPr>
  </w:style>
  <w:style w:type="paragraph" w:customStyle="1" w:styleId="TableListNumber">
    <w:name w:val="Table List Number"/>
    <w:basedOn w:val="ListNumber"/>
    <w:rsid w:val="00BE2913"/>
    <w:pPr>
      <w:numPr>
        <w:numId w:val="0"/>
      </w:numPr>
    </w:pPr>
  </w:style>
  <w:style w:type="paragraph" w:styleId="TOC4">
    <w:name w:val="toc 4"/>
    <w:basedOn w:val="TOCBase"/>
    <w:next w:val="Normal"/>
    <w:semiHidden/>
    <w:rsid w:val="00BE2913"/>
    <w:pPr>
      <w:tabs>
        <w:tab w:val="right" w:leader="dot" w:pos="9071"/>
      </w:tabs>
      <w:ind w:left="1701"/>
    </w:pPr>
  </w:style>
  <w:style w:type="paragraph" w:customStyle="1" w:styleId="ListAlpha">
    <w:name w:val="List Alpha"/>
    <w:basedOn w:val="List"/>
    <w:rsid w:val="00BE2913"/>
    <w:pPr>
      <w:numPr>
        <w:numId w:val="10"/>
      </w:numPr>
    </w:pPr>
  </w:style>
  <w:style w:type="paragraph" w:customStyle="1" w:styleId="ListAlpha2">
    <w:name w:val="List Alpha 2"/>
    <w:basedOn w:val="List2"/>
    <w:rsid w:val="00BE2913"/>
    <w:pPr>
      <w:numPr>
        <w:numId w:val="9"/>
      </w:numPr>
    </w:pPr>
  </w:style>
  <w:style w:type="paragraph" w:styleId="List2">
    <w:name w:val="List 2"/>
    <w:basedOn w:val="BodyText"/>
    <w:rsid w:val="00BE2913"/>
    <w:pPr>
      <w:tabs>
        <w:tab w:val="left" w:pos="680"/>
      </w:tabs>
      <w:spacing w:before="60" w:after="60"/>
      <w:ind w:left="680" w:hanging="340"/>
    </w:pPr>
  </w:style>
  <w:style w:type="paragraph" w:styleId="List3">
    <w:name w:val="List 3"/>
    <w:basedOn w:val="BodyText"/>
    <w:rsid w:val="00BE2913"/>
    <w:pPr>
      <w:tabs>
        <w:tab w:val="left" w:pos="1021"/>
      </w:tabs>
      <w:spacing w:before="60" w:after="60"/>
      <w:ind w:left="1020" w:hanging="340"/>
    </w:pPr>
  </w:style>
  <w:style w:type="paragraph" w:styleId="List4">
    <w:name w:val="List 4"/>
    <w:basedOn w:val="BodyText"/>
    <w:rsid w:val="00BE2913"/>
    <w:pPr>
      <w:tabs>
        <w:tab w:val="left" w:pos="1361"/>
      </w:tabs>
      <w:spacing w:before="60" w:after="60"/>
      <w:ind w:left="1361" w:hanging="340"/>
    </w:pPr>
  </w:style>
  <w:style w:type="paragraph" w:styleId="List5">
    <w:name w:val="List 5"/>
    <w:basedOn w:val="BodyText"/>
    <w:rsid w:val="00BE2913"/>
    <w:pPr>
      <w:tabs>
        <w:tab w:val="left" w:pos="1701"/>
      </w:tabs>
      <w:spacing w:before="60" w:after="60"/>
      <w:ind w:left="1701" w:hanging="340"/>
    </w:pPr>
  </w:style>
  <w:style w:type="paragraph" w:styleId="ListBullet4">
    <w:name w:val="List Bullet 4"/>
    <w:basedOn w:val="List4"/>
    <w:rsid w:val="00BE2913"/>
    <w:pPr>
      <w:numPr>
        <w:numId w:val="4"/>
      </w:numPr>
    </w:pPr>
  </w:style>
  <w:style w:type="paragraph" w:styleId="ListBullet5">
    <w:name w:val="List Bullet 5"/>
    <w:basedOn w:val="List5"/>
    <w:rsid w:val="00BE2913"/>
    <w:pPr>
      <w:numPr>
        <w:numId w:val="5"/>
      </w:numPr>
    </w:pPr>
  </w:style>
  <w:style w:type="paragraph" w:styleId="ListContinue2">
    <w:name w:val="List Continue 2"/>
    <w:basedOn w:val="List2"/>
    <w:rsid w:val="00BE2913"/>
    <w:pPr>
      <w:ind w:firstLine="0"/>
    </w:pPr>
  </w:style>
  <w:style w:type="paragraph" w:styleId="ListContinue3">
    <w:name w:val="List Continue 3"/>
    <w:basedOn w:val="List3"/>
    <w:rsid w:val="00BE2913"/>
    <w:pPr>
      <w:ind w:left="1021" w:firstLine="0"/>
    </w:pPr>
  </w:style>
  <w:style w:type="paragraph" w:styleId="ListContinue4">
    <w:name w:val="List Continue 4"/>
    <w:basedOn w:val="List4"/>
    <w:rsid w:val="00BE2913"/>
    <w:pPr>
      <w:ind w:firstLine="0"/>
    </w:pPr>
  </w:style>
  <w:style w:type="paragraph" w:styleId="ListContinue5">
    <w:name w:val="List Continue 5"/>
    <w:basedOn w:val="List5"/>
    <w:rsid w:val="00BE2913"/>
    <w:pPr>
      <w:ind w:firstLine="0"/>
    </w:pPr>
  </w:style>
  <w:style w:type="paragraph" w:styleId="ListNumber3">
    <w:name w:val="List Number 3"/>
    <w:basedOn w:val="List3"/>
    <w:rsid w:val="00BE2913"/>
    <w:pPr>
      <w:numPr>
        <w:numId w:val="6"/>
      </w:numPr>
    </w:pPr>
  </w:style>
  <w:style w:type="paragraph" w:styleId="ListNumber4">
    <w:name w:val="List Number 4"/>
    <w:basedOn w:val="List4"/>
    <w:rsid w:val="00BE2913"/>
    <w:pPr>
      <w:numPr>
        <w:numId w:val="7"/>
      </w:numPr>
    </w:pPr>
  </w:style>
  <w:style w:type="paragraph" w:styleId="ListNumber5">
    <w:name w:val="List Number 5"/>
    <w:basedOn w:val="List5"/>
    <w:rsid w:val="00BE2913"/>
    <w:pPr>
      <w:numPr>
        <w:numId w:val="8"/>
      </w:numPr>
    </w:pPr>
  </w:style>
  <w:style w:type="paragraph" w:styleId="BlockText">
    <w:name w:val="Block Text"/>
    <w:basedOn w:val="Normal"/>
    <w:rsid w:val="00BE2913"/>
    <w:pPr>
      <w:spacing w:after="120"/>
      <w:ind w:left="1440" w:right="1440"/>
    </w:pPr>
  </w:style>
  <w:style w:type="character" w:customStyle="1" w:styleId="Subscript">
    <w:name w:val="Subscript"/>
    <w:basedOn w:val="DefaultParagraphFont"/>
    <w:rsid w:val="00BE2913"/>
    <w:rPr>
      <w:sz w:val="16"/>
      <w:vertAlign w:val="subscript"/>
    </w:rPr>
  </w:style>
  <w:style w:type="character" w:customStyle="1" w:styleId="Superscript">
    <w:name w:val="Superscript"/>
    <w:basedOn w:val="DefaultParagraphFont"/>
    <w:rsid w:val="00BE2913"/>
    <w:rPr>
      <w:sz w:val="16"/>
      <w:vertAlign w:val="superscript"/>
    </w:rPr>
  </w:style>
  <w:style w:type="character" w:customStyle="1" w:styleId="Symbols">
    <w:name w:val="Symbols"/>
    <w:basedOn w:val="DefaultParagraphFont"/>
    <w:rsid w:val="00BE2913"/>
    <w:rPr>
      <w:rFonts w:ascii="Symbol" w:hAnsi="Symbol"/>
    </w:rPr>
  </w:style>
  <w:style w:type="character" w:customStyle="1" w:styleId="MenuOptions">
    <w:name w:val="Menu Options"/>
    <w:basedOn w:val="DefaultParagraphFont"/>
    <w:rsid w:val="00BE2913"/>
    <w:rPr>
      <w:rFonts w:ascii="Arial Narrow" w:hAnsi="Arial Narrow"/>
      <w:smallCaps/>
    </w:rPr>
  </w:style>
  <w:style w:type="character" w:customStyle="1" w:styleId="Buttons">
    <w:name w:val="Buttons"/>
    <w:basedOn w:val="DefaultParagraphFont"/>
    <w:rsid w:val="00BE2913"/>
    <w:rPr>
      <w:b/>
    </w:rPr>
  </w:style>
  <w:style w:type="character" w:customStyle="1" w:styleId="Underlined">
    <w:name w:val="Underlined"/>
    <w:basedOn w:val="DefaultParagraphFont"/>
    <w:rsid w:val="00BE2913"/>
    <w:rPr>
      <w:u w:val="single"/>
    </w:rPr>
  </w:style>
  <w:style w:type="paragraph" w:customStyle="1" w:styleId="TableBodyTextRight">
    <w:name w:val="Table Body Text Right"/>
    <w:basedOn w:val="TableBodyText"/>
    <w:rsid w:val="00BE2913"/>
    <w:pPr>
      <w:widowControl w:val="0"/>
      <w:autoSpaceDE w:val="0"/>
      <w:autoSpaceDN w:val="0"/>
      <w:adjustRightInd w:val="0"/>
      <w:jc w:val="right"/>
    </w:pPr>
    <w:rPr>
      <w:rFonts w:cs="Arial"/>
      <w:szCs w:val="18"/>
    </w:rPr>
  </w:style>
  <w:style w:type="paragraph" w:customStyle="1" w:styleId="CopyrightText">
    <w:name w:val="Copyright Text"/>
    <w:basedOn w:val="BodyText"/>
    <w:rsid w:val="00BE2913"/>
    <w:rPr>
      <w:sz w:val="18"/>
    </w:rPr>
  </w:style>
  <w:style w:type="paragraph" w:customStyle="1" w:styleId="BodySmallRight">
    <w:name w:val="Body Small Right"/>
    <w:basedOn w:val="BodyTextRight"/>
    <w:rsid w:val="00BE2913"/>
    <w:rPr>
      <w:sz w:val="18"/>
      <w:szCs w:val="18"/>
    </w:rPr>
  </w:style>
  <w:style w:type="paragraph" w:customStyle="1" w:styleId="MarginEdition">
    <w:name w:val="Margin Edition"/>
    <w:basedOn w:val="MarginNote"/>
    <w:rsid w:val="00BE2913"/>
    <w:pPr>
      <w:spacing w:before="0" w:after="0"/>
    </w:pPr>
    <w:rPr>
      <w:rFonts w:ascii="Times New Roman" w:hAnsi="Times New Roman"/>
      <w:color w:val="999999"/>
    </w:rPr>
  </w:style>
  <w:style w:type="paragraph" w:customStyle="1" w:styleId="Spacer">
    <w:name w:val="Spacer"/>
    <w:basedOn w:val="Normal"/>
    <w:rsid w:val="00BE2913"/>
    <w:rPr>
      <w:sz w:val="2"/>
      <w:szCs w:val="2"/>
    </w:rPr>
  </w:style>
  <w:style w:type="character" w:customStyle="1" w:styleId="Small">
    <w:name w:val="Small"/>
    <w:basedOn w:val="DefaultParagraphFont"/>
    <w:rsid w:val="00BE2913"/>
    <w:rPr>
      <w:sz w:val="16"/>
    </w:rPr>
  </w:style>
  <w:style w:type="paragraph" w:customStyle="1" w:styleId="WideTable">
    <w:name w:val="Wide Table"/>
    <w:basedOn w:val="Normal"/>
    <w:rsid w:val="00BE2913"/>
    <w:pPr>
      <w:ind w:left="-1418"/>
    </w:pPr>
    <w:rPr>
      <w:sz w:val="2"/>
      <w:szCs w:val="2"/>
    </w:rPr>
  </w:style>
  <w:style w:type="character" w:styleId="PageNumber">
    <w:name w:val="page number"/>
    <w:basedOn w:val="DefaultParagraphFont"/>
    <w:rsid w:val="00BE2913"/>
  </w:style>
  <w:style w:type="paragraph" w:styleId="Quote">
    <w:name w:val="Quote"/>
    <w:basedOn w:val="Heading1"/>
    <w:link w:val="QuoteChar"/>
    <w:qFormat/>
    <w:rsid w:val="00BE2913"/>
    <w:rPr>
      <w:b w:val="0"/>
      <w:sz w:val="72"/>
      <w:szCs w:val="72"/>
      <w:lang w:val="en-NZ"/>
    </w:rPr>
  </w:style>
  <w:style w:type="character" w:customStyle="1" w:styleId="QuoteChar">
    <w:name w:val="Quote Char"/>
    <w:basedOn w:val="DefaultParagraphFont"/>
    <w:link w:val="Quote"/>
    <w:rsid w:val="00BE2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913"/>
    <w:pPr>
      <w:pageBreakBefore/>
    </w:pPr>
  </w:style>
  <w:style w:type="paragraph" w:customStyle="1" w:styleId="Border">
    <w:name w:val="Border"/>
    <w:basedOn w:val="Normal"/>
    <w:qFormat/>
    <w:rsid w:val="00BE2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913"/>
    <w:rPr>
      <w:b/>
      <w:bCs/>
      <w:i/>
      <w:iCs/>
      <w:color w:val="auto"/>
    </w:rPr>
  </w:style>
  <w:style w:type="paragraph" w:styleId="IntenseQuote">
    <w:name w:val="Intense Quote"/>
    <w:basedOn w:val="Normal"/>
    <w:next w:val="Normal"/>
    <w:link w:val="IntenseQuoteChar"/>
    <w:uiPriority w:val="30"/>
    <w:qFormat/>
    <w:rsid w:val="00BE2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913"/>
    <w:rPr>
      <w:smallCaps/>
      <w:color w:val="auto"/>
      <w:u w:val="single"/>
    </w:rPr>
  </w:style>
  <w:style w:type="character" w:styleId="IntenseReference">
    <w:name w:val="Intense Reference"/>
    <w:basedOn w:val="DefaultParagraphFont"/>
    <w:uiPriority w:val="32"/>
    <w:qFormat/>
    <w:rsid w:val="00BE2913"/>
    <w:rPr>
      <w:b/>
      <w:bCs/>
      <w:smallCaps/>
      <w:color w:val="auto"/>
      <w:spacing w:val="5"/>
      <w:u w:val="single"/>
    </w:rPr>
  </w:style>
  <w:style w:type="paragraph" w:customStyle="1" w:styleId="2ColumnHeading">
    <w:name w:val="2Column Heading"/>
    <w:basedOn w:val="BodyText"/>
    <w:qFormat/>
    <w:rsid w:val="00BE2913"/>
    <w:pPr>
      <w:spacing w:after="60"/>
      <w:ind w:left="-2268"/>
    </w:pPr>
    <w:rPr>
      <w:b/>
    </w:rPr>
  </w:style>
  <w:style w:type="paragraph" w:customStyle="1" w:styleId="Heading1TOC">
    <w:name w:val="Heading1 TOC"/>
    <w:basedOn w:val="Normal"/>
    <w:qFormat/>
    <w:rsid w:val="00BE2913"/>
    <w:pPr>
      <w:spacing w:before="240" w:after="120"/>
    </w:pPr>
    <w:rPr>
      <w:rFonts w:ascii="Times New Roman" w:hAnsi="Times New Roman"/>
      <w:b/>
      <w:sz w:val="32"/>
    </w:rPr>
  </w:style>
  <w:style w:type="paragraph" w:customStyle="1" w:styleId="Heading2TOC">
    <w:name w:val="Heading2 TOC"/>
    <w:basedOn w:val="Normal"/>
    <w:qFormat/>
    <w:rsid w:val="00BE2913"/>
    <w:pPr>
      <w:spacing w:before="240" w:after="60"/>
    </w:pPr>
    <w:rPr>
      <w:rFonts w:ascii="Times New Roman" w:hAnsi="Times New Roman"/>
      <w:b/>
      <w:sz w:val="28"/>
    </w:rPr>
  </w:style>
  <w:style w:type="character" w:customStyle="1" w:styleId="Underline">
    <w:name w:val="Underline"/>
    <w:basedOn w:val="DefaultParagraphFont"/>
    <w:qFormat/>
    <w:rsid w:val="00BE2913"/>
    <w:rPr>
      <w:u w:val="single"/>
    </w:rPr>
  </w:style>
  <w:style w:type="character" w:customStyle="1" w:styleId="BoldandItalics">
    <w:name w:val="Bold and Italics"/>
    <w:qFormat/>
    <w:rsid w:val="00BE2913"/>
    <w:rPr>
      <w:b/>
      <w:i/>
      <w:u w:val="none"/>
    </w:rPr>
  </w:style>
  <w:style w:type="paragraph" w:styleId="BalloonText">
    <w:name w:val="Balloon Text"/>
    <w:basedOn w:val="Normal"/>
    <w:link w:val="BalloonTextChar"/>
    <w:rsid w:val="00BE2913"/>
    <w:rPr>
      <w:rFonts w:ascii="Tahoma" w:hAnsi="Tahoma" w:cs="Tahoma"/>
      <w:sz w:val="16"/>
      <w:szCs w:val="16"/>
    </w:rPr>
  </w:style>
  <w:style w:type="character" w:customStyle="1" w:styleId="BalloonTextChar">
    <w:name w:val="Balloon Text Char"/>
    <w:basedOn w:val="DefaultParagraphFont"/>
    <w:link w:val="BalloonText"/>
    <w:rsid w:val="00BE2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913"/>
    <w:rPr>
      <w:b/>
      <w:color w:val="660033"/>
      <w:spacing w:val="0"/>
    </w:rPr>
  </w:style>
  <w:style w:type="paragraph" w:customStyle="1" w:styleId="Nameditemlist">
    <w:name w:val="Named item list"/>
    <w:basedOn w:val="BodyText"/>
    <w:qFormat/>
    <w:rsid w:val="00BE29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3000</Words>
  <Characters>18776</Characters>
  <Application>Microsoft Office Word</Application>
  <DocSecurity>0</DocSecurity>
  <Lines>781</Lines>
  <Paragraphs>296</Paragraphs>
  <ScaleCrop>false</ScaleCrop>
  <Company>Author-it Software Corporation Ltd.</Company>
  <LinksUpToDate>false</LinksUpToDate>
  <CharactersWithSpaces>21539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UETTDRTS42A Management of energy registration data errors for revenue billing purposes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2012-10-01T04:37:00Z</dcterms:created>
  <dcterms:modified xsi:type="dcterms:W3CDTF">2012-10-01T04:37:00Z</dcterms:modified>
</cp:coreProperties>
</file>