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FA9" w:rsidP="007D1FA9">
      <w:pPr>
        <w:pStyle w:val="Title"/>
      </w:pPr>
      <w:r>
        <w:fldChar w:fldCharType="begin"/>
      </w:r>
      <w:r>
        <w:instrText xml:space="preserve"> TITLE   \* MERGEFORMAT </w:instrText>
      </w:r>
      <w:r>
        <w:fldChar w:fldCharType="separate"/>
      </w:r>
      <w:r>
        <w:t>UETTDRTS40A Test and maintain energy/revenue metering schemes</w:t>
      </w:r>
      <w:r>
        <w:fldChar w:fldCharType="end"/>
      </w:r>
    </w:p>
    <w:p w:rsidR="007D1FA9" w:rsidP="007D1FA9">
      <w:pPr>
        <w:pStyle w:val="Version"/>
        <w:sectPr w:rsidSect="00B87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A32" w:rsidP="00B87A32">
      <w:pPr>
        <w:pStyle w:val="SuperHeading"/>
      </w:pPr>
      <w:r w:rsidRPr="00B87A32">
        <w:t>UETTDRTS40A Test and maintain energy/revenue metering schemes</w:t>
      </w:r>
    </w:p>
    <w:p w:rsidR="00000000" w:rsidRPr="00B87A32" w:rsidP="00B87A32">
      <w:pPr>
        <w:pStyle w:val="Heading1"/>
      </w:pPr>
      <w:bookmarkStart w:id="1" w:name="O_464799"/>
      <w:bookmarkEnd w:id="1"/>
      <w:r w:rsidRPr="00B87A32">
        <w:t>Modification History</w:t>
      </w:r>
    </w:p>
    <w:p w:rsidR="00000000" w:rsidRPr="00B87A32" w:rsidP="00B87A32">
      <w:pPr>
        <w:pStyle w:val="BodyText"/>
      </w:pPr>
      <w:r w:rsidRPr="00B87A32">
        <w:t>Not applicable.</w:t>
      </w:r>
    </w:p>
    <w:p w:rsidR="00000000" w:rsidRPr="00B87A32" w:rsidP="00B87A32">
      <w:pPr>
        <w:pStyle w:val="AllowPageBreak"/>
      </w:pPr>
    </w:p>
    <w:p w:rsidR="00000000" w:rsidRPr="00B87A32" w:rsidP="00B87A32">
      <w:pPr>
        <w:pStyle w:val="Heading1"/>
      </w:pPr>
      <w:bookmarkStart w:id="2" w:name="O_464797"/>
      <w:bookmarkEnd w:id="2"/>
      <w:r w:rsidRPr="00B87A32">
        <w:t>Unit Descriptor</w:t>
      </w:r>
    </w:p>
    <w:tbl>
      <w:tblPr>
        <w:tblW w:w="0" w:type="auto"/>
        <w:tblLayout w:type="fixed"/>
        <w:tblCellMar>
          <w:left w:w="62" w:type="dxa"/>
          <w:right w:w="62" w:type="dxa"/>
        </w:tblCellMar>
        <w:tblLook w:val="0000"/>
      </w:tblPr>
      <w:tblGrid>
        <w:gridCol w:w="2700"/>
        <w:gridCol w:w="5760"/>
      </w:tblGrid>
      <w:tr w:rsidTr="007D1F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1)</w:t>
            </w:r>
            <w:r w:rsidRPr="00B87A32">
              <w:t xml:space="preserve"> </w:t>
            </w:r>
            <w:r w:rsidRPr="00B87A32">
              <w:rPr>
                <w:rStyle w:val="SpecialBold"/>
              </w:rPr>
              <w:t>Scope:</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A3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1.1) Descriptor</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This Competency Standard Unit covers the testing and maintenance of energy/revenue metering schemes.  It includes testing, isolation, inspection, monitoring, adjustment, repair, refurbishment and or overhaul and functional checks of energy/revenue metering</w:t>
            </w:r>
            <w:r w:rsidRPr="00B87A32">
              <w:t xml:space="preserve"> schemes.</w:t>
            </w:r>
          </w:p>
          <w:p w:rsidR="00000000" w:rsidRPr="00B87A32" w:rsidP="00B87A32">
            <w:pPr>
              <w:pStyle w:val="BodyText"/>
            </w:pPr>
            <w:r w:rsidRPr="00B87A32">
              <w:t>It includes the requirements to prove the functionality of the metering scheme in accordance with electrical installation (state and national) standards, metrology procedures, compliance to tariff requirements, revenue billing, energy registratio</w:t>
            </w:r>
            <w:r w:rsidRPr="00B87A32">
              <w:t>n and the identification of faults with metering equipment in accordance with established procedures.</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3" w:name="O_464786"/>
      <w:bookmarkEnd w:id="3"/>
      <w:r w:rsidRPr="00B87A32">
        <w:t>Application of the Unit</w:t>
      </w:r>
    </w:p>
    <w:tbl>
      <w:tblPr>
        <w:tblW w:w="0" w:type="auto"/>
        <w:tblLayout w:type="fixed"/>
        <w:tblCellMar>
          <w:left w:w="62" w:type="dxa"/>
          <w:right w:w="62" w:type="dxa"/>
        </w:tblCellMar>
        <w:tblLook w:val="0000"/>
      </w:tblPr>
      <w:tblGrid>
        <w:gridCol w:w="2672"/>
        <w:gridCol w:w="5699"/>
      </w:tblGrid>
      <w:tr w:rsidTr="007D1F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2)</w:t>
            </w:r>
          </w:p>
        </w:tc>
      </w:tr>
      <w:tr w:rsidTr="007D1F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This competency standard is suitable for employment-based programs under an approved contract of training at the AQF level of the qualification in which the unit is first packaged or higher.</w:t>
            </w:r>
          </w:p>
          <w:p w:rsidR="00000000" w:rsidRPr="00B87A32" w:rsidP="00B87A32">
            <w:pPr>
              <w:pStyle w:val="BodyText"/>
            </w:pPr>
            <w:r w:rsidRPr="00B87A32">
              <w:t>The unit may be selected as an elective from the relevant schedul</w:t>
            </w:r>
            <w:r w:rsidRPr="00B87A32">
              <w:t>e (see qualification packaging rules) provided that all prerequisite units are undertaken or addressed through recognition processes.</w:t>
            </w:r>
          </w:p>
          <w:p w:rsidR="00000000" w:rsidRPr="00B87A32" w:rsidP="00B87A32">
            <w:pPr>
              <w:pStyle w:val="BodyText"/>
            </w:pPr>
            <w:r w:rsidRPr="00B87A32">
              <w:t>This unit may be included in a skill set provided that it is listed in the schedule of electives (see Qualification Framew</w:t>
            </w:r>
            <w:r w:rsidRPr="00B87A32">
              <w:t>ork) and all prerequisite units are undertaken or addressed through recognition processes.</w:t>
            </w:r>
          </w:p>
          <w:p w:rsidR="00000000" w:rsidRPr="00B87A32" w:rsidP="00B87A32">
            <w:pPr>
              <w:pStyle w:val="BodyText"/>
            </w:pPr>
            <w:r w:rsidRPr="00B87A32">
              <w:t>Delivery and assessment of this unit should be undertaken within regard to the requirements of License to Practice (1.2 above), Prerequisite Competencies and Literac</w:t>
            </w:r>
            <w:r w:rsidRPr="00B87A32">
              <w:t>y and Numeracy skills (2 above) and the recommendations for concurrent assessment and relationship with other units (9.5 below).</w:t>
            </w:r>
          </w:p>
          <w:p w:rsidR="00000000" w:rsidRPr="00B87A32" w:rsidP="00B87A32">
            <w:pPr>
              <w:pStyle w:val="BodyText"/>
            </w:pPr>
            <w:r w:rsidRPr="00B87A32">
              <w:t>Practice in the workplace and during training is also subject to regulations directly related to occupational health and safety</w:t>
            </w:r>
            <w:r w:rsidRPr="00B87A32">
              <w:t xml:space="preserve"> and where applicable contracts of training such as apprenticeships.</w:t>
            </w:r>
          </w:p>
          <w:p w:rsidR="00000000" w:rsidRPr="00B87A32" w:rsidP="00B87A32">
            <w:pPr>
              <w:pStyle w:val="BodyText"/>
            </w:pPr>
            <w:r w:rsidRPr="00B87A32">
              <w:t>Note:</w:t>
            </w:r>
          </w:p>
          <w:p w:rsidR="00000000" w:rsidRPr="00B87A32" w:rsidP="00B87A32">
            <w:pPr>
              <w:pStyle w:val="BodyText"/>
            </w:pPr>
            <w:r w:rsidRPr="00B87A32">
              <w:t>1. Compliance with permits may be required in various jurisdictions and typically relates to the operation of plant, machinery and equipment such as elevating work platforms, powder</w:t>
            </w:r>
            <w:r w:rsidRPr="00B87A32">
              <w:t xml:space="preserve"> operated fixing tools, power operated tools, vehicles, road signage and traffic control and lifting equipment. Permits may also be required for some work environments such as confined spaces, working aloft, near live electrical apparatus and site rehabili</w:t>
            </w:r>
            <w:r w:rsidRPr="00B87A32">
              <w:t>tation.</w:t>
            </w:r>
          </w:p>
          <w:p w:rsidR="00000000" w:rsidRPr="00B87A32" w:rsidP="00B87A32">
            <w:pPr>
              <w:pStyle w:val="BodyText"/>
            </w:pPr>
            <w:r w:rsidRPr="00B87A32">
              <w:t>2. Compliance may be required in various jurisdictions relating to currency in First Aid, confined space, lifting, risk safety measures etc.</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4" w:name="O_464793"/>
      <w:bookmarkEnd w:id="4"/>
      <w:r w:rsidRPr="00B87A32">
        <w:t>Licensing/Regulatory Information</w:t>
      </w:r>
    </w:p>
    <w:tbl>
      <w:tblPr>
        <w:tblW w:w="0" w:type="auto"/>
        <w:tblLayout w:type="fixed"/>
        <w:tblCellMar>
          <w:left w:w="62" w:type="dxa"/>
          <w:right w:w="62" w:type="dxa"/>
        </w:tblCellMar>
        <w:tblLook w:val="0000"/>
      </w:tblPr>
      <w:tblGrid>
        <w:gridCol w:w="2700"/>
        <w:gridCol w:w="5760"/>
      </w:tblGrid>
      <w:tr w:rsidTr="007D1F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 xml:space="preserve">3) </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The skills and knowledge described in this unit requires a licence/registration to practice in the work place subject to regulations for undertaking of electrical work. Practice in workplace and during training is also subject to regulations directly relat</w:t>
            </w:r>
            <w:r w:rsidRPr="00B87A32">
              <w:t>ed to Occupational Health and Safety, electricity/telecommunications/gas/water industry safety and compliance, industrial relations, environmental protection, anti discrimination and training. Commonwealth, State/Territory or Local Government legislation a</w:t>
            </w:r>
            <w:r w:rsidRPr="00B87A32">
              <w:t>nd regulations may exist that limits the age of operating certain equipment.</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5" w:name="O_464794"/>
      <w:bookmarkEnd w:id="5"/>
      <w:r w:rsidRPr="00B87A32">
        <w:t>Pre-Requisites</w:t>
      </w:r>
    </w:p>
    <w:tbl>
      <w:tblPr>
        <w:tblW w:w="0" w:type="auto"/>
        <w:tblLayout w:type="fixed"/>
        <w:tblCellMar>
          <w:left w:w="62" w:type="dxa"/>
          <w:right w:w="62" w:type="dxa"/>
        </w:tblCellMar>
        <w:tblLook w:val="0000"/>
      </w:tblPr>
      <w:tblGrid>
        <w:gridCol w:w="2700"/>
        <w:gridCol w:w="2070"/>
        <w:gridCol w:w="3690"/>
      </w:tblGrid>
      <w:tr w:rsidTr="007D1F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 xml:space="preserve">4) </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4.1)</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Granting of competency in this unit shall be made only after competency in the following unit(s) has/have been confirmed.</w:t>
            </w:r>
          </w:p>
          <w:p w:rsidR="00000000" w:rsidRPr="00B87A32" w:rsidP="00B87A32">
            <w:pPr>
              <w:pStyle w:val="BodyText"/>
            </w:pPr>
            <w:r w:rsidRPr="00B87A32">
              <w:t xml:space="preserve">Where pre-requisite pathways have been identified. All competencies in the Common Unit Group must be have been completed plus all the </w:t>
            </w:r>
            <w:r w:rsidRPr="00B87A32">
              <w:t>competencies in one (1) of the identified Pathway Unit Group(s):</w:t>
            </w:r>
          </w:p>
          <w:p w:rsidR="00000000" w:rsidP="00B87A32">
            <w:pPr>
              <w:pStyle w:val="BodyText"/>
              <w:rPr>
                <w:lang w:val="en-NZ"/>
              </w:rPr>
            </w:pPr>
            <w:r w:rsidRPr="00B87A32">
              <w:t>Common Unit Group</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Unit Code</w:t>
            </w:r>
          </w:p>
        </w:tc>
        <w:tc>
          <w:tcPr>
            <w:tcW w:w="369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Unit Title</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Apply Occupational Health and Safety regulations, codes and practices in the workplace</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Fabricate, assemble and dismantle utilities industry components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Solve problems in d.c.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Fix and secure electrotechnology equipment</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Use drawings, diagrams, schedules, standards, codes and specifications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UEENEEE137A</w:t>
            </w:r>
          </w:p>
        </w:tc>
        <w:tc>
          <w:tcPr>
            <w:tcW w:w="369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Document and apply measures to control OHS risks associated with electrotechnology work</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Solve problems in single and three phase low voltage machines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Solve problems in single and three phase low voltage electrical ap</w:t>
            </w:r>
            <w:r w:rsidRPr="00B87A32">
              <w:t>paratus and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Arrange circuits, control and protection for general electrical installations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UEENEEG076A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Install and replace low voltage current transformer metering</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Solve problems in electromagnetic devices and related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Solve problems in electromagnetic devices and related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UEENEEG103A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Install low voltage wiring and accessories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UEENEEG104A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Install appliances, switchgear and associated</w:t>
            </w:r>
            <w:r w:rsidRPr="00B87A32">
              <w:t xml:space="preserve"> accessories for low voltage electrical installations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RPr="00B87A32" w:rsidP="00B87A32">
            <w:pPr>
              <w:pStyle w:val="BodyText"/>
            </w:pPr>
            <w:r w:rsidRPr="00B87A32">
              <w:t>UEENEEG105A</w:t>
            </w:r>
          </w:p>
        </w:tc>
        <w:tc>
          <w:tcPr>
            <w:tcW w:w="369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566"/>
            </w:tblGrid>
            <w:tr>
              <w:tblPrEx>
                <w:tblW w:w="0" w:type="auto"/>
                <w:tblLayout w:type="fixed"/>
                <w:tblCellMar>
                  <w:left w:w="62" w:type="dxa"/>
                  <w:right w:w="62" w:type="dxa"/>
                </w:tblCellMar>
                <w:tblLook w:val="0000"/>
              </w:tblPrEx>
              <w:tc>
                <w:tcPr>
                  <w:tcW w:w="3566" w:type="dxa"/>
                  <w:shd w:val="clear" w:color="auto" w:fill="FFFFFF"/>
                  <w:tcMar>
                    <w:top w:w="0" w:type="dxa"/>
                    <w:left w:w="62" w:type="dxa"/>
                    <w:bottom w:w="0" w:type="dxa"/>
                    <w:right w:w="62" w:type="dxa"/>
                  </w:tcMar>
                </w:tcPr>
                <w:p w:rsidR="00000000" w:rsidRPr="00B87A32" w:rsidP="00B87A32">
                  <w:pPr>
                    <w:pStyle w:val="BodyText"/>
                  </w:pPr>
                  <w:r w:rsidRPr="00B87A32">
                    <w:t>Verify compliance and functionality of low voltage general electrical installations</w:t>
                  </w:r>
                </w:p>
              </w:tc>
            </w:tr>
          </w:tbl>
          <w:p w:rsidR="00000000" w:rsidP="00B87A32">
            <w:pPr>
              <w:pStyle w:val="BodyText"/>
              <w:rPr>
                <w:lang w:val="en-NZ"/>
              </w:rPr>
            </w:pP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Terminate cables, cords and accessories for low voltage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UEENEEG107A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Select wiring systems and cables for low voltage general electrical installations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Trouble-shoot and repair faults in low voltage electrical apparatus and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Develop and connect electrical control circuits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UEENEEG171A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Ins</w:t>
            </w:r>
            <w:r w:rsidRPr="00B87A32">
              <w:t>tall, set up and commission interval metering</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Apply sustainable energy and environmental procedures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UETTDREL15A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Respond to power systems technical enquiries and requests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Working safely near live electrical apparatus</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UETTDRTS37A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Perform current injection testing using phantom load</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UETTDRTS38A</w:t>
            </w:r>
          </w:p>
        </w:tc>
        <w:tc>
          <w:tcPr>
            <w:tcW w:w="369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Install and replace high voltage metering and associated equipment</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7A32">
            <w:pPr>
              <w:pStyle w:val="BodyText"/>
              <w:rPr>
                <w:lang w:val="en-NZ"/>
              </w:rPr>
            </w:pPr>
            <w:r w:rsidRPr="00B87A32">
              <w:t>UETTDRTS39A</w:t>
            </w:r>
          </w:p>
        </w:tc>
        <w:tc>
          <w:tcPr>
            <w:tcW w:w="3690" w:type="dxa"/>
            <w:tcBorders>
              <w:top w:val="nil"/>
              <w:left w:val="nil"/>
              <w:bottom w:val="nil"/>
              <w:right w:val="nil"/>
            </w:tcBorders>
            <w:tcMar>
              <w:top w:w="0" w:type="dxa"/>
              <w:left w:w="62" w:type="dxa"/>
              <w:bottom w:w="0" w:type="dxa"/>
              <w:right w:w="62" w:type="dxa"/>
            </w:tcMar>
            <w:vAlign w:val="center"/>
          </w:tcPr>
          <w:p w:rsidR="00000000" w:rsidRPr="00B87A32" w:rsidP="00B87A32">
            <w:pPr>
              <w:pStyle w:val="BodyText"/>
            </w:pPr>
            <w:r w:rsidRPr="00B87A32">
              <w:t>Maintain compliance with national electricity market metrology practices and procedures</w:t>
            </w:r>
          </w:p>
        </w:tc>
      </w:tr>
    </w:tbl>
    <w:p w:rsidR="00000000" w:rsidRPr="00B87A32" w:rsidP="00B87A3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1F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Litera</w:t>
            </w:r>
            <w:r w:rsidRPr="00B87A32">
              <w:rPr>
                <w:rStyle w:val="SpecialBold"/>
              </w:rPr>
              <w:t>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 xml:space="preserve">4.2) </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Participants are best equipped to achieve this unit if they have reading, writing and numeracy skills indicated by the following scales. Description of each scale is given in Volume 2, Part 3 “Literacy and Numeracy”</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Reading</w:t>
            </w:r>
          </w:p>
        </w:tc>
        <w:tc>
          <w:tcPr>
            <w:tcW w:w="81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5</w:t>
            </w:r>
          </w:p>
        </w:tc>
        <w:tc>
          <w:tcPr>
            <w:tcW w:w="99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Writing</w:t>
            </w:r>
          </w:p>
        </w:tc>
        <w:tc>
          <w:tcPr>
            <w:tcW w:w="90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5</w:t>
            </w:r>
          </w:p>
        </w:tc>
        <w:tc>
          <w:tcPr>
            <w:tcW w:w="12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Numeracy</w:t>
            </w:r>
          </w:p>
        </w:tc>
        <w:tc>
          <w:tcPr>
            <w:tcW w:w="72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5</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6" w:name="O_464790"/>
      <w:bookmarkEnd w:id="6"/>
      <w:r w:rsidRPr="00B87A32">
        <w:t>Employability Skills Information</w:t>
      </w:r>
    </w:p>
    <w:tbl>
      <w:tblPr>
        <w:tblW w:w="0" w:type="auto"/>
        <w:tblLayout w:type="fixed"/>
        <w:tblCellMar>
          <w:left w:w="62" w:type="dxa"/>
          <w:right w:w="62" w:type="dxa"/>
        </w:tblCellMar>
        <w:tblLook w:val="0000"/>
      </w:tblPr>
      <w:tblGrid>
        <w:gridCol w:w="2700"/>
        <w:gridCol w:w="5760"/>
      </w:tblGrid>
      <w:tr w:rsidTr="007D1F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 xml:space="preserve">5) </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 xml:space="preserve">The required outcomes described in this unit of competency contain applicable facets of Employability Skills. The Employability Skills Summary </w:t>
            </w:r>
            <w:r w:rsidRPr="00B87A32">
              <w:t>of the qualification in which this unit of competency is packaged will assist in identifying Employability Skill requirements.</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7" w:name="O_464789"/>
      <w:bookmarkEnd w:id="7"/>
      <w:r w:rsidRPr="00B87A32">
        <w:t>Elements and Performance Criteria Pre-Content</w:t>
      </w:r>
    </w:p>
    <w:tbl>
      <w:tblPr>
        <w:tblW w:w="0" w:type="auto"/>
        <w:tblLayout w:type="fixed"/>
        <w:tblCellMar>
          <w:left w:w="62" w:type="dxa"/>
          <w:right w:w="62" w:type="dxa"/>
        </w:tblCellMar>
        <w:tblLook w:val="0000"/>
      </w:tblPr>
      <w:tblGrid>
        <w:gridCol w:w="2700"/>
        <w:gridCol w:w="5760"/>
      </w:tblGrid>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6)</w:t>
            </w:r>
            <w:r w:rsidRPr="00B87A32">
              <w:t xml:space="preserve"> Elements describe the essential outcomes of a competency stan</w:t>
            </w:r>
            <w:r w:rsidRPr="00B87A32">
              <w:t>dard unit</w:t>
            </w:r>
          </w:p>
        </w:tc>
        <w:tc>
          <w:tcPr>
            <w:tcW w:w="57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Performance Criteria describe the required performance needed to demonstrate achievement of the element. Assessment of performance is to be consistent with the Evidence Guide.</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8" w:name="O_464788"/>
      <w:bookmarkEnd w:id="8"/>
      <w:r w:rsidRPr="00B87A32">
        <w:t>Elements and Performance Criteria</w:t>
      </w:r>
    </w:p>
    <w:tbl>
      <w:tblPr>
        <w:tblW w:w="0" w:type="auto"/>
        <w:tblLayout w:type="fixed"/>
        <w:tblCellMar>
          <w:left w:w="62" w:type="dxa"/>
          <w:right w:w="62" w:type="dxa"/>
        </w:tblCellMar>
        <w:tblLook w:val="0000"/>
      </w:tblPr>
      <w:tblGrid>
        <w:gridCol w:w="405"/>
        <w:gridCol w:w="2295"/>
        <w:gridCol w:w="861"/>
        <w:gridCol w:w="4899"/>
      </w:tblGrid>
      <w:tr w:rsidTr="007D1F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PERFORMA</w:t>
            </w:r>
            <w:r w:rsidRPr="00B87A32">
              <w:rPr>
                <w:rStyle w:val="SpecialBold"/>
              </w:rPr>
              <w:t>NCE CRITERIA</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w:t>
            </w:r>
          </w:p>
        </w:tc>
        <w:tc>
          <w:tcPr>
            <w:tcW w:w="2295"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Plan for the testing and maintenance of energy/revenue metering schemes</w:t>
            </w: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1.1</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 xml:space="preserve">OHS practices/procedures and environmental and sustainable energy procedures, which may influence the testing and maintenance of energy/revenue </w:t>
            </w:r>
            <w:r w:rsidRPr="00B87A32">
              <w:t>metering schemes, are reviewed and determined.</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1.2</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Purpose of testing and maintenance of energy/revenue metering schemes is established after data is analysed and expected outcomes of the work are confirmed with the appropriate personnel.</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1.3</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Organis</w:t>
            </w:r>
            <w:r w:rsidRPr="00B87A32">
              <w:t>ational established procedures, policies and specifications for the testing and maintenance of energy/revenue metering schemes are obtained or established with the appropriate personnel.</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1.4</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Testing and maintenance of energy/revenue metering schemes procedures are discussed with/directed to the appropriate personnel in order to ascertain the project brief.</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1.5</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Testing and maintenance parameters are established from organisational establishe</w:t>
            </w:r>
            <w:r w:rsidRPr="00B87A32">
              <w:t>d procedures, policies and specifications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1.6</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Equipment/tools and personal protective equipment are selected based on specified Performance Criteria and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1.7</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Work roles and tasks are allocated according to requirements and indi</w:t>
            </w:r>
            <w:r w:rsidRPr="00B87A32">
              <w:t>viduals’ competencies.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1.8</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Work is prioritised and sequenced for the most efficient/effective outcome, completed within an acceptable timeframe to a quality standard and in accordance with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1.9</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Liaison and communication issues with other/authorised personnel, authorities, clients and customers are resolved and activities coordinated to carry out work.</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1.10</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Risk control measures are identified, prioritised and evaluated against the work schedul</w:t>
            </w:r>
            <w:r w:rsidRPr="00B87A32">
              <w:t>e.</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1.11</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Relevant internal/external work permits are obtained to coordinate the performance of work according to requirements and/or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w:t>
            </w:r>
          </w:p>
        </w:tc>
        <w:tc>
          <w:tcPr>
            <w:tcW w:w="2295" w:type="dxa"/>
            <w:vMerge w:val="restart"/>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Carry out the testing and maintenance of energy/revenue metering schemes</w:t>
            </w: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2.1</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OHS and sustainable energy principles, functionality and practices to prevent the incidents of accidents and minimise waste are incorporated into the project in accordance with requirements and/or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2.2</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 xml:space="preserve">First Aid, Rescue and other </w:t>
            </w:r>
            <w:r w:rsidRPr="00B87A32">
              <w:t>related work procedures are performed according to requirements and/or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2.3</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Lifting, climbing, and use of powertools/equipment, techniques and practices are safely exercised according to requirements.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2.4</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Hazard warnings and safety signs are recognized and hazards and assessed OHS risks are reported to the immediate authorised persons for directions according to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2.5</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Remedial actions are taken to overcome any shortfalls encountered</w:t>
            </w:r>
            <w:r w:rsidRPr="00B87A32">
              <w:t xml:space="preserve"> in the work schedule according to requirements and/or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2.6</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Testing equipment is used in accordance with the work schedule and requirements and/or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2.7</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Routine testing and acceptance testing of the instal</w:t>
            </w:r>
            <w:r w:rsidRPr="00B87A32">
              <w:t>lation, testing &amp; maintenance of revenue metering schemes is carried out in accordance with the work schedule</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2.8</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 xml:space="preserve">Technical advice is given regarding potential hazards, safety risks and control measures so that monitoring and preventative action can be </w:t>
            </w:r>
            <w:r w:rsidRPr="00B87A32">
              <w:t>undertaken and/or appropriate authorities consulted, where necessary, in accordance with requirements and established procedures.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2.9</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Essential knowledge and associated skills are applied in the safe testing and maintenance of energy/revenue metering sc</w:t>
            </w:r>
            <w:r w:rsidRPr="00B87A32">
              <w:t>hemes to ensure completion in an agreed timeframe according to requirements.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2.10</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Solutions to non-routine problems are identified and actioned, using essential knowledge and associated skills, according to requirements.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2.11</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Quality of work is monit</w:t>
            </w:r>
            <w:r w:rsidRPr="00B87A32">
              <w:t>ored against personal performance agreement and/or established organisational and professional standards.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3</w:t>
            </w:r>
          </w:p>
        </w:tc>
        <w:tc>
          <w:tcPr>
            <w:tcW w:w="2295"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Complete the testing and maintenance of energy/revenue metering schemes</w:t>
            </w: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3.1</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Final inspections of the testing and maintenance of energy/revenue mete</w:t>
            </w:r>
            <w:r w:rsidRPr="00B87A32">
              <w:t>ring schemes using routine tests and acceptance tests are undertaken to ensure they comply with all requirements and include all specifications and documents needed to complete the project.</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3.2</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Appropriate internal/external personnel are notified of completion and reports and/or completion documents are finalised/commissioned according to established procedures and timeframes.</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3.3</w:t>
            </w:r>
          </w:p>
        </w:tc>
        <w:tc>
          <w:tcPr>
            <w:tcW w:w="4899"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Reports and/or completion documents are submitted to relevant p</w:t>
            </w:r>
            <w:r w:rsidRPr="00B87A32">
              <w:t>ersonnel/organisations for approval and, where applicable, statutory or regulatory approval.</w:t>
            </w:r>
          </w:p>
        </w:tc>
      </w:tr>
      <w:tr w:rsidTr="007D1FA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t>3.4</w:t>
            </w:r>
          </w:p>
        </w:tc>
        <w:tc>
          <w:tcPr>
            <w:tcW w:w="4899"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Approved copies of routine testing and acceptance testing procedures/activities/results, for the testing and maintenance of energy/revenue metering schemes,</w:t>
            </w:r>
            <w:r w:rsidRPr="00B87A32">
              <w:t xml:space="preserve"> documents are issued and records are updated in accordance with established procedures.</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9" w:name="O_464796"/>
      <w:bookmarkEnd w:id="9"/>
      <w:r w:rsidRPr="00B87A32">
        <w:t>Required Skills and Knowledge</w:t>
      </w:r>
    </w:p>
    <w:tbl>
      <w:tblPr>
        <w:tblW w:w="0" w:type="auto"/>
        <w:tblLayout w:type="fixed"/>
        <w:tblCellMar>
          <w:left w:w="62" w:type="dxa"/>
          <w:right w:w="62" w:type="dxa"/>
        </w:tblCellMar>
        <w:tblLook w:val="0000"/>
      </w:tblPr>
      <w:tblGrid>
        <w:gridCol w:w="8460"/>
      </w:tblGrid>
      <w:tr w:rsidTr="007D1F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REQUIRED SKILLS AND KNOWLEDGE</w:t>
            </w:r>
          </w:p>
        </w:tc>
      </w:tr>
      <w:tr w:rsidTr="007D1FA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8)</w:t>
            </w:r>
            <w:r w:rsidRPr="00B87A32">
              <w:t xml:space="preserve"> Essential Knowledge and Associated Skills (EKAS): This describes the essential skills and knowledge and their level, required for this unit.</w:t>
            </w:r>
          </w:p>
          <w:p w:rsidR="00000000" w:rsidRPr="00B87A32" w:rsidP="00B87A32">
            <w:pPr>
              <w:pStyle w:val="BodyText"/>
            </w:pPr>
            <w:r w:rsidRPr="00B87A32">
              <w:t>Evidence shall show that knowledge has been acquired installation, testing &amp; maintenance of revenue metering schem</w:t>
            </w:r>
            <w:r w:rsidRPr="00B87A32">
              <w:t>es.</w:t>
            </w:r>
          </w:p>
          <w:p w:rsidR="00000000" w:rsidRPr="00B87A32" w:rsidP="00B87A32">
            <w:pPr>
              <w:pStyle w:val="BodyText"/>
            </w:pPr>
            <w:r w:rsidRPr="00B87A32">
              <w:t>All knowledge and skills detailed in this unit should be contextualised to current industry practices and technologies.</w:t>
            </w:r>
          </w:p>
          <w:p w:rsidR="00000000" w:rsidRPr="00B87A32" w:rsidP="00B87A32">
            <w:pPr>
              <w:pStyle w:val="BodyText"/>
            </w:pPr>
            <w:r w:rsidRPr="00B87A32">
              <w:t xml:space="preserve">KS01-TTS40A </w:t>
            </w:r>
            <w:r w:rsidRPr="00B87A32">
              <w:tab/>
              <w:t>Testing and maintenance of energy/revenue metering schemes</w:t>
            </w:r>
          </w:p>
          <w:p w:rsidR="00000000" w:rsidRPr="00B87A32" w:rsidP="00B87A32">
            <w:pPr>
              <w:pStyle w:val="BodyText"/>
            </w:pPr>
            <w:r w:rsidRPr="00B87A32">
              <w:t>Evidence shall show an understanding of the testing and main</w:t>
            </w:r>
            <w:r w:rsidRPr="00B87A32">
              <w:t xml:space="preserve">tenance of energy/revenue metering schemes to an extent indicated by the following aspects: </w:t>
            </w:r>
          </w:p>
          <w:p w:rsidR="00000000" w:rsidRPr="00B87A32" w:rsidP="00B87A32">
            <w:pPr>
              <w:pStyle w:val="BodyText"/>
            </w:pPr>
            <w:r w:rsidRPr="00B87A32">
              <w:t>T1</w:t>
            </w:r>
            <w:r w:rsidRPr="00B87A32">
              <w:tab/>
              <w:t>Operation of energy metering test equipment</w:t>
            </w:r>
          </w:p>
          <w:p w:rsidR="00000000" w:rsidRPr="00B87A32" w:rsidP="00B87A32">
            <w:pPr>
              <w:pStyle w:val="BodyText"/>
            </w:pPr>
            <w:r w:rsidRPr="00B87A32">
              <w:t>T2</w:t>
            </w:r>
            <w:r w:rsidRPr="00B87A32">
              <w:tab/>
              <w:t>Test equipment may include: voltmeters, amp meters, ohm meters, kWh/kVarh standards, tong ammeters, phase rotatio</w:t>
            </w:r>
            <w:r w:rsidRPr="00B87A32">
              <w:t xml:space="preserve">n meter, power factor meters, power quality meters, phantom load devices, current/voltage injection devices, measurement bridges, insulation resistance tester, phase angle meters, multimeters, standard CT’s / VT’s, insulated operating sticks,  </w:t>
            </w:r>
          </w:p>
          <w:p w:rsidR="00000000" w:rsidRPr="00B87A32" w:rsidP="00B87A32">
            <w:pPr>
              <w:pStyle w:val="BodyText"/>
            </w:pPr>
            <w:r w:rsidRPr="00B87A32">
              <w:t>T3</w:t>
            </w:r>
            <w:r w:rsidRPr="00B87A32">
              <w:tab/>
              <w:t>Other eq</w:t>
            </w:r>
            <w:r w:rsidRPr="00B87A32">
              <w:t xml:space="preserve">uipment may include: personal computer, calculator, stop watches, printers, telecommunication devices, GPS, </w:t>
            </w:r>
          </w:p>
          <w:p w:rsidR="00000000" w:rsidRPr="00B87A32" w:rsidP="00B87A32">
            <w:pPr>
              <w:pStyle w:val="BodyText"/>
            </w:pPr>
            <w:r w:rsidRPr="00B87A32">
              <w:t>T4</w:t>
            </w:r>
            <w:r w:rsidRPr="00B87A32">
              <w:tab/>
              <w:t>Knowledge of test principles and theories</w:t>
            </w:r>
          </w:p>
          <w:p w:rsidR="00000000" w:rsidRPr="00B87A32" w:rsidP="00B87A32">
            <w:pPr>
              <w:pStyle w:val="BodyText"/>
            </w:pPr>
            <w:r w:rsidRPr="00B87A32">
              <w:t>T5</w:t>
            </w:r>
            <w:r w:rsidRPr="00B87A32">
              <w:tab/>
              <w:t>Techniques in the testing and maintenance procedures of energy metering schemes as per Commonwealth</w:t>
            </w:r>
            <w:r w:rsidRPr="00B87A32">
              <w:t>/State/Territory legislation, supply authority regulations and enterprise standards</w:t>
            </w:r>
          </w:p>
          <w:p w:rsidR="00000000" w:rsidRPr="00B87A32" w:rsidP="00B87A32">
            <w:pPr>
              <w:pStyle w:val="BodyText"/>
            </w:pPr>
            <w:r w:rsidRPr="00B87A32">
              <w:t>T6</w:t>
            </w:r>
            <w:r w:rsidRPr="00B87A32">
              <w:tab/>
              <w:t>Ensure compliance with ISO 9001 and jurisdictional Quality Mgmt Systems</w:t>
            </w:r>
          </w:p>
          <w:p w:rsidR="00000000" w:rsidRPr="00B87A32" w:rsidP="00B87A32">
            <w:pPr>
              <w:pStyle w:val="BodyText"/>
            </w:pPr>
            <w:r w:rsidRPr="00B87A32">
              <w:t>T7</w:t>
            </w:r>
            <w:r w:rsidRPr="00B87A32">
              <w:tab/>
              <w:t>Evaluation of test results to ensure compliance with ISO and Aust Standards</w:t>
            </w:r>
          </w:p>
          <w:p w:rsidR="00000000" w:rsidRPr="00B87A32" w:rsidP="00B87A32">
            <w:pPr>
              <w:pStyle w:val="BodyText"/>
            </w:pPr>
            <w:r w:rsidRPr="00B87A32">
              <w:t>T8</w:t>
            </w:r>
            <w:r w:rsidRPr="00B87A32">
              <w:tab/>
              <w:t>Notification of</w:t>
            </w:r>
            <w:r w:rsidRPr="00B87A32">
              <w:t xml:space="preserve"> non-compliance to relevant parties.</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10" w:name="O_464791"/>
      <w:bookmarkEnd w:id="10"/>
      <w:r w:rsidRPr="00B87A32">
        <w:t>Evidence Guide</w:t>
      </w:r>
    </w:p>
    <w:tbl>
      <w:tblPr>
        <w:tblW w:w="0" w:type="auto"/>
        <w:tblLayout w:type="fixed"/>
        <w:tblCellMar>
          <w:left w:w="62" w:type="dxa"/>
          <w:right w:w="62" w:type="dxa"/>
        </w:tblCellMar>
        <w:tblLook w:val="0000"/>
      </w:tblPr>
      <w:tblGrid>
        <w:gridCol w:w="8460"/>
      </w:tblGrid>
      <w:tr w:rsidTr="007D1F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EVIDENCE GUIDE</w:t>
            </w:r>
          </w:p>
        </w:tc>
      </w:tr>
      <w:tr w:rsidTr="007D1F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9)</w:t>
            </w:r>
            <w:r w:rsidRPr="00B87A32">
              <w:t xml:space="preserve"> This provides essential advice for assessment of the unit of competency and must be read in conjunction </w:t>
            </w:r>
            <w:r w:rsidRPr="00B87A32">
              <w:t>with the Performance Criteria and the Range Statement of the unit of competency and the Training Package Assessment Guidelines.</w:t>
            </w:r>
          </w:p>
          <w:p w:rsidR="00000000" w:rsidRPr="00B87A32" w:rsidP="00B87A32">
            <w:pPr>
              <w:pStyle w:val="BodyText"/>
            </w:pPr>
            <w:r w:rsidRPr="00B87A32">
              <w:t>The Evidence Guide forms an integral part of this Competency Standard Unit and shall be used in conjunction with all component p</w:t>
            </w:r>
            <w:r w:rsidRPr="00B87A32">
              <w:t>arts of this unit and, performed in accordance with the Assessment Guidelines of this Training Package.</w:t>
            </w:r>
          </w:p>
        </w:tc>
      </w:tr>
    </w:tbl>
    <w:p w:rsidR="00000000" w:rsidRPr="00B87A32" w:rsidP="00B87A32">
      <w:pPr>
        <w:pStyle w:val="BodyText"/>
      </w:pPr>
    </w:p>
    <w:tbl>
      <w:tblPr>
        <w:tblW w:w="0" w:type="auto"/>
        <w:tblLayout w:type="fixed"/>
        <w:tblCellMar>
          <w:left w:w="62" w:type="dxa"/>
          <w:right w:w="62" w:type="dxa"/>
        </w:tblCellMar>
        <w:tblLook w:val="0000"/>
      </w:tblPr>
      <w:tblGrid>
        <w:gridCol w:w="1890"/>
        <w:gridCol w:w="6570"/>
      </w:tblGrid>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9.1)</w:t>
            </w:r>
          </w:p>
        </w:tc>
      </w:tr>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Longitudinal competency development approaches to assessment, such as Profiling, require data to be re</w:t>
            </w:r>
            <w:r w:rsidRPr="00B87A32">
              <w:t xml:space="preserve">liably gathered in a form that can be consistently interpreted over time. This approach is best utilised in Apprenticeship programs and reduces assessment intervention. It is the Industry’s preferred model for apprenticeships. However, where summative (or </w:t>
            </w:r>
            <w:r w:rsidRPr="00B87A32">
              <w:t>final) assessment is used it is to include the application of the competency in the normal work environment or, at a minimum, the application of the competency in a realistically simulated work environment. It is recognised that, in some circumstances, ass</w:t>
            </w:r>
            <w:r w:rsidRPr="00B87A32">
              <w:t>essment in part or full can occur outside the workplace. However, it must be in accord with Industry and, Regulatory policy in this regard.</w:t>
            </w:r>
          </w:p>
          <w:p w:rsidR="00000000" w:rsidRPr="00B87A32" w:rsidP="00B87A32">
            <w:pPr>
              <w:pStyle w:val="BodyText"/>
            </w:pPr>
            <w:r w:rsidRPr="00B87A32">
              <w:t>Methods chosen for a particular assessment will be influenced by various factors. These include the extent of the as</w:t>
            </w:r>
            <w:r w:rsidRPr="00B87A32">
              <w:t>sessment, the most effective locations for the assessment activities to take place, access to physical resources, additional safety measures that may be required and the critical nature of the competencies being assessed.</w:t>
            </w:r>
          </w:p>
          <w:p w:rsidR="00000000" w:rsidRPr="00B87A32" w:rsidP="00B87A32">
            <w:pPr>
              <w:pStyle w:val="BodyText"/>
            </w:pPr>
            <w:r w:rsidRPr="00B87A32">
              <w:t>The critical safety nature of work</w:t>
            </w:r>
            <w:r w:rsidRPr="00B87A32">
              <w:t>ing with electricity, electrical equipment, gas or any other hazardous substance/material carries risk in deeming a person competent. Hence, sources of evidence need to be ‘rich’ in nature so as to minimise error in judgment.</w:t>
            </w:r>
          </w:p>
          <w:p w:rsidR="00000000" w:rsidRPr="00B87A32" w:rsidP="00B87A32">
            <w:pPr>
              <w:pStyle w:val="BodyText"/>
            </w:pPr>
            <w:r w:rsidRPr="00B87A32">
              <w:t>Activities associated with nor</w:t>
            </w:r>
            <w:r w:rsidRPr="00B87A32">
              <w:t>mal every day work have a bearing on the decision as to how much and how detailed the data gathered will contribute to its ‘richness’. Some skills are more critical to safety and operational requirements while the same skills may be more or less frequently</w:t>
            </w:r>
            <w:r w:rsidRPr="00B87A32">
              <w:t xml:space="preserve"> practiced.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B87A32" w:rsidP="00B87A32">
      <w:pPr>
        <w:pStyle w:val="BodyText"/>
      </w:pPr>
    </w:p>
    <w:tbl>
      <w:tblPr>
        <w:tblW w:w="0" w:type="auto"/>
        <w:tblLayout w:type="fixed"/>
        <w:tblCellMar>
          <w:left w:w="62" w:type="dxa"/>
          <w:right w:w="62" w:type="dxa"/>
        </w:tblCellMar>
        <w:tblLook w:val="0000"/>
      </w:tblPr>
      <w:tblGrid>
        <w:gridCol w:w="1980"/>
        <w:gridCol w:w="630"/>
        <w:gridCol w:w="1260"/>
        <w:gridCol w:w="2160"/>
        <w:gridCol w:w="2430"/>
      </w:tblGrid>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Cr</w:t>
            </w:r>
            <w:r w:rsidRPr="00B87A32">
              <w:rPr>
                <w:rStyle w:val="SpecialBold"/>
              </w:rPr>
              <w:t>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9.2)</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Before the critical aspects of evidence are considered all prerequisites shall be met.</w:t>
            </w:r>
          </w:p>
          <w:p w:rsidR="00000000" w:rsidRPr="00B87A32" w:rsidP="00B87A32">
            <w:pPr>
              <w:pStyle w:val="BodyText"/>
            </w:pPr>
            <w:r w:rsidRPr="00B87A32">
              <w:t xml:space="preserve">Evidence for competence in this unit shall be considered holistically. Each element </w:t>
            </w:r>
            <w:r w:rsidRPr="00B87A32">
              <w:t>and associated Performance Criteria shall be demonstrated on at least two occasions in accordance with the “Assessment Guidelines – UET12”. Evidence shall also comprise:</w:t>
            </w:r>
          </w:p>
          <w:p w:rsidR="00000000" w:rsidRPr="00B87A32" w:rsidP="00B87A32">
            <w:pPr>
              <w:pStyle w:val="ListBullet"/>
            </w:pPr>
            <w:r w:rsidRPr="00B87A32">
              <w:t xml:space="preserve">A representative body of Performance Criteria demonstrated within the timeframes </w:t>
            </w:r>
            <w:r w:rsidRPr="00B87A32">
              <w:t>typically expected of the discipline, work function and industrial environment. In particular this shall incorporate evidence that shows a candidate is able to:</w:t>
            </w:r>
          </w:p>
          <w:p w:rsidR="00000000" w:rsidRPr="00B87A32" w:rsidP="00B87A32">
            <w:pPr>
              <w:pStyle w:val="ListBullet2"/>
            </w:pPr>
            <w:r w:rsidRPr="00B87A32">
              <w:t xml:space="preserve">Implement Occupational Health and Safety workplace procedures and practices including the use </w:t>
            </w:r>
            <w:r w:rsidRPr="00B87A32">
              <w:t>of risk control measures as specified in the Performance Criteria and range; and</w:t>
            </w:r>
          </w:p>
          <w:p w:rsidR="00000000" w:rsidRPr="00B87A32" w:rsidP="00B87A32">
            <w:pPr>
              <w:pStyle w:val="ListBullet2"/>
            </w:pPr>
            <w:r w:rsidRPr="00B87A32">
              <w:t>Apply sustainable energy principles and practices as specified in the Performance Criteria and range; and</w:t>
            </w:r>
          </w:p>
          <w:p w:rsidR="00000000" w:rsidRPr="00B87A32" w:rsidP="00B87A32">
            <w:pPr>
              <w:pStyle w:val="ListBullet2"/>
            </w:pPr>
            <w:r w:rsidRPr="00B87A32">
              <w:t>Demonstrate an understanding of the essential knowledge and associate</w:t>
            </w:r>
            <w:r w:rsidRPr="00B87A32">
              <w:t>d skills as described in this unit to such an extent that the learner’s performance outcome is reported in accordance with the preferred approach; namely a percentile graded result, where required by the regulated environment; and</w:t>
            </w:r>
          </w:p>
          <w:p w:rsidR="00000000" w:rsidRPr="00B87A32" w:rsidP="00B87A32">
            <w:pPr>
              <w:pStyle w:val="ListBullet2"/>
            </w:pPr>
            <w:r w:rsidRPr="00B87A32">
              <w:t>Demonstrate an appropriat</w:t>
            </w:r>
            <w:r w:rsidRPr="00B87A32">
              <w:t>e level of employability skills; and</w:t>
            </w:r>
          </w:p>
          <w:p w:rsidR="00000000" w:rsidRPr="00B87A32" w:rsidP="00B87A32">
            <w:pPr>
              <w:pStyle w:val="ListBullet"/>
            </w:pPr>
            <w:r w:rsidRPr="00B87A32">
              <w:t>Conduct work observing the relevant Anti discrimination legislation, regulations, policies and workplace procedures; and</w:t>
            </w:r>
          </w:p>
          <w:p w:rsidR="00000000" w:rsidP="00B87A32">
            <w:pPr>
              <w:pStyle w:val="ListBullet2"/>
              <w:rPr>
                <w:lang w:val="en-NZ"/>
              </w:rPr>
            </w:pPr>
            <w:r w:rsidRPr="00B87A32">
              <w:t>Demonstrated performance across a representative range of contexts from the prescribed items bel</w:t>
            </w:r>
            <w:r w:rsidRPr="00B87A32">
              <w:t>ow:</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B87A3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rPr>
                <w:rStyle w:val="SpecialBold"/>
              </w:rPr>
              <w:t>Range of tools/equipment/materials/procedures/workplaces/other variables</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B87A3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rPr>
                <w:rStyle w:val="SpecialBold"/>
              </w:rPr>
              <w:t>Item List</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Perform, on at least Three (3) occasion, testing/maintaining includes all of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t>ensuring meter function</w:t>
            </w:r>
          </w:p>
          <w:p w:rsidR="00000000" w:rsidRPr="00B87A32" w:rsidP="00B87A32">
            <w:pPr>
              <w:pStyle w:val="BodyText"/>
            </w:pPr>
            <w:r w:rsidRPr="00B87A32">
              <w:t>determining energy flows, voltage, current and phasor relationships</w:t>
            </w:r>
          </w:p>
          <w:p w:rsidR="00000000" w:rsidRPr="00B87A32" w:rsidP="00B87A32">
            <w:pPr>
              <w:pStyle w:val="BodyText"/>
            </w:pPr>
            <w:r w:rsidRPr="00B87A32">
              <w:t xml:space="preserve">Inspection/monitoring </w:t>
            </w:r>
          </w:p>
          <w:p w:rsidR="00000000" w:rsidRPr="00B87A32" w:rsidP="00B87A32">
            <w:pPr>
              <w:pStyle w:val="BodyText"/>
            </w:pPr>
            <w:r w:rsidRPr="00B87A32">
              <w:t>Gathering of information to ensure the a</w:t>
            </w:r>
            <w:r w:rsidRPr="00B87A32">
              <w:t>pplication of standards and specifications have been met</w:t>
            </w:r>
          </w:p>
          <w:p w:rsidR="00000000" w:rsidRPr="00B87A32" w:rsidP="00B87A32">
            <w:pPr>
              <w:pStyle w:val="BodyText"/>
            </w:pPr>
            <w:r w:rsidRPr="00B87A32">
              <w:t>Specific notification of faults with metering equipment affecting energy registration and revenue billing in accordance with established procedures</w:t>
            </w:r>
          </w:p>
          <w:p w:rsidR="00000000" w:rsidRPr="00B87A32" w:rsidP="00B87A32">
            <w:pPr>
              <w:pStyle w:val="BodyText"/>
            </w:pPr>
            <w:r w:rsidRPr="00B87A32">
              <w:t xml:space="preserve">Ensuring that the installation is operating within </w:t>
            </w:r>
            <w:r w:rsidRPr="00B87A32">
              <w:t xml:space="preserve">prescribed limits (enterprise, </w:t>
            </w:r>
            <w:r w:rsidRPr="00B87A32">
              <w:t>manufacturers, regulated energy market requirements)</w:t>
            </w:r>
          </w:p>
          <w:p w:rsidR="00000000" w:rsidP="00B87A32">
            <w:pPr>
              <w:pStyle w:val="BodyText"/>
              <w:rPr>
                <w:lang w:val="en-NZ"/>
              </w:rPr>
            </w:pPr>
            <w:r w:rsidRPr="00B87A32">
              <w:t>Making recommendations, adjustments, replacement and repair.</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Perform, on at least three (3)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t xml:space="preserve">Isolation, at local fuses and links </w:t>
            </w:r>
          </w:p>
          <w:p w:rsidR="00000000" w:rsidP="00B87A32">
            <w:pPr>
              <w:pStyle w:val="BodyText"/>
              <w:rPr>
                <w:lang w:val="en-NZ"/>
              </w:rPr>
            </w:pPr>
            <w:r w:rsidRPr="00B87A32">
              <w:t>Det</w:t>
            </w:r>
            <w:r w:rsidRPr="00B87A32">
              <w:t>ermining against standards if additional isolation is required.</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Demonstrate, on at least three (3) occasions, the functionality of the metering scheme in accordance with:</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t>Electrical installation (state and national) standards</w:t>
            </w:r>
          </w:p>
          <w:p w:rsidR="00000000" w:rsidRPr="00B87A32" w:rsidP="00B87A32">
            <w:pPr>
              <w:pStyle w:val="BodyText"/>
            </w:pPr>
            <w:r w:rsidRPr="00B87A32">
              <w:t>Metrology procedures</w:t>
            </w:r>
          </w:p>
          <w:p w:rsidR="00000000" w:rsidP="00B87A32">
            <w:pPr>
              <w:pStyle w:val="BodyText"/>
              <w:rPr>
                <w:lang w:val="en-NZ"/>
              </w:rPr>
            </w:pPr>
            <w:r w:rsidRPr="00B87A32">
              <w:t>Compliance to tariff requirements</w:t>
            </w:r>
          </w:p>
        </w:tc>
      </w:tr>
      <w:tr w:rsidTr="007D1FA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32">
            <w:pPr>
              <w:pStyle w:val="BodyText"/>
              <w:rPr>
                <w:lang w:val="en-NZ"/>
              </w:rPr>
            </w:pPr>
            <w:r w:rsidRPr="00B87A32">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32" w:rsidP="00B87A32">
            <w:pPr>
              <w:pStyle w:val="BodyText"/>
            </w:pPr>
            <w:r w:rsidRPr="00B87A32">
              <w:t>Dealing with an unplanned event by drawing on essential knowledge and associated skills to provide appropriate solutions incorporated in the holistic assessmen</w:t>
            </w:r>
            <w:r w:rsidRPr="00B87A32">
              <w:t>t with the above listed items</w:t>
            </w:r>
          </w:p>
        </w:tc>
      </w:tr>
    </w:tbl>
    <w:p w:rsidR="00000000" w:rsidRPr="00B87A32" w:rsidP="00B87A32">
      <w:pPr>
        <w:pStyle w:val="BodyText"/>
      </w:pPr>
    </w:p>
    <w:tbl>
      <w:tblPr>
        <w:tblW w:w="0" w:type="auto"/>
        <w:tblLayout w:type="fixed"/>
        <w:tblCellMar>
          <w:left w:w="62" w:type="dxa"/>
          <w:right w:w="62" w:type="dxa"/>
        </w:tblCellMar>
        <w:tblLook w:val="0000"/>
      </w:tblPr>
      <w:tblGrid>
        <w:gridCol w:w="1890"/>
        <w:gridCol w:w="6570"/>
      </w:tblGrid>
      <w:tr w:rsidTr="007D1F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9.3)</w:t>
            </w:r>
          </w:p>
        </w:tc>
      </w:tr>
      <w:tr w:rsidTr="007D1F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This unit should be assessed as it relates to normal work practice using procedures, information and resources typical of a workplace. This should include:</w:t>
            </w:r>
          </w:p>
          <w:p w:rsidR="00000000" w:rsidRPr="00B87A32" w:rsidP="00B87A32">
            <w:pPr>
              <w:pStyle w:val="ListBullet"/>
            </w:pPr>
            <w:r w:rsidRPr="00B87A32">
              <w:t>OHS policy and work procedures and instructions.</w:t>
            </w:r>
          </w:p>
          <w:p w:rsidR="00000000" w:rsidRPr="00B87A32" w:rsidP="00B87A32">
            <w:pPr>
              <w:pStyle w:val="ListBullet"/>
            </w:pPr>
            <w:r w:rsidRPr="00B87A32">
              <w:t>Suitable work environment, facilities, equipment and materials to undertake actual testing and maintenance of energy/revenue metering schemes.</w:t>
            </w:r>
          </w:p>
          <w:p w:rsidR="00000000" w:rsidRPr="00B87A32" w:rsidP="00B87A32">
            <w:pPr>
              <w:pStyle w:val="ListBullet"/>
            </w:pPr>
            <w:r w:rsidRPr="00B87A32">
              <w:t>Operational access to relevant plant, drawings, manufacture’s sp</w:t>
            </w:r>
            <w:r w:rsidRPr="00B87A32">
              <w:t>ecifications/manuals and specialised testing equipment.</w:t>
            </w:r>
          </w:p>
          <w:p w:rsidR="00000000" w:rsidRPr="00B87A32" w:rsidP="00B87A32">
            <w:pPr>
              <w:pStyle w:val="BodyText"/>
            </w:pPr>
            <w:r w:rsidRPr="00B87A32">
              <w:t>In addition to the resources listed above, in Context of and specific resources for assessment, evidence should show demonstrated competency working in realistic environment and a variety of condition</w:t>
            </w:r>
            <w:r w:rsidRPr="00B87A32">
              <w:t>s.</w:t>
            </w:r>
          </w:p>
        </w:tc>
      </w:tr>
    </w:tbl>
    <w:p w:rsidR="00000000" w:rsidRPr="00B87A32" w:rsidP="00B87A32">
      <w:pPr>
        <w:pStyle w:val="BodyText"/>
      </w:pPr>
    </w:p>
    <w:tbl>
      <w:tblPr>
        <w:tblW w:w="0" w:type="auto"/>
        <w:tblLayout w:type="fixed"/>
        <w:tblCellMar>
          <w:left w:w="62" w:type="dxa"/>
          <w:right w:w="62" w:type="dxa"/>
        </w:tblCellMar>
        <w:tblLook w:val="0000"/>
      </w:tblPr>
      <w:tblGrid>
        <w:gridCol w:w="1890"/>
        <w:gridCol w:w="6570"/>
      </w:tblGrid>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9.4)</w:t>
            </w:r>
          </w:p>
        </w:tc>
      </w:tr>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This Competency Standard Unit shall be assessed by methods given in Volume 1, Part 3 “Assessment Guidelines”.</w:t>
            </w:r>
          </w:p>
          <w:p w:rsidR="00000000" w:rsidRPr="00B87A32" w:rsidP="00B87A32">
            <w:pPr>
              <w:pStyle w:val="BodyText"/>
            </w:pPr>
            <w:r w:rsidRPr="00B87A32">
              <w:t xml:space="preserve">Note: </w:t>
            </w:r>
          </w:p>
          <w:p w:rsidR="00000000" w:rsidRPr="00B87A32" w:rsidP="00B87A32">
            <w:pPr>
              <w:pStyle w:val="BodyText"/>
            </w:pPr>
            <w:r w:rsidRPr="00B87A32">
              <w:t>Competent performance with inherent safe working practices is expected in the Transmission, Distri</w:t>
            </w:r>
            <w:r w:rsidRPr="00B87A32">
              <w:t>bution and Rail Traction Industry. This requires that the specified essential knowledge and associated skills are assessed in a structured environment which is primarily intended for learning/assessment and incorporates all necessary equipment and faciliti</w:t>
            </w:r>
            <w:r w:rsidRPr="00B87A32">
              <w:t>es for learners to develop and demonstrate the essential knowledge and associated skills described in this unit.</w:t>
            </w:r>
          </w:p>
        </w:tc>
      </w:tr>
    </w:tbl>
    <w:p w:rsidR="00000000" w:rsidRPr="00B87A32" w:rsidP="00B87A32">
      <w:pPr>
        <w:pStyle w:val="BodyText"/>
      </w:pPr>
    </w:p>
    <w:tbl>
      <w:tblPr>
        <w:tblW w:w="0" w:type="auto"/>
        <w:tblLayout w:type="fixed"/>
        <w:tblCellMar>
          <w:left w:w="62" w:type="dxa"/>
          <w:right w:w="62" w:type="dxa"/>
        </w:tblCellMar>
        <w:tblLook w:val="0000"/>
      </w:tblPr>
      <w:tblGrid>
        <w:gridCol w:w="1890"/>
        <w:gridCol w:w="6570"/>
      </w:tblGrid>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9.5)</w:t>
            </w:r>
          </w:p>
        </w:tc>
      </w:tr>
      <w:tr w:rsidTr="007D1F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There are no concurrent assessment recommendations for this unit.</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11" w:name="O_464795"/>
      <w:bookmarkEnd w:id="11"/>
      <w:r w:rsidRPr="00B87A32">
        <w:t>Range Statement</w:t>
      </w:r>
    </w:p>
    <w:tbl>
      <w:tblPr>
        <w:tblW w:w="0" w:type="auto"/>
        <w:tblLayout w:type="fixed"/>
        <w:tblCellMar>
          <w:left w:w="62" w:type="dxa"/>
          <w:right w:w="62" w:type="dxa"/>
        </w:tblCellMar>
        <w:tblLook w:val="0000"/>
      </w:tblPr>
      <w:tblGrid>
        <w:gridCol w:w="8460"/>
      </w:tblGrid>
      <w:tr w:rsidTr="007D1F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RANGE STATEMENT</w:t>
            </w:r>
          </w:p>
        </w:tc>
      </w:tr>
      <w:tr w:rsidTr="007D1F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10)</w:t>
            </w:r>
            <w:r w:rsidRPr="00B87A32">
              <w:t xml:space="preserve"> This relates to the unit of competency as a whole providing the range of contexts and conditions </w:t>
            </w:r>
            <w:r w:rsidRPr="00B87A32">
              <w:t>to which the Performance Criteria apply. It allows for different work environments and situations that will affect performance.</w:t>
            </w:r>
          </w:p>
          <w:p w:rsidR="00000000" w:rsidRPr="00B87A32" w:rsidP="00B87A32">
            <w:pPr>
              <w:pStyle w:val="BodyText"/>
            </w:pPr>
            <w:r w:rsidRPr="00B87A32">
              <w:t>This Competency Standard Unit shall be demonstrated in relation to the testing and maintenance of energy/revenue metering scheme</w:t>
            </w:r>
            <w:r w:rsidRPr="00B87A32">
              <w:t>s and may include the following:</w:t>
            </w:r>
          </w:p>
          <w:p w:rsidR="00000000" w:rsidRPr="00B87A32" w:rsidP="00B87A32">
            <w:pPr>
              <w:pStyle w:val="BodyText"/>
            </w:pPr>
            <w:r w:rsidRPr="00B87A32">
              <w:t>Isolation, at local fuses and links and determining against standards if additional isolation is required.</w:t>
            </w:r>
          </w:p>
          <w:p w:rsidR="00000000" w:rsidRPr="00B87A32" w:rsidP="00B87A32">
            <w:pPr>
              <w:pStyle w:val="BodyText"/>
            </w:pPr>
            <w:r w:rsidRPr="00B87A32">
              <w:t>Testing/maintaining includes:</w:t>
            </w:r>
          </w:p>
          <w:p w:rsidR="00000000" w:rsidRPr="00B87A32" w:rsidP="00B87A32">
            <w:pPr>
              <w:pStyle w:val="ListBullet"/>
            </w:pPr>
            <w:r w:rsidRPr="00B87A32">
              <w:t>ensuring meter function</w:t>
            </w:r>
          </w:p>
          <w:p w:rsidR="00000000" w:rsidRPr="00B87A32" w:rsidP="00B87A32">
            <w:pPr>
              <w:pStyle w:val="ListBullet"/>
            </w:pPr>
            <w:r w:rsidRPr="00B87A32">
              <w:t>determining energy flows, voltage, current and phasor relatio</w:t>
            </w:r>
            <w:r w:rsidRPr="00B87A32">
              <w:t>nships</w:t>
            </w:r>
          </w:p>
          <w:p w:rsidR="00000000" w:rsidRPr="00B87A32" w:rsidP="00B87A32">
            <w:pPr>
              <w:pStyle w:val="ListBullet"/>
            </w:pPr>
            <w:r w:rsidRPr="00B87A32">
              <w:t xml:space="preserve">Inspection/monitoring </w:t>
            </w:r>
          </w:p>
          <w:p w:rsidR="00000000" w:rsidRPr="00B87A32" w:rsidP="00B87A32">
            <w:pPr>
              <w:pStyle w:val="ListBullet"/>
            </w:pPr>
            <w:r w:rsidRPr="00B87A32">
              <w:t>Gathering of information to ensure the application of standards and specifications have been met</w:t>
            </w:r>
          </w:p>
          <w:p w:rsidR="00000000" w:rsidRPr="00B87A32" w:rsidP="00B87A32">
            <w:pPr>
              <w:pStyle w:val="ListBullet"/>
            </w:pPr>
            <w:r w:rsidRPr="00B87A32">
              <w:t>Specific notification of faults with metering equipment affecting energy registration and revenue billing in accordance with esta</w:t>
            </w:r>
            <w:r w:rsidRPr="00B87A32">
              <w:t>blished procedures</w:t>
            </w:r>
          </w:p>
          <w:p w:rsidR="00000000" w:rsidRPr="00B87A32" w:rsidP="00B87A32">
            <w:pPr>
              <w:pStyle w:val="ListBullet"/>
            </w:pPr>
            <w:r w:rsidRPr="00B87A32">
              <w:t>Ensuring that the installation is operating within prescribed limits (enterprise, manufacturers, regulated energy market requirements)</w:t>
            </w:r>
          </w:p>
          <w:p w:rsidR="00000000" w:rsidRPr="00B87A32" w:rsidP="00B87A32">
            <w:pPr>
              <w:pStyle w:val="ListBullet"/>
            </w:pPr>
            <w:r w:rsidRPr="00B87A32">
              <w:t>Making recommendations, adjustments, replacement and repair.</w:t>
            </w:r>
          </w:p>
          <w:p w:rsidR="00000000" w:rsidRPr="00B87A32" w:rsidP="00B87A32">
            <w:pPr>
              <w:pStyle w:val="BodyText"/>
            </w:pPr>
            <w:r w:rsidRPr="00B87A32">
              <w:t>It includes the requirements to prove the</w:t>
            </w:r>
            <w:r w:rsidRPr="00B87A32">
              <w:t xml:space="preserve"> functionality of the metering scheme in accordance with electrical installation (state and national) standards, metrology procedures and compliance to tariff requirements.</w:t>
            </w:r>
          </w:p>
          <w:p w:rsidR="00000000" w:rsidRPr="00B87A32" w:rsidP="00B87A32">
            <w:pPr>
              <w:pStyle w:val="BodyText"/>
            </w:pPr>
            <w:r w:rsidRPr="00B87A32">
              <w:t xml:space="preserve">The following constants and variables included in the element/Performance Criteria </w:t>
            </w:r>
            <w:r w:rsidRPr="00B87A32">
              <w:t>in this unit are fully described in the Definitions Section 1 of this volume and form an integral part of the Range Statement of this unit:</w:t>
            </w:r>
          </w:p>
          <w:p w:rsidR="00000000" w:rsidRPr="00B87A32" w:rsidP="00B87A32">
            <w:pPr>
              <w:pStyle w:val="ListBullet3"/>
            </w:pPr>
            <w:r w:rsidRPr="00B87A32">
              <w:t>Appropriate and relevant persons (see Personnel)</w:t>
            </w:r>
          </w:p>
          <w:p w:rsidR="00000000" w:rsidRPr="00B87A32" w:rsidP="00B87A32">
            <w:pPr>
              <w:pStyle w:val="ListBullet3"/>
            </w:pPr>
            <w:r w:rsidRPr="00B87A32">
              <w:t>Appropriate authorities</w:t>
            </w:r>
          </w:p>
          <w:p w:rsidR="00000000" w:rsidRPr="00B87A32" w:rsidP="00B87A32">
            <w:pPr>
              <w:pStyle w:val="ListBullet3"/>
            </w:pPr>
            <w:r w:rsidRPr="00B87A32">
              <w:t>Appropriate work platform</w:t>
            </w:r>
          </w:p>
          <w:p w:rsidR="00000000" w:rsidRPr="00B87A32" w:rsidP="00B87A32">
            <w:pPr>
              <w:pStyle w:val="ListBullet3"/>
            </w:pPr>
            <w:r w:rsidRPr="00B87A32">
              <w:t>Assessing risk</w:t>
            </w:r>
          </w:p>
          <w:p w:rsidR="00000000" w:rsidRPr="00B87A32" w:rsidP="00B87A32">
            <w:pPr>
              <w:pStyle w:val="ListBullet3"/>
            </w:pPr>
            <w:r w:rsidRPr="00B87A32">
              <w:t>Assessment</w:t>
            </w:r>
          </w:p>
          <w:p w:rsidR="00000000" w:rsidRPr="00B87A32" w:rsidP="00B87A32">
            <w:pPr>
              <w:pStyle w:val="ListBullet3"/>
            </w:pPr>
            <w:r w:rsidRPr="00B87A32">
              <w:t>Authorisation</w:t>
            </w:r>
          </w:p>
          <w:p w:rsidR="00000000" w:rsidRPr="00B87A32" w:rsidP="00B87A32">
            <w:pPr>
              <w:pStyle w:val="ListBullet3"/>
            </w:pPr>
            <w:r w:rsidRPr="00B87A32">
              <w:t>Confined space</w:t>
            </w:r>
          </w:p>
          <w:p w:rsidR="00000000" w:rsidRPr="00B87A32" w:rsidP="00B87A32">
            <w:pPr>
              <w:pStyle w:val="ListBullet3"/>
            </w:pPr>
            <w:r w:rsidRPr="00B87A32">
              <w:t>Diagnostic, testing and restoration</w:t>
            </w:r>
          </w:p>
          <w:p w:rsidR="00000000" w:rsidRPr="00B87A32" w:rsidP="00B87A32">
            <w:pPr>
              <w:pStyle w:val="ListBullet3"/>
            </w:pPr>
            <w:r w:rsidRPr="00B87A32">
              <w:t>Documenting detail work events, record keeping and or storage of information</w:t>
            </w:r>
          </w:p>
          <w:p w:rsidR="00000000" w:rsidRPr="00B87A32" w:rsidP="00B87A32">
            <w:pPr>
              <w:pStyle w:val="ListBullet3"/>
            </w:pPr>
            <w:r w:rsidRPr="00B87A32">
              <w:t>Drawings and specifications</w:t>
            </w:r>
          </w:p>
          <w:p w:rsidR="00000000" w:rsidRPr="00B87A32" w:rsidP="00B87A32">
            <w:pPr>
              <w:pStyle w:val="ListBullet3"/>
            </w:pPr>
            <w:r w:rsidRPr="00B87A32">
              <w:t>Emergency</w:t>
            </w:r>
          </w:p>
          <w:p w:rsidR="00000000" w:rsidRPr="00B87A32" w:rsidP="00B87A32">
            <w:pPr>
              <w:pStyle w:val="ListBullet3"/>
            </w:pPr>
            <w:r w:rsidRPr="00B87A32">
              <w:t>Environmental and sustainable energy procedures</w:t>
            </w:r>
          </w:p>
          <w:p w:rsidR="00000000" w:rsidRPr="00B87A32" w:rsidP="00B87A32">
            <w:pPr>
              <w:pStyle w:val="ListBullet3"/>
            </w:pPr>
            <w:r w:rsidRPr="00B87A32">
              <w:t>Environmental leg</w:t>
            </w:r>
            <w:r w:rsidRPr="00B87A32">
              <w:t>islation</w:t>
            </w:r>
          </w:p>
          <w:p w:rsidR="00000000" w:rsidRPr="00B87A32" w:rsidP="00B87A32">
            <w:pPr>
              <w:pStyle w:val="ListBullet3"/>
            </w:pPr>
            <w:r w:rsidRPr="00B87A32">
              <w:t>Environmental management documentation</w:t>
            </w:r>
          </w:p>
          <w:p w:rsidR="00000000" w:rsidRPr="00B87A32" w:rsidP="00B87A32">
            <w:pPr>
              <w:pStyle w:val="ListBullet3"/>
            </w:pPr>
            <w:r w:rsidRPr="00B87A32">
              <w:t>Established procedures</w:t>
            </w:r>
          </w:p>
          <w:p w:rsidR="00000000" w:rsidRPr="00B87A32" w:rsidP="00B87A32">
            <w:pPr>
              <w:pStyle w:val="ListBullet3"/>
            </w:pPr>
            <w:r w:rsidRPr="00B87A32">
              <w:t>Fall prevention</w:t>
            </w:r>
          </w:p>
          <w:p w:rsidR="00000000" w:rsidRPr="00B87A32" w:rsidP="00B87A32">
            <w:pPr>
              <w:pStyle w:val="ListBullet3"/>
            </w:pPr>
            <w:r w:rsidRPr="00B87A32">
              <w:t>Hazards</w:t>
            </w:r>
          </w:p>
          <w:p w:rsidR="00000000" w:rsidRPr="00B87A32" w:rsidP="00B87A32">
            <w:pPr>
              <w:pStyle w:val="ListBullet3"/>
            </w:pPr>
            <w:r w:rsidRPr="00B87A32">
              <w:t>Identifying hazards</w:t>
            </w:r>
          </w:p>
          <w:p w:rsidR="00000000" w:rsidRPr="00B87A32" w:rsidP="00B87A32">
            <w:pPr>
              <w:pStyle w:val="ListBullet3"/>
            </w:pPr>
            <w:r w:rsidRPr="00B87A32">
              <w:t>Inspect</w:t>
            </w:r>
          </w:p>
          <w:p w:rsidR="00000000" w:rsidRPr="00B87A32" w:rsidP="00B87A32">
            <w:pPr>
              <w:pStyle w:val="ListBullet3"/>
            </w:pPr>
            <w:r w:rsidRPr="00B87A32">
              <w:t>Legislation</w:t>
            </w:r>
          </w:p>
          <w:p w:rsidR="00000000" w:rsidRPr="00B87A32" w:rsidP="00B87A32">
            <w:pPr>
              <w:pStyle w:val="ListBullet3"/>
            </w:pPr>
            <w:r w:rsidRPr="00B87A32">
              <w:t>MSDS</w:t>
            </w:r>
          </w:p>
          <w:p w:rsidR="00000000" w:rsidRPr="00B87A32" w:rsidP="00B87A32">
            <w:pPr>
              <w:pStyle w:val="ListBullet3"/>
            </w:pPr>
            <w:r w:rsidRPr="00B87A32">
              <w:t>Notification</w:t>
            </w:r>
          </w:p>
          <w:p w:rsidR="00000000" w:rsidRPr="00B87A32" w:rsidP="00B87A32">
            <w:pPr>
              <w:pStyle w:val="ListBullet3"/>
            </w:pPr>
            <w:r w:rsidRPr="00B87A32">
              <w:t>OHS practices</w:t>
            </w:r>
          </w:p>
          <w:p w:rsidR="00000000" w:rsidRPr="00B87A32" w:rsidP="00B87A32">
            <w:pPr>
              <w:pStyle w:val="ListBullet3"/>
            </w:pPr>
            <w:r w:rsidRPr="00B87A32">
              <w:t>OHS issues</w:t>
            </w:r>
          </w:p>
          <w:p w:rsidR="00000000" w:rsidRPr="00B87A32" w:rsidP="00B87A32">
            <w:pPr>
              <w:pStyle w:val="ListBullet3"/>
            </w:pPr>
            <w:r w:rsidRPr="00B87A32">
              <w:t>Permits and/or permits to work</w:t>
            </w:r>
          </w:p>
          <w:p w:rsidR="00000000" w:rsidRPr="00B87A32" w:rsidP="00B87A32">
            <w:pPr>
              <w:pStyle w:val="ListBullet3"/>
            </w:pPr>
            <w:r w:rsidRPr="00B87A32">
              <w:t>Personnel</w:t>
            </w:r>
          </w:p>
          <w:p w:rsidR="00000000" w:rsidRPr="00B87A32" w:rsidP="00B87A32">
            <w:pPr>
              <w:pStyle w:val="ListBullet3"/>
            </w:pPr>
            <w:r w:rsidRPr="00B87A32">
              <w:t>Quality assurance systems</w:t>
            </w:r>
          </w:p>
          <w:p w:rsidR="00000000" w:rsidRPr="00B87A32" w:rsidP="00B87A32">
            <w:pPr>
              <w:pStyle w:val="ListBullet3"/>
            </w:pPr>
            <w:r w:rsidRPr="00B87A32">
              <w:t>Requirements</w:t>
            </w:r>
          </w:p>
          <w:p w:rsidR="00000000" w:rsidRPr="00B87A32" w:rsidP="00B87A32">
            <w:pPr>
              <w:pStyle w:val="ListBullet3"/>
            </w:pPr>
            <w:r w:rsidRPr="00B87A32">
              <w:t>Testing procedures</w:t>
            </w:r>
          </w:p>
          <w:p w:rsidR="00000000" w:rsidRPr="00B87A32" w:rsidP="00B87A32">
            <w:pPr>
              <w:pStyle w:val="ListBullet3"/>
            </w:pPr>
            <w:r w:rsidRPr="00B87A32">
              <w:t>Work clearance systems</w:t>
            </w:r>
          </w:p>
        </w:tc>
      </w:tr>
    </w:tbl>
    <w:p w:rsidR="00000000" w:rsidRPr="00B87A32" w:rsidP="00B87A32">
      <w:pPr>
        <w:pStyle w:val="BodyText"/>
      </w:pPr>
    </w:p>
    <w:p w:rsidR="00000000" w:rsidRPr="00B87A32" w:rsidP="00B87A32">
      <w:pPr>
        <w:pStyle w:val="AllowPageBreak"/>
      </w:pPr>
    </w:p>
    <w:p w:rsidR="00000000" w:rsidRPr="00B87A32" w:rsidP="00B87A32">
      <w:pPr>
        <w:pStyle w:val="Heading1"/>
      </w:pPr>
      <w:bookmarkStart w:id="12" w:name="O_464798"/>
      <w:bookmarkEnd w:id="12"/>
      <w:r w:rsidRPr="00B87A32">
        <w:t>Unit Sector(s)</w:t>
      </w:r>
    </w:p>
    <w:p w:rsidR="00000000" w:rsidRPr="00B87A32" w:rsidP="00B87A32">
      <w:pPr>
        <w:pStyle w:val="BodyText"/>
      </w:pPr>
      <w:r w:rsidRPr="00B87A32">
        <w:t>Not applicable.</w:t>
      </w:r>
    </w:p>
    <w:p w:rsidR="00000000" w:rsidRPr="00B87A32" w:rsidP="00B87A32">
      <w:pPr>
        <w:pStyle w:val="AllowPageBreak"/>
      </w:pPr>
    </w:p>
    <w:p w:rsidR="00000000" w:rsidRPr="00B87A32" w:rsidP="00B87A32">
      <w:pPr>
        <w:pStyle w:val="Heading1"/>
      </w:pPr>
      <w:bookmarkStart w:id="13" w:name="O_464787"/>
      <w:bookmarkEnd w:id="13"/>
      <w:r w:rsidRPr="00B87A32">
        <w:t>Competency Field</w:t>
      </w:r>
    </w:p>
    <w:tbl>
      <w:tblPr>
        <w:tblW w:w="0" w:type="auto"/>
        <w:tblLayout w:type="fixed"/>
        <w:tblCellMar>
          <w:left w:w="62" w:type="dxa"/>
          <w:right w:w="62" w:type="dxa"/>
        </w:tblCellMar>
        <w:tblLook w:val="0000"/>
      </w:tblPr>
      <w:tblGrid>
        <w:gridCol w:w="2700"/>
        <w:gridCol w:w="5760"/>
      </w:tblGrid>
      <w:tr w:rsidTr="007D1F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7A32">
            <w:pPr>
              <w:pStyle w:val="BodyText"/>
              <w:rPr>
                <w:lang w:val="en-NZ"/>
              </w:rPr>
            </w:pPr>
            <w:r w:rsidRPr="00B87A32">
              <w:rPr>
                <w:rStyle w:val="SpecialBold"/>
              </w:rPr>
              <w:t xml:space="preserve">11) </w:t>
            </w:r>
          </w:p>
        </w:tc>
      </w:tr>
      <w:tr w:rsidTr="007D1F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A32" w:rsidP="00B87A32">
            <w:pPr>
              <w:pStyle w:val="BodyText"/>
            </w:pPr>
            <w:r w:rsidRPr="00B87A32">
              <w:t>Testing Units</w:t>
            </w:r>
          </w:p>
        </w:tc>
      </w:tr>
    </w:tbl>
    <w:p w:rsidR="00000000" w:rsidRPr="00B87A32" w:rsidP="00B87A32">
      <w:pPr>
        <w:pStyle w:val="BodyText"/>
      </w:pPr>
    </w:p>
    <w:p w:rsidR="00000000" w:rsidRPr="00B87A32" w:rsidP="00B87A32"/>
    <w:sectPr w:rsidSect="00B87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rsidRPr="007D1FA9" w:rsidP="007D1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A9" w:rsidP="00B87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D1FA9" w:rsidP="00B87A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D1FA9" w:rsidP="00B87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rsidRPr="007D1FA9" w:rsidP="007D1F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A9" w:rsidRPr="002D2AF8" w:rsidP="00B87A32">
    <w:pPr>
      <w:pStyle w:val="Header"/>
      <w:framePr w:wrap="around"/>
    </w:pPr>
    <w:r>
      <w:fldChar w:fldCharType="begin"/>
    </w:r>
    <w:r>
      <w:instrText xml:space="preserve"> TITLE   \* MERGEFORMAT </w:instrText>
    </w:r>
    <w:r>
      <w:fldChar w:fldCharType="separate"/>
    </w:r>
    <w:r>
      <w:t>UETTDRTS40A Test and maintain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D1FA9" w:rsidP="00B87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A8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CD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EB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A32"/>
    <w:pPr>
      <w:spacing w:before="360" w:after="60"/>
      <w:outlineLvl w:val="0"/>
    </w:pPr>
    <w:rPr>
      <w:sz w:val="32"/>
    </w:rPr>
  </w:style>
  <w:style w:type="paragraph" w:styleId="Heading2">
    <w:name w:val="heading 2"/>
    <w:basedOn w:val="HeadingBase"/>
    <w:next w:val="BodyText"/>
    <w:link w:val="Heading2Char"/>
    <w:qFormat/>
    <w:rsid w:val="00B87A32"/>
    <w:pPr>
      <w:keepLines/>
      <w:spacing w:before="240" w:after="120"/>
      <w:outlineLvl w:val="1"/>
    </w:pPr>
    <w:rPr>
      <w:sz w:val="28"/>
      <w:szCs w:val="40"/>
    </w:rPr>
  </w:style>
  <w:style w:type="paragraph" w:styleId="Heading3">
    <w:name w:val="heading 3"/>
    <w:basedOn w:val="HeadingBase"/>
    <w:next w:val="BodyText"/>
    <w:link w:val="Heading3Char"/>
    <w:qFormat/>
    <w:rsid w:val="00B87A32"/>
    <w:pPr>
      <w:spacing w:before="180" w:after="120"/>
      <w:outlineLvl w:val="2"/>
    </w:pPr>
    <w:rPr>
      <w:spacing w:val="-10"/>
      <w:kern w:val="32"/>
    </w:rPr>
  </w:style>
  <w:style w:type="paragraph" w:styleId="Heading4">
    <w:name w:val="heading 4"/>
    <w:basedOn w:val="HeadingBase"/>
    <w:next w:val="BodyText"/>
    <w:link w:val="Heading4Char"/>
    <w:qFormat/>
    <w:rsid w:val="00B87A32"/>
    <w:pPr>
      <w:spacing w:before="160" w:after="120"/>
      <w:outlineLvl w:val="3"/>
    </w:pPr>
    <w:rPr>
      <w:sz w:val="22"/>
    </w:rPr>
  </w:style>
  <w:style w:type="paragraph" w:styleId="Heading5">
    <w:name w:val="heading 5"/>
    <w:basedOn w:val="HeadingBase"/>
    <w:next w:val="Normal"/>
    <w:link w:val="Heading5Char"/>
    <w:qFormat/>
    <w:rsid w:val="00B87A32"/>
    <w:pPr>
      <w:spacing w:before="80"/>
      <w:outlineLvl w:val="4"/>
    </w:pPr>
    <w:rPr>
      <w:color w:val="918585"/>
      <w:sz w:val="20"/>
    </w:rPr>
  </w:style>
  <w:style w:type="paragraph" w:styleId="Heading6">
    <w:name w:val="heading 6"/>
    <w:basedOn w:val="HeadingBase"/>
    <w:next w:val="Normal"/>
    <w:link w:val="Heading6Char"/>
    <w:qFormat/>
    <w:rsid w:val="00B87A32"/>
    <w:pPr>
      <w:spacing w:before="60"/>
      <w:outlineLvl w:val="5"/>
    </w:pPr>
    <w:rPr>
      <w:color w:val="918585"/>
      <w:sz w:val="20"/>
    </w:rPr>
  </w:style>
  <w:style w:type="paragraph" w:styleId="Heading7">
    <w:name w:val="heading 7"/>
    <w:basedOn w:val="Normal"/>
    <w:next w:val="Normal"/>
    <w:link w:val="Heading7Char"/>
    <w:qFormat/>
    <w:rsid w:val="00B87A32"/>
    <w:pPr>
      <w:ind w:left="720"/>
      <w:outlineLvl w:val="6"/>
    </w:pPr>
    <w:rPr>
      <w:i/>
    </w:rPr>
  </w:style>
  <w:style w:type="paragraph" w:styleId="Heading8">
    <w:name w:val="heading 8"/>
    <w:basedOn w:val="Normal"/>
    <w:next w:val="Normal"/>
    <w:link w:val="Heading8Char"/>
    <w:qFormat/>
    <w:rsid w:val="00B87A32"/>
    <w:pPr>
      <w:ind w:left="720"/>
      <w:outlineLvl w:val="7"/>
    </w:pPr>
    <w:rPr>
      <w:i/>
    </w:rPr>
  </w:style>
  <w:style w:type="paragraph" w:styleId="Heading9">
    <w:name w:val="heading 9"/>
    <w:basedOn w:val="Normal"/>
    <w:next w:val="Normal"/>
    <w:link w:val="Heading9Char"/>
    <w:qFormat/>
    <w:rsid w:val="00B87A32"/>
    <w:pPr>
      <w:ind w:left="720"/>
      <w:outlineLvl w:val="8"/>
    </w:pPr>
    <w:rPr>
      <w:i/>
    </w:rPr>
  </w:style>
  <w:style w:type="character" w:default="1" w:styleId="DefaultParagraphFont">
    <w:name w:val="Default Paragraph Font"/>
    <w:uiPriority w:val="1"/>
    <w:unhideWhenUsed/>
    <w:rsid w:val="00B87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32"/>
  </w:style>
  <w:style w:type="character" w:customStyle="1" w:styleId="Heading1Char">
    <w:name w:val="Heading 1 Char"/>
    <w:basedOn w:val="DefaultParagraphFont"/>
    <w:link w:val="Heading1"/>
    <w:rsid w:val="00B87A32"/>
    <w:rPr>
      <w:rFonts w:ascii="Times New Roman" w:eastAsia="Times New Roman" w:hAnsi="Times New Roman" w:cs="Times New Roman"/>
      <w:b/>
      <w:sz w:val="32"/>
      <w:szCs w:val="20"/>
      <w:lang w:eastAsia="en-US"/>
    </w:rPr>
  </w:style>
  <w:style w:type="paragraph" w:styleId="BodyText">
    <w:name w:val="Body Text"/>
    <w:basedOn w:val="Normal"/>
    <w:link w:val="BodyTextChar"/>
    <w:rsid w:val="00B87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A32"/>
    <w:rPr>
      <w:rFonts w:ascii="Times New Roman" w:eastAsia="Times New Roman" w:hAnsi="Times New Roman" w:cs="Times New Roman"/>
      <w:sz w:val="24"/>
      <w:lang w:eastAsia="en-US"/>
    </w:rPr>
  </w:style>
  <w:style w:type="paragraph" w:styleId="ListBullet">
    <w:name w:val="List Bullet"/>
    <w:basedOn w:val="List"/>
    <w:rsid w:val="00B87A32"/>
    <w:pPr>
      <w:numPr>
        <w:numId w:val="14"/>
      </w:numPr>
      <w:tabs>
        <w:tab w:val="clear" w:pos="340"/>
      </w:tabs>
      <w:spacing w:before="40" w:after="40"/>
    </w:pPr>
  </w:style>
  <w:style w:type="character" w:customStyle="1" w:styleId="SpecialBold">
    <w:name w:val="Special Bold"/>
    <w:basedOn w:val="DefaultParagraphFont"/>
    <w:rsid w:val="00B87A32"/>
    <w:rPr>
      <w:b/>
      <w:spacing w:val="0"/>
    </w:rPr>
  </w:style>
  <w:style w:type="paragraph" w:styleId="ListBullet2">
    <w:name w:val="List Bullet 2"/>
    <w:basedOn w:val="List2"/>
    <w:rsid w:val="00B87A32"/>
    <w:pPr>
      <w:numPr>
        <w:numId w:val="15"/>
      </w:numPr>
      <w:tabs>
        <w:tab w:val="clear" w:pos="680"/>
      </w:tabs>
    </w:pPr>
  </w:style>
  <w:style w:type="paragraph" w:customStyle="1" w:styleId="SuperHeading">
    <w:name w:val="SuperHeading"/>
    <w:basedOn w:val="Normal"/>
    <w:rsid w:val="00B87A32"/>
    <w:pPr>
      <w:spacing w:before="240" w:after="120"/>
      <w:outlineLvl w:val="0"/>
    </w:pPr>
    <w:rPr>
      <w:rFonts w:ascii="Times New Roman" w:hAnsi="Times New Roman"/>
      <w:b/>
      <w:sz w:val="32"/>
    </w:rPr>
  </w:style>
  <w:style w:type="paragraph" w:customStyle="1" w:styleId="AllowPageBreak">
    <w:name w:val="AllowPageBreak"/>
    <w:rsid w:val="00B87A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7A32"/>
    <w:pPr>
      <w:numPr>
        <w:numId w:val="3"/>
      </w:numPr>
      <w:tabs>
        <w:tab w:val="clear" w:pos="1021"/>
      </w:tabs>
      <w:ind w:left="1037" w:hanging="357"/>
    </w:pPr>
  </w:style>
  <w:style w:type="character" w:customStyle="1" w:styleId="Heading2Char">
    <w:name w:val="Heading 2 Char"/>
    <w:basedOn w:val="DefaultParagraphFont"/>
    <w:link w:val="Heading2"/>
    <w:rsid w:val="00B87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A32"/>
    <w:rPr>
      <w:rFonts w:ascii="Courier New" w:eastAsia="Times New Roman" w:hAnsi="Courier New" w:cs="Times New Roman"/>
      <w:i/>
      <w:szCs w:val="20"/>
      <w:lang w:eastAsia="en-US"/>
    </w:rPr>
  </w:style>
  <w:style w:type="paragraph" w:customStyle="1" w:styleId="HeadingBase">
    <w:name w:val="Heading Base"/>
    <w:rsid w:val="00B87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32"/>
    <w:pPr>
      <w:tabs>
        <w:tab w:val="right" w:leader="dot" w:pos="9072"/>
      </w:tabs>
      <w:ind w:left="567"/>
    </w:pPr>
    <w:rPr>
      <w:szCs w:val="22"/>
    </w:rPr>
  </w:style>
  <w:style w:type="paragraph" w:customStyle="1" w:styleId="TOCBase">
    <w:name w:val="TOC Base"/>
    <w:rsid w:val="00B87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32"/>
    <w:pPr>
      <w:tabs>
        <w:tab w:val="right" w:leader="dot" w:pos="9072"/>
      </w:tabs>
      <w:spacing w:before="40" w:after="40"/>
      <w:ind w:left="284"/>
    </w:pPr>
    <w:rPr>
      <w:rFonts w:ascii="Times New Roman" w:hAnsi="Times New Roman"/>
    </w:rPr>
  </w:style>
  <w:style w:type="paragraph" w:styleId="TOC1">
    <w:name w:val="toc 1"/>
    <w:basedOn w:val="TOCBase"/>
    <w:next w:val="Normal"/>
    <w:rsid w:val="00B87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A32"/>
    <w:rPr>
      <w:rFonts w:ascii="Times New Roman" w:eastAsia="Times New Roman" w:hAnsi="Times New Roman" w:cs="Times New Roman"/>
      <w:sz w:val="16"/>
      <w:lang w:eastAsia="en-US"/>
    </w:rPr>
  </w:style>
  <w:style w:type="paragraph" w:styleId="Title">
    <w:name w:val="Title"/>
    <w:basedOn w:val="HeadingBase"/>
    <w:link w:val="TitleChar"/>
    <w:qFormat/>
    <w:rsid w:val="00B87A32"/>
    <w:pPr>
      <w:spacing w:before="5040"/>
      <w:jc w:val="center"/>
    </w:pPr>
    <w:rPr>
      <w:sz w:val="48"/>
      <w:szCs w:val="72"/>
      <w:lang w:val="en-US"/>
    </w:rPr>
  </w:style>
  <w:style w:type="character" w:customStyle="1" w:styleId="TitleChar">
    <w:name w:val="Title Char"/>
    <w:basedOn w:val="DefaultParagraphFont"/>
    <w:link w:val="Title"/>
    <w:rsid w:val="00B87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32"/>
    <w:pPr>
      <w:tabs>
        <w:tab w:val="left" w:pos="3600"/>
        <w:tab w:val="left" w:pos="3958"/>
      </w:tabs>
    </w:pPr>
  </w:style>
  <w:style w:type="paragraph" w:styleId="List">
    <w:name w:val="List"/>
    <w:basedOn w:val="BodyText"/>
    <w:next w:val="BodyText"/>
    <w:rsid w:val="00B87A32"/>
    <w:pPr>
      <w:tabs>
        <w:tab w:val="left" w:pos="340"/>
      </w:tabs>
      <w:spacing w:before="60" w:after="60"/>
      <w:ind w:left="340" w:hanging="340"/>
    </w:pPr>
  </w:style>
  <w:style w:type="paragraph" w:customStyle="1" w:styleId="Note">
    <w:name w:val="Note"/>
    <w:basedOn w:val="BodyText"/>
    <w:rsid w:val="00B87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32"/>
    <w:pPr>
      <w:framePr w:wrap="auto" w:hAnchor="text" w:y="6049"/>
    </w:pPr>
    <w:rPr>
      <w:color w:val="000000"/>
      <w:sz w:val="40"/>
    </w:rPr>
  </w:style>
  <w:style w:type="paragraph" w:customStyle="1" w:styleId="TOCTitle">
    <w:name w:val="TOCTitle"/>
    <w:basedOn w:val="Heading1"/>
    <w:rsid w:val="00B87A32"/>
    <w:pPr>
      <w:spacing w:after="240"/>
      <w:jc w:val="center"/>
      <w:outlineLvl w:val="9"/>
    </w:pPr>
    <w:rPr>
      <w:caps/>
    </w:rPr>
  </w:style>
  <w:style w:type="paragraph" w:customStyle="1" w:styleId="Version">
    <w:name w:val="Version"/>
    <w:rsid w:val="00B87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A32"/>
    <w:pPr>
      <w:keepNext w:val="0"/>
      <w:tabs>
        <w:tab w:val="right" w:pos="4176"/>
      </w:tabs>
      <w:ind w:left="198" w:hanging="198"/>
    </w:pPr>
    <w:rPr>
      <w:rFonts w:ascii="Garamond" w:hAnsi="Garamond"/>
    </w:rPr>
  </w:style>
  <w:style w:type="paragraph" w:styleId="IndexHeading">
    <w:name w:val="index heading"/>
    <w:basedOn w:val="Normal"/>
    <w:next w:val="Index1"/>
    <w:semiHidden/>
    <w:rsid w:val="00B87A32"/>
    <w:pPr>
      <w:spacing w:before="120" w:after="120"/>
    </w:pPr>
    <w:rPr>
      <w:rFonts w:ascii="Arial" w:hAnsi="Arial"/>
      <w:b/>
      <w:color w:val="918585"/>
      <w:sz w:val="24"/>
    </w:rPr>
  </w:style>
  <w:style w:type="paragraph" w:styleId="Header">
    <w:name w:val="header"/>
    <w:basedOn w:val="Normal"/>
    <w:link w:val="HeaderChar"/>
    <w:rsid w:val="00B87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A32"/>
    <w:rPr>
      <w:rFonts w:ascii="Times New Roman" w:eastAsia="Times New Roman" w:hAnsi="Times New Roman" w:cs="Times New Roman"/>
      <w:sz w:val="16"/>
      <w:szCs w:val="20"/>
      <w:lang w:val="en-GB" w:eastAsia="en-US"/>
    </w:rPr>
  </w:style>
  <w:style w:type="paragraph" w:customStyle="1" w:styleId="Chapter">
    <w:name w:val="Chapter"/>
    <w:basedOn w:val="Normal"/>
    <w:rsid w:val="00B87A32"/>
    <w:pPr>
      <w:spacing w:before="240"/>
    </w:pPr>
    <w:rPr>
      <w:rFonts w:ascii="Times New Roman" w:hAnsi="Times New Roman"/>
      <w:smallCaps/>
      <w:spacing w:val="80"/>
      <w:sz w:val="28"/>
    </w:rPr>
  </w:style>
  <w:style w:type="paragraph" w:customStyle="1" w:styleId="InChapter">
    <w:name w:val="InChapter"/>
    <w:basedOn w:val="Heading3"/>
    <w:rsid w:val="00B87A32"/>
    <w:pPr>
      <w:spacing w:after="240"/>
      <w:outlineLvl w:val="9"/>
    </w:pPr>
    <w:rPr>
      <w:noProof/>
    </w:rPr>
  </w:style>
  <w:style w:type="paragraph" w:styleId="Index2">
    <w:name w:val="index 2"/>
    <w:basedOn w:val="Normal"/>
    <w:next w:val="Normal"/>
    <w:semiHidden/>
    <w:rsid w:val="00B87A32"/>
    <w:pPr>
      <w:tabs>
        <w:tab w:val="right" w:pos="4176"/>
      </w:tabs>
      <w:ind w:left="568" w:hanging="284"/>
    </w:pPr>
    <w:rPr>
      <w:rFonts w:ascii="Garamond" w:hAnsi="Garamond"/>
    </w:rPr>
  </w:style>
  <w:style w:type="paragraph" w:customStyle="1" w:styleId="Byline">
    <w:name w:val="Byline"/>
    <w:rsid w:val="00B87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32"/>
    <w:pPr>
      <w:tabs>
        <w:tab w:val="clear" w:pos="3600"/>
        <w:tab w:val="clear" w:pos="3958"/>
      </w:tabs>
      <w:jc w:val="right"/>
    </w:pPr>
  </w:style>
  <w:style w:type="character" w:styleId="Emphasis">
    <w:name w:val="Emphasis"/>
    <w:basedOn w:val="DefaultParagraphFont"/>
    <w:qFormat/>
    <w:rsid w:val="00B87A32"/>
    <w:rPr>
      <w:i/>
    </w:rPr>
  </w:style>
  <w:style w:type="paragraph" w:styleId="Caption">
    <w:name w:val="caption"/>
    <w:basedOn w:val="BodyText"/>
    <w:next w:val="Normal"/>
    <w:qFormat/>
    <w:rsid w:val="00B87A32"/>
    <w:pPr>
      <w:framePr w:w="2268" w:hSpace="181" w:vSpace="181" w:wrap="around" w:vAnchor="text" w:hAnchor="page" w:x="1135" w:y="285" w:anchorLock="1"/>
    </w:pPr>
    <w:rPr>
      <w:i/>
    </w:rPr>
  </w:style>
  <w:style w:type="paragraph" w:customStyle="1" w:styleId="MiniTOCTitle">
    <w:name w:val="MiniTOCTitle"/>
    <w:basedOn w:val="Heading4"/>
    <w:rsid w:val="00B87A32"/>
    <w:pPr>
      <w:spacing w:before="240"/>
      <w:outlineLvl w:val="9"/>
    </w:pPr>
    <w:rPr>
      <w:noProof/>
      <w:sz w:val="24"/>
    </w:rPr>
  </w:style>
  <w:style w:type="paragraph" w:customStyle="1" w:styleId="MiniTOCItem">
    <w:name w:val="MiniTOCItem"/>
    <w:basedOn w:val="ListBullet"/>
    <w:rsid w:val="00B87A32"/>
    <w:pPr>
      <w:numPr>
        <w:numId w:val="0"/>
      </w:numPr>
      <w:tabs>
        <w:tab w:val="right" w:leader="dot" w:pos="6521"/>
      </w:tabs>
      <w:spacing w:before="0" w:after="0"/>
    </w:pPr>
  </w:style>
  <w:style w:type="paragraph" w:customStyle="1" w:styleId="TOFTitle">
    <w:name w:val="TOFTitle"/>
    <w:basedOn w:val="TOCTitle"/>
    <w:rsid w:val="00B87A32"/>
  </w:style>
  <w:style w:type="paragraph" w:styleId="TableofFigures">
    <w:name w:val="table of figures"/>
    <w:basedOn w:val="Normal"/>
    <w:next w:val="Normal"/>
    <w:semiHidden/>
    <w:rsid w:val="00B87A32"/>
    <w:pPr>
      <w:tabs>
        <w:tab w:val="right" w:leader="dot" w:pos="9072"/>
      </w:tabs>
      <w:ind w:left="970" w:hanging="403"/>
    </w:pPr>
    <w:rPr>
      <w:rFonts w:ascii="Times New Roman" w:hAnsi="Times New Roman"/>
      <w:b/>
    </w:rPr>
  </w:style>
  <w:style w:type="paragraph" w:styleId="ListNumber">
    <w:name w:val="List Number"/>
    <w:basedOn w:val="List"/>
    <w:rsid w:val="00B87A32"/>
    <w:pPr>
      <w:numPr>
        <w:numId w:val="12"/>
      </w:numPr>
    </w:pPr>
  </w:style>
  <w:style w:type="character" w:customStyle="1" w:styleId="WingdingSymbols">
    <w:name w:val="Wingding Symbols"/>
    <w:rsid w:val="00B87A32"/>
    <w:rPr>
      <w:rFonts w:ascii="Wingdings" w:hAnsi="Wingdings"/>
    </w:rPr>
  </w:style>
  <w:style w:type="paragraph" w:customStyle="1" w:styleId="TableHeading">
    <w:name w:val="Table Heading"/>
    <w:basedOn w:val="HeadingBase"/>
    <w:rsid w:val="00B87A32"/>
    <w:pPr>
      <w:keepLines/>
      <w:pBdr>
        <w:bottom w:val="single" w:sz="6" w:space="1" w:color="918585"/>
      </w:pBdr>
      <w:spacing w:before="240"/>
    </w:pPr>
  </w:style>
  <w:style w:type="character" w:customStyle="1" w:styleId="HotSpot">
    <w:name w:val="HotSpot"/>
    <w:rsid w:val="00B87A32"/>
    <w:rPr>
      <w:color w:val="0033CC"/>
      <w:u w:val="none"/>
    </w:rPr>
  </w:style>
  <w:style w:type="paragraph" w:customStyle="1" w:styleId="BodyTextRight">
    <w:name w:val="Body Text Right"/>
    <w:basedOn w:val="BodyText"/>
    <w:rsid w:val="00B87A32"/>
    <w:pPr>
      <w:spacing w:before="0" w:after="0"/>
      <w:jc w:val="right"/>
    </w:pPr>
  </w:style>
  <w:style w:type="paragraph" w:styleId="Index3">
    <w:name w:val="index 3"/>
    <w:basedOn w:val="ListNumber2"/>
    <w:next w:val="Normal"/>
    <w:semiHidden/>
    <w:rsid w:val="00B87A32"/>
    <w:pPr>
      <w:numPr>
        <w:numId w:val="0"/>
      </w:numPr>
      <w:tabs>
        <w:tab w:val="right" w:leader="dot" w:pos="4176"/>
      </w:tabs>
    </w:pPr>
  </w:style>
  <w:style w:type="paragraph" w:styleId="ListNumber2">
    <w:name w:val="List Number 2"/>
    <w:basedOn w:val="List2"/>
    <w:rsid w:val="00B87A32"/>
    <w:pPr>
      <w:numPr>
        <w:numId w:val="11"/>
      </w:numPr>
      <w:tabs>
        <w:tab w:val="clear" w:pos="1060"/>
      </w:tabs>
    </w:pPr>
  </w:style>
  <w:style w:type="paragraph" w:customStyle="1" w:styleId="MarginNote">
    <w:name w:val="Margin Note"/>
    <w:basedOn w:val="BodyText"/>
    <w:rsid w:val="00B87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A32"/>
    <w:rPr>
      <w:sz w:val="32"/>
    </w:rPr>
  </w:style>
  <w:style w:type="paragraph" w:customStyle="1" w:styleId="HeadingProcedure">
    <w:name w:val="Heading Procedure"/>
    <w:basedOn w:val="HeadingBase"/>
    <w:next w:val="Normal"/>
    <w:rsid w:val="00B87A32"/>
    <w:pPr>
      <w:tabs>
        <w:tab w:val="left" w:pos="0"/>
      </w:tabs>
      <w:spacing w:before="120" w:after="60"/>
    </w:pPr>
    <w:rPr>
      <w:i/>
      <w:color w:val="918585"/>
      <w:sz w:val="22"/>
    </w:rPr>
  </w:style>
  <w:style w:type="paragraph" w:customStyle="1" w:styleId="TableBodyText">
    <w:name w:val="Table Body Text"/>
    <w:basedOn w:val="BodyText"/>
    <w:rsid w:val="00B87A32"/>
    <w:pPr>
      <w:spacing w:before="60" w:after="60"/>
    </w:pPr>
  </w:style>
  <w:style w:type="paragraph" w:styleId="ListContinue">
    <w:name w:val="List Continue"/>
    <w:basedOn w:val="List"/>
    <w:rsid w:val="00B87A32"/>
    <w:pPr>
      <w:ind w:firstLine="0"/>
    </w:pPr>
  </w:style>
  <w:style w:type="paragraph" w:customStyle="1" w:styleId="ListNote">
    <w:name w:val="List Note"/>
    <w:basedOn w:val="List"/>
    <w:rsid w:val="00B87A32"/>
    <w:pPr>
      <w:pBdr>
        <w:top w:val="single" w:sz="6" w:space="2" w:color="918585"/>
        <w:bottom w:val="single" w:sz="6" w:space="2" w:color="918585"/>
      </w:pBdr>
      <w:tabs>
        <w:tab w:val="left" w:pos="1021"/>
      </w:tabs>
      <w:ind w:firstLine="0"/>
    </w:pPr>
  </w:style>
  <w:style w:type="paragraph" w:customStyle="1" w:styleId="Warning">
    <w:name w:val="Warning"/>
    <w:basedOn w:val="BodyText"/>
    <w:rsid w:val="00B87A32"/>
    <w:pPr>
      <w:shd w:val="clear" w:color="auto" w:fill="D9D9D9"/>
      <w:tabs>
        <w:tab w:val="left" w:pos="992"/>
      </w:tabs>
      <w:ind w:left="119" w:right="119"/>
    </w:pPr>
    <w:rPr>
      <w:sz w:val="20"/>
    </w:rPr>
  </w:style>
  <w:style w:type="paragraph" w:customStyle="1" w:styleId="MarginIcons">
    <w:name w:val="Margin Icons"/>
    <w:basedOn w:val="BodyText"/>
    <w:rsid w:val="00B87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A32"/>
    <w:rPr>
      <w:rFonts w:ascii="Courier New" w:hAnsi="Courier New"/>
    </w:rPr>
  </w:style>
  <w:style w:type="paragraph" w:customStyle="1" w:styleId="NoteBullet">
    <w:name w:val="Note Bullet"/>
    <w:basedOn w:val="Note"/>
    <w:rsid w:val="00B87A32"/>
    <w:pPr>
      <w:tabs>
        <w:tab w:val="clear" w:pos="680"/>
      </w:tabs>
      <w:spacing w:before="60" w:after="60"/>
    </w:pPr>
  </w:style>
  <w:style w:type="paragraph" w:customStyle="1" w:styleId="SubHeading2">
    <w:name w:val="SubHeading2"/>
    <w:basedOn w:val="HeadingBase"/>
    <w:rsid w:val="00B87A32"/>
    <w:pPr>
      <w:spacing w:before="240" w:after="60"/>
    </w:pPr>
    <w:rPr>
      <w:sz w:val="20"/>
    </w:rPr>
  </w:style>
  <w:style w:type="paragraph" w:customStyle="1" w:styleId="SubHeading1">
    <w:name w:val="SubHeading1"/>
    <w:basedOn w:val="HeadingBase"/>
    <w:rsid w:val="00B87A32"/>
    <w:pPr>
      <w:spacing w:before="240" w:after="60"/>
    </w:pPr>
    <w:rPr>
      <w:color w:val="918585"/>
      <w:sz w:val="22"/>
    </w:rPr>
  </w:style>
  <w:style w:type="paragraph" w:customStyle="1" w:styleId="SideHeading">
    <w:name w:val="Side Heading"/>
    <w:basedOn w:val="HeadingBase"/>
    <w:rsid w:val="00B87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32"/>
    <w:pPr>
      <w:numPr>
        <w:numId w:val="13"/>
      </w:numPr>
    </w:pPr>
  </w:style>
  <w:style w:type="paragraph" w:styleId="PlainText">
    <w:name w:val="Plain Text"/>
    <w:basedOn w:val="Normal"/>
    <w:link w:val="PlainTextChar"/>
    <w:rsid w:val="00B87A32"/>
    <w:rPr>
      <w:sz w:val="20"/>
    </w:rPr>
  </w:style>
  <w:style w:type="character" w:customStyle="1" w:styleId="PlainTextChar">
    <w:name w:val="Plain Text Char"/>
    <w:basedOn w:val="DefaultParagraphFont"/>
    <w:link w:val="PlainText"/>
    <w:rsid w:val="00B87A32"/>
    <w:rPr>
      <w:rFonts w:ascii="Courier New" w:eastAsia="Times New Roman" w:hAnsi="Courier New" w:cs="Times New Roman"/>
      <w:sz w:val="20"/>
      <w:szCs w:val="20"/>
      <w:lang w:eastAsia="en-US"/>
    </w:rPr>
  </w:style>
  <w:style w:type="character" w:customStyle="1" w:styleId="MenuOption">
    <w:name w:val="Menu Option"/>
    <w:basedOn w:val="DefaultParagraphFont"/>
    <w:rsid w:val="00B87A32"/>
    <w:rPr>
      <w:b/>
      <w:smallCaps/>
    </w:rPr>
  </w:style>
  <w:style w:type="paragraph" w:customStyle="1" w:styleId="TableListNumber">
    <w:name w:val="Table List Number"/>
    <w:basedOn w:val="ListNumber"/>
    <w:rsid w:val="00B87A32"/>
    <w:pPr>
      <w:numPr>
        <w:numId w:val="0"/>
      </w:numPr>
    </w:pPr>
  </w:style>
  <w:style w:type="paragraph" w:styleId="TOC4">
    <w:name w:val="toc 4"/>
    <w:basedOn w:val="TOCBase"/>
    <w:next w:val="Normal"/>
    <w:semiHidden/>
    <w:rsid w:val="00B87A32"/>
    <w:pPr>
      <w:tabs>
        <w:tab w:val="right" w:leader="dot" w:pos="9071"/>
      </w:tabs>
      <w:ind w:left="1701"/>
    </w:pPr>
  </w:style>
  <w:style w:type="paragraph" w:customStyle="1" w:styleId="ListAlpha">
    <w:name w:val="List Alpha"/>
    <w:basedOn w:val="List"/>
    <w:rsid w:val="00B87A32"/>
    <w:pPr>
      <w:numPr>
        <w:numId w:val="10"/>
      </w:numPr>
    </w:pPr>
  </w:style>
  <w:style w:type="paragraph" w:customStyle="1" w:styleId="ListAlpha2">
    <w:name w:val="List Alpha 2"/>
    <w:basedOn w:val="List2"/>
    <w:rsid w:val="00B87A32"/>
    <w:pPr>
      <w:numPr>
        <w:numId w:val="9"/>
      </w:numPr>
    </w:pPr>
  </w:style>
  <w:style w:type="paragraph" w:styleId="List2">
    <w:name w:val="List 2"/>
    <w:basedOn w:val="BodyText"/>
    <w:rsid w:val="00B87A32"/>
    <w:pPr>
      <w:tabs>
        <w:tab w:val="left" w:pos="680"/>
      </w:tabs>
      <w:spacing w:before="60" w:after="60"/>
      <w:ind w:left="680" w:hanging="340"/>
    </w:pPr>
  </w:style>
  <w:style w:type="paragraph" w:styleId="List3">
    <w:name w:val="List 3"/>
    <w:basedOn w:val="BodyText"/>
    <w:rsid w:val="00B87A32"/>
    <w:pPr>
      <w:tabs>
        <w:tab w:val="left" w:pos="1021"/>
      </w:tabs>
      <w:spacing w:before="60" w:after="60"/>
      <w:ind w:left="1020" w:hanging="340"/>
    </w:pPr>
  </w:style>
  <w:style w:type="paragraph" w:styleId="List4">
    <w:name w:val="List 4"/>
    <w:basedOn w:val="BodyText"/>
    <w:rsid w:val="00B87A32"/>
    <w:pPr>
      <w:tabs>
        <w:tab w:val="left" w:pos="1361"/>
      </w:tabs>
      <w:spacing w:before="60" w:after="60"/>
      <w:ind w:left="1361" w:hanging="340"/>
    </w:pPr>
  </w:style>
  <w:style w:type="paragraph" w:styleId="List5">
    <w:name w:val="List 5"/>
    <w:basedOn w:val="BodyText"/>
    <w:rsid w:val="00B87A32"/>
    <w:pPr>
      <w:tabs>
        <w:tab w:val="left" w:pos="1701"/>
      </w:tabs>
      <w:spacing w:before="60" w:after="60"/>
      <w:ind w:left="1701" w:hanging="340"/>
    </w:pPr>
  </w:style>
  <w:style w:type="paragraph" w:styleId="ListBullet4">
    <w:name w:val="List Bullet 4"/>
    <w:basedOn w:val="List4"/>
    <w:rsid w:val="00B87A32"/>
    <w:pPr>
      <w:numPr>
        <w:numId w:val="4"/>
      </w:numPr>
    </w:pPr>
  </w:style>
  <w:style w:type="paragraph" w:styleId="ListBullet5">
    <w:name w:val="List Bullet 5"/>
    <w:basedOn w:val="List5"/>
    <w:rsid w:val="00B87A32"/>
    <w:pPr>
      <w:numPr>
        <w:numId w:val="5"/>
      </w:numPr>
    </w:pPr>
  </w:style>
  <w:style w:type="paragraph" w:styleId="ListContinue2">
    <w:name w:val="List Continue 2"/>
    <w:basedOn w:val="List2"/>
    <w:rsid w:val="00B87A32"/>
    <w:pPr>
      <w:ind w:firstLine="0"/>
    </w:pPr>
  </w:style>
  <w:style w:type="paragraph" w:styleId="ListContinue3">
    <w:name w:val="List Continue 3"/>
    <w:basedOn w:val="List3"/>
    <w:rsid w:val="00B87A32"/>
    <w:pPr>
      <w:ind w:left="1021" w:firstLine="0"/>
    </w:pPr>
  </w:style>
  <w:style w:type="paragraph" w:styleId="ListContinue4">
    <w:name w:val="List Continue 4"/>
    <w:basedOn w:val="List4"/>
    <w:rsid w:val="00B87A32"/>
    <w:pPr>
      <w:ind w:firstLine="0"/>
    </w:pPr>
  </w:style>
  <w:style w:type="paragraph" w:styleId="ListContinue5">
    <w:name w:val="List Continue 5"/>
    <w:basedOn w:val="List5"/>
    <w:rsid w:val="00B87A32"/>
    <w:pPr>
      <w:ind w:firstLine="0"/>
    </w:pPr>
  </w:style>
  <w:style w:type="paragraph" w:styleId="ListNumber3">
    <w:name w:val="List Number 3"/>
    <w:basedOn w:val="List3"/>
    <w:rsid w:val="00B87A32"/>
    <w:pPr>
      <w:numPr>
        <w:numId w:val="6"/>
      </w:numPr>
    </w:pPr>
  </w:style>
  <w:style w:type="paragraph" w:styleId="ListNumber4">
    <w:name w:val="List Number 4"/>
    <w:basedOn w:val="List4"/>
    <w:rsid w:val="00B87A32"/>
    <w:pPr>
      <w:numPr>
        <w:numId w:val="7"/>
      </w:numPr>
    </w:pPr>
  </w:style>
  <w:style w:type="paragraph" w:styleId="ListNumber5">
    <w:name w:val="List Number 5"/>
    <w:basedOn w:val="List5"/>
    <w:rsid w:val="00B87A32"/>
    <w:pPr>
      <w:numPr>
        <w:numId w:val="8"/>
      </w:numPr>
    </w:pPr>
  </w:style>
  <w:style w:type="paragraph" w:styleId="BlockText">
    <w:name w:val="Block Text"/>
    <w:basedOn w:val="Normal"/>
    <w:rsid w:val="00B87A32"/>
    <w:pPr>
      <w:spacing w:after="120"/>
      <w:ind w:left="1440" w:right="1440"/>
    </w:pPr>
  </w:style>
  <w:style w:type="character" w:customStyle="1" w:styleId="Subscript">
    <w:name w:val="Subscript"/>
    <w:basedOn w:val="DefaultParagraphFont"/>
    <w:rsid w:val="00B87A32"/>
    <w:rPr>
      <w:sz w:val="16"/>
      <w:vertAlign w:val="subscript"/>
    </w:rPr>
  </w:style>
  <w:style w:type="character" w:customStyle="1" w:styleId="Superscript">
    <w:name w:val="Superscript"/>
    <w:basedOn w:val="DefaultParagraphFont"/>
    <w:rsid w:val="00B87A32"/>
    <w:rPr>
      <w:sz w:val="16"/>
      <w:vertAlign w:val="superscript"/>
    </w:rPr>
  </w:style>
  <w:style w:type="character" w:customStyle="1" w:styleId="Symbols">
    <w:name w:val="Symbols"/>
    <w:basedOn w:val="DefaultParagraphFont"/>
    <w:rsid w:val="00B87A32"/>
    <w:rPr>
      <w:rFonts w:ascii="Symbol" w:hAnsi="Symbol"/>
    </w:rPr>
  </w:style>
  <w:style w:type="character" w:customStyle="1" w:styleId="MenuOptions">
    <w:name w:val="Menu Options"/>
    <w:basedOn w:val="DefaultParagraphFont"/>
    <w:rsid w:val="00B87A32"/>
    <w:rPr>
      <w:rFonts w:ascii="Arial Narrow" w:hAnsi="Arial Narrow"/>
      <w:smallCaps/>
    </w:rPr>
  </w:style>
  <w:style w:type="character" w:customStyle="1" w:styleId="Buttons">
    <w:name w:val="Buttons"/>
    <w:basedOn w:val="DefaultParagraphFont"/>
    <w:rsid w:val="00B87A32"/>
    <w:rPr>
      <w:b/>
    </w:rPr>
  </w:style>
  <w:style w:type="character" w:customStyle="1" w:styleId="Underlined">
    <w:name w:val="Underlined"/>
    <w:basedOn w:val="DefaultParagraphFont"/>
    <w:rsid w:val="00B87A32"/>
    <w:rPr>
      <w:u w:val="single"/>
    </w:rPr>
  </w:style>
  <w:style w:type="paragraph" w:customStyle="1" w:styleId="TableBodyTextRight">
    <w:name w:val="Table Body Text Right"/>
    <w:basedOn w:val="TableBodyText"/>
    <w:rsid w:val="00B87A32"/>
    <w:pPr>
      <w:widowControl w:val="0"/>
      <w:autoSpaceDE w:val="0"/>
      <w:autoSpaceDN w:val="0"/>
      <w:adjustRightInd w:val="0"/>
      <w:jc w:val="right"/>
    </w:pPr>
    <w:rPr>
      <w:rFonts w:cs="Arial"/>
      <w:szCs w:val="18"/>
    </w:rPr>
  </w:style>
  <w:style w:type="paragraph" w:customStyle="1" w:styleId="CopyrightText">
    <w:name w:val="Copyright Text"/>
    <w:basedOn w:val="BodyText"/>
    <w:rsid w:val="00B87A32"/>
    <w:rPr>
      <w:sz w:val="18"/>
    </w:rPr>
  </w:style>
  <w:style w:type="paragraph" w:customStyle="1" w:styleId="BodySmallRight">
    <w:name w:val="Body Small Right"/>
    <w:basedOn w:val="BodyTextRight"/>
    <w:rsid w:val="00B87A32"/>
    <w:rPr>
      <w:sz w:val="18"/>
      <w:szCs w:val="18"/>
    </w:rPr>
  </w:style>
  <w:style w:type="paragraph" w:customStyle="1" w:styleId="MarginEdition">
    <w:name w:val="Margin Edition"/>
    <w:basedOn w:val="MarginNote"/>
    <w:rsid w:val="00B87A32"/>
    <w:pPr>
      <w:spacing w:before="0" w:after="0"/>
    </w:pPr>
    <w:rPr>
      <w:rFonts w:ascii="Times New Roman" w:hAnsi="Times New Roman"/>
      <w:color w:val="999999"/>
    </w:rPr>
  </w:style>
  <w:style w:type="paragraph" w:customStyle="1" w:styleId="Spacer">
    <w:name w:val="Spacer"/>
    <w:basedOn w:val="Normal"/>
    <w:rsid w:val="00B87A32"/>
    <w:rPr>
      <w:sz w:val="2"/>
      <w:szCs w:val="2"/>
    </w:rPr>
  </w:style>
  <w:style w:type="character" w:customStyle="1" w:styleId="Small">
    <w:name w:val="Small"/>
    <w:basedOn w:val="DefaultParagraphFont"/>
    <w:rsid w:val="00B87A32"/>
    <w:rPr>
      <w:sz w:val="16"/>
    </w:rPr>
  </w:style>
  <w:style w:type="paragraph" w:customStyle="1" w:styleId="WideTable">
    <w:name w:val="Wide Table"/>
    <w:basedOn w:val="Normal"/>
    <w:rsid w:val="00B87A32"/>
    <w:pPr>
      <w:ind w:left="-1418"/>
    </w:pPr>
    <w:rPr>
      <w:sz w:val="2"/>
      <w:szCs w:val="2"/>
    </w:rPr>
  </w:style>
  <w:style w:type="character" w:styleId="PageNumber">
    <w:name w:val="page number"/>
    <w:basedOn w:val="DefaultParagraphFont"/>
    <w:rsid w:val="00B87A32"/>
  </w:style>
  <w:style w:type="paragraph" w:styleId="Quote">
    <w:name w:val="Quote"/>
    <w:basedOn w:val="Heading1"/>
    <w:link w:val="QuoteChar"/>
    <w:qFormat/>
    <w:rsid w:val="00B87A32"/>
    <w:rPr>
      <w:b w:val="0"/>
      <w:sz w:val="72"/>
      <w:szCs w:val="72"/>
      <w:lang w:val="en-NZ"/>
    </w:rPr>
  </w:style>
  <w:style w:type="character" w:customStyle="1" w:styleId="QuoteChar">
    <w:name w:val="Quote Char"/>
    <w:basedOn w:val="DefaultParagraphFont"/>
    <w:link w:val="Quote"/>
    <w:rsid w:val="00B87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32"/>
    <w:pPr>
      <w:pageBreakBefore/>
    </w:pPr>
  </w:style>
  <w:style w:type="paragraph" w:customStyle="1" w:styleId="Border">
    <w:name w:val="Border"/>
    <w:basedOn w:val="Normal"/>
    <w:qFormat/>
    <w:rsid w:val="00B87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A32"/>
    <w:rPr>
      <w:b/>
      <w:bCs/>
      <w:i/>
      <w:iCs/>
      <w:color w:val="auto"/>
    </w:rPr>
  </w:style>
  <w:style w:type="paragraph" w:styleId="IntenseQuote">
    <w:name w:val="Intense Quote"/>
    <w:basedOn w:val="Normal"/>
    <w:next w:val="Normal"/>
    <w:link w:val="IntenseQuoteChar"/>
    <w:uiPriority w:val="30"/>
    <w:qFormat/>
    <w:rsid w:val="00B87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A32"/>
    <w:rPr>
      <w:smallCaps/>
      <w:color w:val="auto"/>
      <w:u w:val="single"/>
    </w:rPr>
  </w:style>
  <w:style w:type="character" w:styleId="IntenseReference">
    <w:name w:val="Intense Reference"/>
    <w:basedOn w:val="DefaultParagraphFont"/>
    <w:uiPriority w:val="32"/>
    <w:qFormat/>
    <w:rsid w:val="00B87A32"/>
    <w:rPr>
      <w:b/>
      <w:bCs/>
      <w:smallCaps/>
      <w:color w:val="auto"/>
      <w:spacing w:val="5"/>
      <w:u w:val="single"/>
    </w:rPr>
  </w:style>
  <w:style w:type="paragraph" w:customStyle="1" w:styleId="2ColumnHeading">
    <w:name w:val="2Column Heading"/>
    <w:basedOn w:val="BodyText"/>
    <w:qFormat/>
    <w:rsid w:val="00B87A32"/>
    <w:pPr>
      <w:spacing w:after="60"/>
      <w:ind w:left="-2268"/>
    </w:pPr>
    <w:rPr>
      <w:b/>
    </w:rPr>
  </w:style>
  <w:style w:type="paragraph" w:customStyle="1" w:styleId="Heading1TOC">
    <w:name w:val="Heading1 TOC"/>
    <w:basedOn w:val="Normal"/>
    <w:qFormat/>
    <w:rsid w:val="00B87A32"/>
    <w:pPr>
      <w:spacing w:before="240" w:after="120"/>
    </w:pPr>
    <w:rPr>
      <w:rFonts w:ascii="Times New Roman" w:hAnsi="Times New Roman"/>
      <w:b/>
      <w:sz w:val="32"/>
    </w:rPr>
  </w:style>
  <w:style w:type="paragraph" w:customStyle="1" w:styleId="Heading2TOC">
    <w:name w:val="Heading2 TOC"/>
    <w:basedOn w:val="Normal"/>
    <w:qFormat/>
    <w:rsid w:val="00B87A32"/>
    <w:pPr>
      <w:spacing w:before="240" w:after="60"/>
    </w:pPr>
    <w:rPr>
      <w:rFonts w:ascii="Times New Roman" w:hAnsi="Times New Roman"/>
      <w:b/>
      <w:sz w:val="28"/>
    </w:rPr>
  </w:style>
  <w:style w:type="character" w:customStyle="1" w:styleId="Underline">
    <w:name w:val="Underline"/>
    <w:basedOn w:val="DefaultParagraphFont"/>
    <w:qFormat/>
    <w:rsid w:val="00B87A32"/>
    <w:rPr>
      <w:u w:val="single"/>
    </w:rPr>
  </w:style>
  <w:style w:type="character" w:customStyle="1" w:styleId="BoldandItalics">
    <w:name w:val="Bold and Italics"/>
    <w:qFormat/>
    <w:rsid w:val="00B87A32"/>
    <w:rPr>
      <w:b/>
      <w:i/>
      <w:u w:val="none"/>
    </w:rPr>
  </w:style>
  <w:style w:type="paragraph" w:styleId="BalloonText">
    <w:name w:val="Balloon Text"/>
    <w:basedOn w:val="Normal"/>
    <w:link w:val="BalloonTextChar"/>
    <w:rsid w:val="00B87A32"/>
    <w:rPr>
      <w:rFonts w:ascii="Tahoma" w:hAnsi="Tahoma" w:cs="Tahoma"/>
      <w:sz w:val="16"/>
      <w:szCs w:val="16"/>
    </w:rPr>
  </w:style>
  <w:style w:type="character" w:customStyle="1" w:styleId="BalloonTextChar">
    <w:name w:val="Balloon Text Char"/>
    <w:basedOn w:val="DefaultParagraphFont"/>
    <w:link w:val="BalloonText"/>
    <w:rsid w:val="00B87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A32"/>
    <w:rPr>
      <w:b/>
      <w:color w:val="660033"/>
      <w:spacing w:val="0"/>
    </w:rPr>
  </w:style>
  <w:style w:type="paragraph" w:customStyle="1" w:styleId="Nameditemlist">
    <w:name w:val="Named item list"/>
    <w:basedOn w:val="BodyText"/>
    <w:qFormat/>
    <w:rsid w:val="00B87A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2979</Words>
  <Characters>19151</Characters>
  <Application>Microsoft Office Word</Application>
  <DocSecurity>0</DocSecurity>
  <Lines>771</Lines>
  <Paragraphs>292</Paragraphs>
  <ScaleCrop>false</ScaleCrop>
  <Company>Author-it Software Corporation Ltd.</Company>
  <LinksUpToDate>false</LinksUpToDate>
  <CharactersWithSpaces>21900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UETTDRTS40A Test and maintain energy/revenue metering schemes</dc:title>
  <dc:subject>Approved</dc:subject>
  <dc:creator>E-OZ Training Standards</dc:creator>
  <cp:keywords>Release: 1</cp:keywords>
  <dc:description>Review Date: 12 April 2008</dc:description>
  <cp:lastModifiedBy>TPCMS</cp:lastModifiedBy>
  <cp:revision>3</cp:revision>
  <dcterms:created xsi:type="dcterms:W3CDTF">2013-10-25T05:59:00Z</dcterms:created>
  <dcterms:modified xsi:type="dcterms:W3CDTF">2013-10-25T05:59:00Z</dcterms:modified>
</cp:coreProperties>
</file>