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F72" w:rsidP="00982F72">
      <w:pPr>
        <w:pStyle w:val="Title"/>
      </w:pPr>
      <w:r>
        <w:fldChar w:fldCharType="begin"/>
      </w:r>
      <w:r>
        <w:instrText xml:space="preserve"> TITLE   \* MERGEFORMAT </w:instrText>
      </w:r>
      <w:r>
        <w:fldChar w:fldCharType="separate"/>
      </w:r>
      <w:r>
        <w:t>UETTDRTS38A Install and replace high voltage metering and associated equipment</w:t>
      </w:r>
      <w:r>
        <w:fldChar w:fldCharType="end"/>
      </w:r>
    </w:p>
    <w:p w:rsidR="00982F72" w:rsidP="00982F72">
      <w:pPr>
        <w:pStyle w:val="Version"/>
        <w:sectPr w:rsidSect="00757D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D27" w:rsidP="00757D27">
      <w:pPr>
        <w:pStyle w:val="SuperHeading"/>
      </w:pPr>
      <w:r w:rsidRPr="00757D27">
        <w:t>UETTDRTS38A Install and replace high voltage metering and associated equipment</w:t>
      </w:r>
    </w:p>
    <w:p w:rsidR="00000000" w:rsidRPr="00757D27" w:rsidP="00757D27">
      <w:pPr>
        <w:pStyle w:val="Heading1"/>
      </w:pPr>
      <w:bookmarkStart w:id="1" w:name="O_464769"/>
      <w:bookmarkEnd w:id="1"/>
      <w:r w:rsidRPr="00757D27">
        <w:t>Modification History</w:t>
      </w:r>
    </w:p>
    <w:p w:rsidR="00000000" w:rsidRPr="00757D27" w:rsidP="00757D27">
      <w:pPr>
        <w:pStyle w:val="BodyText"/>
      </w:pPr>
      <w:r w:rsidRPr="00757D27">
        <w:t>Not applicable.</w:t>
      </w:r>
    </w:p>
    <w:p w:rsidR="00000000" w:rsidRPr="00757D27" w:rsidP="00757D27">
      <w:pPr>
        <w:pStyle w:val="AllowPageBreak"/>
      </w:pPr>
    </w:p>
    <w:p w:rsidR="00000000" w:rsidRPr="00757D27" w:rsidP="00757D27">
      <w:pPr>
        <w:pStyle w:val="Heading1"/>
      </w:pPr>
      <w:bookmarkStart w:id="2" w:name="O_464767"/>
      <w:bookmarkEnd w:id="2"/>
      <w:r w:rsidRPr="00757D27">
        <w:t>Unit Descriptor</w:t>
      </w:r>
    </w:p>
    <w:tbl>
      <w:tblPr>
        <w:tblW w:w="0" w:type="auto"/>
        <w:tblLayout w:type="fixed"/>
        <w:tblCellMar>
          <w:left w:w="62" w:type="dxa"/>
          <w:right w:w="62" w:type="dxa"/>
        </w:tblCellMar>
        <w:tblLook w:val="0000"/>
      </w:tblPr>
      <w:tblGrid>
        <w:gridCol w:w="2700"/>
        <w:gridCol w:w="5760"/>
      </w:tblGrid>
      <w:tr w:rsidTr="00982F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1)</w:t>
            </w:r>
            <w:r w:rsidRPr="00757D27">
              <w:t xml:space="preserve"> </w:t>
            </w:r>
            <w:r w:rsidRPr="00757D27">
              <w:rPr>
                <w:rStyle w:val="SpecialBold"/>
              </w:rPr>
              <w:t>Scope:</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7D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1.1) Descriptor</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This Competency Standard Unit covers the installation and replacement of high voltage metering and associated equipment. Replacement may include the identification of faults in accordance with established procedures and return to service. It includes the r</w:t>
            </w:r>
            <w:r w:rsidRPr="00757D27">
              <w:t>equirements to ascertain if normal functions of the meters and associated equipment are in accordance with operating standards.</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3" w:name="O_464756"/>
      <w:bookmarkEnd w:id="3"/>
      <w:r w:rsidRPr="00757D27">
        <w:t>Application of the Unit</w:t>
      </w:r>
    </w:p>
    <w:tbl>
      <w:tblPr>
        <w:tblW w:w="0" w:type="auto"/>
        <w:tblLayout w:type="fixed"/>
        <w:tblCellMar>
          <w:left w:w="62" w:type="dxa"/>
          <w:right w:w="62" w:type="dxa"/>
        </w:tblCellMar>
        <w:tblLook w:val="0000"/>
      </w:tblPr>
      <w:tblGrid>
        <w:gridCol w:w="2672"/>
        <w:gridCol w:w="5699"/>
      </w:tblGrid>
      <w:tr w:rsidTr="00982F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2)</w:t>
            </w:r>
          </w:p>
        </w:tc>
      </w:tr>
      <w:tr w:rsidTr="00982F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This competency standard is suitable for employment-based programs under an approved contract of training at the AQF level of the qualification in which the unit is first packaged or higher.</w:t>
            </w:r>
          </w:p>
          <w:p w:rsidR="00000000" w:rsidRPr="00757D27" w:rsidP="00757D27">
            <w:pPr>
              <w:pStyle w:val="BodyText"/>
            </w:pPr>
            <w:r w:rsidRPr="00757D27">
              <w:t>The unit may be selected as an elective from the relevant schedul</w:t>
            </w:r>
            <w:r w:rsidRPr="00757D27">
              <w:t>e (see qualification packaging rules) provided that all prerequisite units are undertaken or addressed through recognition processes.</w:t>
            </w:r>
          </w:p>
          <w:p w:rsidR="00000000" w:rsidRPr="00757D27" w:rsidP="00757D27">
            <w:pPr>
              <w:pStyle w:val="BodyText"/>
            </w:pPr>
            <w:r w:rsidRPr="00757D27">
              <w:t>This unit may be included in a skill set provided that it is listed in the schedule of electives (see Qualification Framew</w:t>
            </w:r>
            <w:r w:rsidRPr="00757D27">
              <w:t>ork) and all prerequisite units are undertaken or addressed through recognition processes.</w:t>
            </w:r>
          </w:p>
          <w:p w:rsidR="00000000" w:rsidRPr="00757D27" w:rsidP="00757D27">
            <w:pPr>
              <w:pStyle w:val="BodyText"/>
            </w:pPr>
            <w:r w:rsidRPr="00757D27">
              <w:t>Delivery and assessment of this unit should be undertaken within regard to the requirements of License to Practice (1.2 above), Prerequisite Competencies and Literac</w:t>
            </w:r>
            <w:r w:rsidRPr="00757D27">
              <w:t xml:space="preserve">y and Numeracy skills (2 above) and the recommendations for concurrent assessment and </w:t>
            </w:r>
            <w:r w:rsidRPr="00757D27">
              <w:t>relationship with other units (9.5 below).</w:t>
            </w:r>
          </w:p>
          <w:p w:rsidR="00000000" w:rsidRPr="00757D27" w:rsidP="00757D27">
            <w:pPr>
              <w:pStyle w:val="BodyText"/>
            </w:pPr>
            <w:r w:rsidRPr="00757D27">
              <w:t>Practice in the workplace and during training is also subject to regulations directly related to occupational health and safety</w:t>
            </w:r>
            <w:r w:rsidRPr="00757D27">
              <w:t xml:space="preserve"> and where applicable contracts of training such as apprenticeships.</w:t>
            </w:r>
          </w:p>
          <w:p w:rsidR="00000000" w:rsidRPr="00757D27" w:rsidP="00757D27">
            <w:pPr>
              <w:pStyle w:val="BodyText"/>
            </w:pPr>
            <w:r w:rsidRPr="00757D27">
              <w:t>Note:</w:t>
            </w:r>
          </w:p>
          <w:p w:rsidR="00000000" w:rsidRPr="00757D27" w:rsidP="00757D27">
            <w:pPr>
              <w:pStyle w:val="BodyText"/>
            </w:pPr>
            <w:r w:rsidRPr="00757D27">
              <w:t>1. Compliance with permits may be required in various jurisdictions and typically relates to the operation of plant, machinery and equipment such as elevating work platforms, powder</w:t>
            </w:r>
            <w:r w:rsidRPr="00757D27">
              <w:t xml:space="preserve"> operated fixing tools, power operated tools, vehicles, road signage and traffic control and lifting equipment. Permits may also be required for some work environments such as confined spaces, working aloft, near live electrical apparatus and site rehabili</w:t>
            </w:r>
            <w:r w:rsidRPr="00757D27">
              <w:t>tation.</w:t>
            </w:r>
          </w:p>
          <w:p w:rsidR="00000000" w:rsidRPr="00757D27" w:rsidP="00757D27">
            <w:pPr>
              <w:pStyle w:val="BodyText"/>
            </w:pPr>
            <w:r w:rsidRPr="00757D27">
              <w:t>2. Compliance may be required in various jurisdictions relating to currency in First Aid, confined space, lifting, risk safety measures etc.</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4" w:name="O_464763"/>
      <w:bookmarkEnd w:id="4"/>
      <w:r w:rsidRPr="00757D27">
        <w:t>Licensing/Regulatory Information</w:t>
      </w:r>
    </w:p>
    <w:tbl>
      <w:tblPr>
        <w:tblW w:w="0" w:type="auto"/>
        <w:tblLayout w:type="fixed"/>
        <w:tblCellMar>
          <w:left w:w="62" w:type="dxa"/>
          <w:right w:w="62" w:type="dxa"/>
        </w:tblCellMar>
        <w:tblLook w:val="0000"/>
      </w:tblPr>
      <w:tblGrid>
        <w:gridCol w:w="2700"/>
        <w:gridCol w:w="5760"/>
      </w:tblGrid>
      <w:tr w:rsidTr="00982F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 xml:space="preserve">3) </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The skills and knowledge described in this unit requires a licence/registration to practice in the work place subject to regulations for undertaking of electrical work. Practice in workplace and during training is also subject to regulations directly relat</w:t>
            </w:r>
            <w:r w:rsidRPr="00757D27">
              <w:t>ed to Occupational Health and Safety, electricity/telecommunications/gas/water industry safety and compliance, industrial relations, environmental protection, anti discrimination and training. Commonwealth, State/Territory or Local Government legislation a</w:t>
            </w:r>
            <w:r w:rsidRPr="00757D27">
              <w:t>nd regulations may exist that limits the age of operating certain equipment.</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5" w:name="O_464764"/>
      <w:bookmarkEnd w:id="5"/>
      <w:r w:rsidRPr="00757D27">
        <w:t>Pre-Requisites</w:t>
      </w:r>
    </w:p>
    <w:tbl>
      <w:tblPr>
        <w:tblW w:w="0" w:type="auto"/>
        <w:tblLayout w:type="fixed"/>
        <w:tblCellMar>
          <w:left w:w="62" w:type="dxa"/>
          <w:right w:w="62" w:type="dxa"/>
        </w:tblCellMar>
        <w:tblLook w:val="0000"/>
      </w:tblPr>
      <w:tblGrid>
        <w:gridCol w:w="2700"/>
        <w:gridCol w:w="1980"/>
        <w:gridCol w:w="3780"/>
      </w:tblGrid>
      <w:tr w:rsidTr="00982F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 xml:space="preserve">4) </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4.1)</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Granting of competency in this unit shall be made only after competency in the following unit(s) has/have been confirmed.</w:t>
            </w:r>
          </w:p>
          <w:p w:rsidR="00000000" w:rsidRPr="00757D27" w:rsidP="00757D27">
            <w:pPr>
              <w:pStyle w:val="BodyText"/>
            </w:pPr>
            <w:r w:rsidRPr="00757D27">
              <w:t xml:space="preserve">Where pre-requisite pathways have been identified. All competencies in the Common Unit Group must be have been completed plus all the </w:t>
            </w:r>
            <w:r w:rsidRPr="00757D27">
              <w:t>competencies in one (1) of the identified Pathway Unit Group(s):</w:t>
            </w:r>
          </w:p>
          <w:p w:rsidR="00000000" w:rsidP="00757D27">
            <w:pPr>
              <w:pStyle w:val="BodyText"/>
              <w:rPr>
                <w:lang w:val="en-NZ"/>
              </w:rPr>
            </w:pPr>
            <w:r w:rsidRPr="00757D27">
              <w:t>Common Unit Group</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Unit Code</w:t>
            </w:r>
          </w:p>
        </w:tc>
        <w:tc>
          <w:tcPr>
            <w:tcW w:w="378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Unit Title</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Apply Occupational Health and Safety regulations, codes and practices in the workplace</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Fabricate, assemble and dismantle utilities industry components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Solve problems in d.c.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Fix and secure electrotechnology equipment</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Use drawings, diagrams, schedules, standards, codes and specifications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UEENEEE137A</w:t>
            </w:r>
          </w:p>
        </w:tc>
        <w:tc>
          <w:tcPr>
            <w:tcW w:w="378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Document and apply measures to control OHS risks associated with electrotechnology work</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Solve problems in single and three phase low voltage machines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Solve problems in single and three phase low voltage electrical ap</w:t>
            </w:r>
            <w:r w:rsidRPr="00757D27">
              <w:t>paratus and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Arrange circuits, control and protection for general electrical installations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UEENEEG076A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Install and replace low voltage current transformer metering</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Solve problems in electromagnetic devices and related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Solve problems in electromagnetic devices and related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Install low voltage wiring and accessories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Install appliances, switchgear and associated</w:t>
            </w:r>
            <w:r w:rsidRPr="00757D27">
              <w:t xml:space="preserve"> accessories for low voltage electrical installations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RPr="00757D27" w:rsidP="00757D27">
            <w:pPr>
              <w:pStyle w:val="BodyText"/>
            </w:pPr>
            <w:r w:rsidRPr="00757D27">
              <w:t>UEENEEG105A</w:t>
            </w:r>
          </w:p>
        </w:tc>
        <w:tc>
          <w:tcPr>
            <w:tcW w:w="378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656"/>
            </w:tblGrid>
            <w:tr>
              <w:tblPrEx>
                <w:tblW w:w="0" w:type="auto"/>
                <w:tblLayout w:type="fixed"/>
                <w:tblCellMar>
                  <w:left w:w="62" w:type="dxa"/>
                  <w:right w:w="62" w:type="dxa"/>
                </w:tblCellMar>
                <w:tblLook w:val="0000"/>
              </w:tblPrEx>
              <w:tc>
                <w:tcPr>
                  <w:tcW w:w="3656" w:type="dxa"/>
                  <w:shd w:val="clear" w:color="auto" w:fill="FFFFFF"/>
                  <w:tcMar>
                    <w:top w:w="0" w:type="dxa"/>
                    <w:left w:w="62" w:type="dxa"/>
                    <w:bottom w:w="0" w:type="dxa"/>
                    <w:right w:w="62" w:type="dxa"/>
                  </w:tcMar>
                </w:tcPr>
                <w:p w:rsidR="00000000" w:rsidRPr="00757D27" w:rsidP="00757D27">
                  <w:pPr>
                    <w:pStyle w:val="BodyText"/>
                  </w:pPr>
                  <w:r w:rsidRPr="00757D27">
                    <w:t>Verify compliance and functionality of low voltage general electrical installations</w:t>
                  </w:r>
                </w:p>
              </w:tc>
            </w:tr>
          </w:tbl>
          <w:p w:rsidR="00000000" w:rsidP="00757D27">
            <w:pPr>
              <w:pStyle w:val="BodyText"/>
              <w:rPr>
                <w:lang w:val="en-NZ"/>
              </w:rPr>
            </w:pP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Terminate cables, cords and accessories for low voltage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Select wiring systems and cables for low voltage general electrical installations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Trouble-shoot and repair faults in low voltage electrical apparatus and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Develop and connect electrical control circuits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Ins</w:t>
            </w:r>
            <w:r w:rsidRPr="00757D27">
              <w:t>tall, set up and commission interval metering</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Apply sustainable energy and environmental procedures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Working safely near live electrical apparatus</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57D27">
            <w:pPr>
              <w:pStyle w:val="BodyText"/>
              <w:rPr>
                <w:lang w:val="en-NZ"/>
              </w:rPr>
            </w:pPr>
            <w:r w:rsidRPr="00757D27">
              <w:t>UETTDRTS37A</w:t>
            </w:r>
          </w:p>
        </w:tc>
        <w:tc>
          <w:tcPr>
            <w:tcW w:w="3780" w:type="dxa"/>
            <w:tcBorders>
              <w:top w:val="nil"/>
              <w:left w:val="nil"/>
              <w:bottom w:val="nil"/>
              <w:right w:val="nil"/>
            </w:tcBorders>
            <w:tcMar>
              <w:top w:w="0" w:type="dxa"/>
              <w:left w:w="62" w:type="dxa"/>
              <w:bottom w:w="0" w:type="dxa"/>
              <w:right w:w="62" w:type="dxa"/>
            </w:tcMar>
            <w:vAlign w:val="center"/>
          </w:tcPr>
          <w:p w:rsidR="00000000" w:rsidRPr="00757D27" w:rsidP="00757D27">
            <w:pPr>
              <w:pStyle w:val="BodyText"/>
            </w:pPr>
            <w:r w:rsidRPr="00757D27">
              <w:t>Perform current injection testing using phantom load</w:t>
            </w:r>
          </w:p>
        </w:tc>
      </w:tr>
    </w:tbl>
    <w:p w:rsidR="00000000" w:rsidRPr="00757D27" w:rsidP="00757D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82F7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 xml:space="preserve">4.2) </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Participants are best equipped to achieve this unit if they have reading, writing and numeracy skills indicated by the following scales. Description of each scale is given in Volume 2, Part 3 “Literacy and Numeracy</w:t>
            </w:r>
            <w:r w:rsidRPr="00757D27">
              <w:t>”</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Reading</w:t>
            </w:r>
          </w:p>
        </w:tc>
        <w:tc>
          <w:tcPr>
            <w:tcW w:w="81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5</w:t>
            </w:r>
          </w:p>
        </w:tc>
        <w:tc>
          <w:tcPr>
            <w:tcW w:w="99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Writing</w:t>
            </w:r>
          </w:p>
        </w:tc>
        <w:tc>
          <w:tcPr>
            <w:tcW w:w="90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5</w:t>
            </w:r>
          </w:p>
        </w:tc>
        <w:tc>
          <w:tcPr>
            <w:tcW w:w="12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Numeracy</w:t>
            </w:r>
          </w:p>
        </w:tc>
        <w:tc>
          <w:tcPr>
            <w:tcW w:w="72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5</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6" w:name="O_464760"/>
      <w:bookmarkEnd w:id="6"/>
      <w:r w:rsidRPr="00757D27">
        <w:t>Employability Skills Information</w:t>
      </w:r>
    </w:p>
    <w:tbl>
      <w:tblPr>
        <w:tblW w:w="0" w:type="auto"/>
        <w:tblLayout w:type="fixed"/>
        <w:tblCellMar>
          <w:left w:w="62" w:type="dxa"/>
          <w:right w:w="62" w:type="dxa"/>
        </w:tblCellMar>
        <w:tblLook w:val="0000"/>
      </w:tblPr>
      <w:tblGrid>
        <w:gridCol w:w="2700"/>
        <w:gridCol w:w="5760"/>
      </w:tblGrid>
      <w:tr w:rsidTr="00982F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 xml:space="preserve">5) </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The required outcomes described in this unit of competency contain applicable facets of Employability Skills</w:t>
            </w:r>
            <w:r w:rsidRPr="00757D27">
              <w:t>. The Employability Skills Summary of the qualification in which this unit of competency is packaged will assist in identifying Employability Skill requirements.</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7" w:name="O_464759"/>
      <w:bookmarkEnd w:id="7"/>
      <w:r w:rsidRPr="00757D27">
        <w:t>Elements and Performance Criteria Pre-Content</w:t>
      </w:r>
    </w:p>
    <w:tbl>
      <w:tblPr>
        <w:tblW w:w="0" w:type="auto"/>
        <w:tblLayout w:type="fixed"/>
        <w:tblCellMar>
          <w:left w:w="62" w:type="dxa"/>
          <w:right w:w="62" w:type="dxa"/>
        </w:tblCellMar>
        <w:tblLook w:val="0000"/>
      </w:tblPr>
      <w:tblGrid>
        <w:gridCol w:w="2700"/>
        <w:gridCol w:w="5760"/>
      </w:tblGrid>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6)</w:t>
            </w:r>
            <w:r w:rsidRPr="00757D2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Performance Criteria describe the required performance needed to demonstrate achievement of the element. Assessment of performance is to be consistent with the Evidence Guide.</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8" w:name="O_464758"/>
      <w:bookmarkEnd w:id="8"/>
      <w:r w:rsidRPr="00757D27">
        <w:t>Elements and Performance Criteria</w:t>
      </w:r>
    </w:p>
    <w:tbl>
      <w:tblPr>
        <w:tblW w:w="0" w:type="auto"/>
        <w:tblLayout w:type="fixed"/>
        <w:tblCellMar>
          <w:left w:w="62" w:type="dxa"/>
          <w:right w:w="62" w:type="dxa"/>
        </w:tblCellMar>
        <w:tblLook w:val="0000"/>
      </w:tblPr>
      <w:tblGrid>
        <w:gridCol w:w="407"/>
        <w:gridCol w:w="2293"/>
        <w:gridCol w:w="14"/>
        <w:gridCol w:w="817"/>
        <w:gridCol w:w="4929"/>
      </w:tblGrid>
      <w:tr w:rsidTr="00982F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PERFORMANCE CRITERIA</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w:t>
            </w:r>
          </w:p>
        </w:tc>
        <w:tc>
          <w:tcPr>
            <w:tcW w:w="2307" w:type="dxa"/>
            <w:gridSpan w:val="2"/>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Plan for the installation and replacement of high voltage metering and associated equipment</w:t>
            </w:r>
          </w:p>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1.1</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OHS practices/procedures and environmental and sustainable energy procedures, which may influence the installation and replacement of high voltage metering and associated equipment are reviewed and determined.</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1.2</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Purpose of the installation and replace</w:t>
            </w:r>
            <w:r w:rsidRPr="00757D27">
              <w:t>ment of high voltage metering and associated equipment is established after data is analysed and expected outcomes of the work are confirmed with the appropriate personnel.</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1.3</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Organisational established procedures, policies and specifications for the installation and replacement of high voltage metering and associated equipment are obtained or established with the appropriate personnel.</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1.4</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Installation and replacement of hig</w:t>
            </w:r>
            <w:r w:rsidRPr="00757D27">
              <w:t>h voltage metering and associated equipment procedures are discussed with/directed to the appropriate personnel in order to ascertain the project brief.</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1.5</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Installation and replacement parameters are established from organisational established procedur</w:t>
            </w:r>
            <w:r w:rsidRPr="00757D27">
              <w:t>es, policies and specifications.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1.6</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Equipment/tools and personal protective equipment is selected based on specified Performance Criteria and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1.7</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Work roles and tasks are allocated according to requirements and individuals’ c</w:t>
            </w:r>
            <w:r w:rsidRPr="00757D27">
              <w:t>ompetencies.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1.8</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Work is prioritised and sequenced for the most efficient/effective outcome, completed within an acceptable timeframe to a quality standard and in accordance with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1.9</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Liaison and communication issues with other/authorised personnel, authorities, clients, customers are resolved and activities coordinated to carry out work.</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1.10</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Risk control measures are identified, prioritised and evaluated against the work schedule.</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1.11</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Relevant internal and external work permits are obtained to coordinate the performance of work according to requirements and/or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w:t>
            </w:r>
          </w:p>
        </w:tc>
        <w:tc>
          <w:tcPr>
            <w:tcW w:w="2307" w:type="dxa"/>
            <w:gridSpan w:val="2"/>
            <w:vMerge w:val="restart"/>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Carry out the installation and replacement of high voltage metering and associated equipment</w:t>
            </w: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2.1</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OHS and sustainable energy principles, functionality and practices to prevent accidents and minimise waste are incorporated into the project in accordance with requirements and/or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2.2</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Installation and replacement of high volt</w:t>
            </w:r>
            <w:r w:rsidRPr="00757D27">
              <w:t>age metering and associated equipment decisions are made on the basis of safety and effective outcomes according to requirements and/or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2.3</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 xml:space="preserve">Technical advice is given regarding potential hazards, safety risks and control measures </w:t>
            </w:r>
            <w:r w:rsidRPr="00757D27">
              <w:t>so that monitoring and preventative action can be undertaken and/or appropriate authorities consulted, where necessary, in accordance with requirements and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2.6</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Essential knowledge and associated skills are applied to analyse specific data and compare it with compliance specifications to ensure completion of the project within an agreed timeframe according to requirements.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2.7</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Installation and replacement of hi</w:t>
            </w:r>
            <w:r w:rsidRPr="00757D27">
              <w:t>gh voltage metering and associated equipment is undertaken according to requirements and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2.8</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Work teams/groups are arranged/coordinated/evaluated to ensure planned goals are met according to established procedures.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2.9</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Solutio</w:t>
            </w:r>
            <w:r w:rsidRPr="00757D27">
              <w:t>ns to non-routine problems are identified and actioned, using essential knowledge and associated skills, according to requirements.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2.10</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Quality of work is monitored against personal performance agreement and/or established organisational and professional standards.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3</w:t>
            </w:r>
          </w:p>
        </w:tc>
        <w:tc>
          <w:tcPr>
            <w:tcW w:w="2307" w:type="dxa"/>
            <w:gridSpan w:val="2"/>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Complete the installation and replacement of high voltage metering and associated equipment</w:t>
            </w: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3.1</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Final inspections of the in</w:t>
            </w:r>
            <w:r w:rsidRPr="00757D27">
              <w:t>stallation and replacement of high voltage metering and associated equipment are undertaken to ensure they comply with all requirements and include all specifications and documents needed to complete the project.</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3.2</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Appropriate internal/external person</w:t>
            </w:r>
            <w:r w:rsidRPr="00757D27">
              <w:t>nel are notified of completion and reports and/or completion documents are finalised/commissioned according to established procedures and timeframes.</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3.3</w:t>
            </w:r>
          </w:p>
        </w:tc>
        <w:tc>
          <w:tcPr>
            <w:tcW w:w="4929"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 xml:space="preserve">Reports and/or completion documents are submitted to relevant personnel/organisations for approval </w:t>
            </w:r>
            <w:r w:rsidRPr="00757D27">
              <w:t>and, where applicable, statutory or regulatory approval.</w:t>
            </w:r>
          </w:p>
        </w:tc>
      </w:tr>
      <w:tr w:rsidTr="00982F7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t>3.4</w:t>
            </w:r>
          </w:p>
        </w:tc>
        <w:tc>
          <w:tcPr>
            <w:tcW w:w="4929"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Approved copies of the installation and replacement of high voltage metering and associated equipment documents are issued and records are updated in accordance with established procedures.</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9" w:name="O_464766"/>
      <w:bookmarkEnd w:id="9"/>
      <w:r w:rsidRPr="00757D27">
        <w:t>Required Skills and Knowledge</w:t>
      </w:r>
    </w:p>
    <w:tbl>
      <w:tblPr>
        <w:tblW w:w="0" w:type="auto"/>
        <w:tblLayout w:type="fixed"/>
        <w:tblCellMar>
          <w:left w:w="62" w:type="dxa"/>
          <w:right w:w="62" w:type="dxa"/>
        </w:tblCellMar>
        <w:tblLook w:val="0000"/>
      </w:tblPr>
      <w:tblGrid>
        <w:gridCol w:w="8460"/>
      </w:tblGrid>
      <w:tr w:rsidTr="00982F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REQUIRED SKILLS AND KNOWLEDGE</w:t>
            </w:r>
          </w:p>
        </w:tc>
      </w:tr>
      <w:tr w:rsidTr="00982F7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8)</w:t>
            </w:r>
            <w:r w:rsidRPr="00757D27">
              <w:t xml:space="preserve"> Essential Knowledge and Associated Skills (EKAS): This describes the essential skills and knowledge and their level, required for this unit.</w:t>
            </w:r>
          </w:p>
          <w:p w:rsidR="00000000" w:rsidRPr="00757D27" w:rsidP="00757D27">
            <w:pPr>
              <w:pStyle w:val="BodyText"/>
            </w:pPr>
            <w:r w:rsidRPr="00757D27">
              <w:t>Evidence shall show that knowledge</w:t>
            </w:r>
            <w:r w:rsidRPr="00757D27">
              <w:t xml:space="preserve"> has been acquired of installation and replacement of high voltage metering and associated equipment.</w:t>
            </w:r>
          </w:p>
          <w:p w:rsidR="00000000" w:rsidRPr="00757D27" w:rsidP="00757D27">
            <w:pPr>
              <w:pStyle w:val="BodyText"/>
            </w:pPr>
            <w:r w:rsidRPr="00757D27">
              <w:t>All knowledge and skills detailed in this unit should be contextualised to current industry practices and technologies.</w:t>
            </w:r>
          </w:p>
          <w:p w:rsidR="00000000" w:rsidRPr="00757D27" w:rsidP="00757D27">
            <w:pPr>
              <w:pStyle w:val="BodyText"/>
            </w:pPr>
            <w:r w:rsidRPr="00757D27">
              <w:t xml:space="preserve">KS01-TTS38A </w:t>
            </w:r>
            <w:r w:rsidRPr="00757D27">
              <w:tab/>
              <w:t>HV metering and assoc</w:t>
            </w:r>
            <w:r w:rsidRPr="00757D27">
              <w:t>iated equipment used in a regulated energy market</w:t>
            </w:r>
          </w:p>
          <w:p w:rsidR="00000000" w:rsidRPr="00757D27" w:rsidP="00757D27">
            <w:pPr>
              <w:pStyle w:val="BodyText"/>
            </w:pPr>
            <w:r w:rsidRPr="00757D27">
              <w:t xml:space="preserve">Evidence shall show an understanding of the installation and replacement of high voltage metering and associated equipment in a regulated energy market to an extent indicated by the following aspects: </w:t>
            </w:r>
          </w:p>
          <w:p w:rsidR="00000000" w:rsidRPr="00757D27" w:rsidP="00757D27">
            <w:pPr>
              <w:pStyle w:val="BodyText"/>
            </w:pPr>
            <w:r w:rsidRPr="00757D27">
              <w:t>T1</w:t>
            </w:r>
            <w:r w:rsidRPr="00757D27">
              <w:tab/>
              <w:t>A</w:t>
            </w:r>
            <w:r w:rsidRPr="00757D27">
              <w:t>ssociated equipment may include: fuses, CT’s, VT’s, test block, ct chamber, marshalling kiosk, wiring,  voltage fail relays, sealing equipment, terminals, links, modems, communications equipment, direct current supplies, aerials, optical isolation equipmen</w:t>
            </w:r>
            <w:r w:rsidRPr="00757D27">
              <w:t>t, fibre optics, solid state recorders, pulse repeat relays, pulsing outputs, energy/distribution management systems, communication interface modules, alarms</w:t>
            </w:r>
          </w:p>
          <w:p w:rsidR="00000000" w:rsidRPr="00757D27" w:rsidP="00757D27">
            <w:pPr>
              <w:pStyle w:val="BodyText"/>
            </w:pPr>
            <w:r w:rsidRPr="00757D27">
              <w:t>T2</w:t>
            </w:r>
            <w:r w:rsidRPr="00757D27">
              <w:tab/>
              <w:t xml:space="preserve">Selection of suitable equipment to meet site requirements and other requirements as prescribed </w:t>
            </w:r>
            <w:r w:rsidRPr="00757D27">
              <w:t xml:space="preserve">by the Regulated Energy Market Rules </w:t>
            </w:r>
          </w:p>
          <w:p w:rsidR="00000000" w:rsidRPr="00757D27" w:rsidP="00757D27">
            <w:pPr>
              <w:pStyle w:val="BodyText"/>
            </w:pPr>
            <w:r w:rsidRPr="00757D27">
              <w:t>T3</w:t>
            </w:r>
            <w:r w:rsidRPr="00757D27">
              <w:tab/>
              <w:t>Communicating as required with market participants, including Meter Data Provider, Responsible Person</w:t>
            </w:r>
          </w:p>
          <w:p w:rsidR="00000000" w:rsidRPr="00757D27" w:rsidP="00757D27">
            <w:pPr>
              <w:pStyle w:val="BodyText"/>
            </w:pPr>
            <w:r w:rsidRPr="00757D27">
              <w:t>T4</w:t>
            </w:r>
            <w:r w:rsidRPr="00757D27">
              <w:tab/>
              <w:t xml:space="preserve">Meter storage, handling and disposal processes in accordance with enterprise policies and procedures </w:t>
            </w:r>
          </w:p>
          <w:p w:rsidR="00000000" w:rsidRPr="00757D27" w:rsidP="00757D27">
            <w:pPr>
              <w:pStyle w:val="BodyText"/>
            </w:pPr>
            <w:r w:rsidRPr="00757D27">
              <w:t>T5</w:t>
            </w:r>
            <w:r w:rsidRPr="00757D27">
              <w:tab/>
            </w:r>
            <w:r w:rsidRPr="00757D27">
              <w:t>Awareness of jurisdictional rules and requirements to allow work to be performed in Local Network Service Provider areas</w:t>
            </w:r>
          </w:p>
          <w:p w:rsidR="00000000" w:rsidRPr="00757D27" w:rsidP="00757D27">
            <w:pPr>
              <w:pStyle w:val="BodyText"/>
            </w:pPr>
            <w:r w:rsidRPr="00757D27">
              <w:t>T6</w:t>
            </w:r>
            <w:r w:rsidRPr="00757D27">
              <w:tab/>
              <w:t>Standards, Codes, Commonwealth/State/Territory legislation, supply authority regulations and or enterprise requirements associated w</w:t>
            </w:r>
            <w:r w:rsidRPr="00757D27">
              <w:t>ith the installation and replacement of high voltage metering and associated equipment procedures</w:t>
            </w:r>
          </w:p>
          <w:p w:rsidR="00000000" w:rsidRPr="00757D27" w:rsidP="00757D27">
            <w:pPr>
              <w:pStyle w:val="BodyText"/>
            </w:pPr>
            <w:r w:rsidRPr="00757D27">
              <w:t>T7</w:t>
            </w:r>
            <w:r w:rsidRPr="00757D27">
              <w:tab/>
              <w:t xml:space="preserve">Use of enterprise and or manufacturers manuals, system diagrams/plans and drawings and other related documentation for the installation and replacement of </w:t>
            </w:r>
            <w:r w:rsidRPr="00757D27">
              <w:t>high voltage metering and associated equipment</w:t>
            </w:r>
          </w:p>
          <w:p w:rsidR="00000000" w:rsidRPr="00757D27" w:rsidP="00757D27">
            <w:pPr>
              <w:pStyle w:val="BodyText"/>
            </w:pPr>
            <w:r w:rsidRPr="00757D27">
              <w:t>T8</w:t>
            </w:r>
            <w:r w:rsidRPr="00757D27">
              <w:tab/>
              <w:t>Work in accordance with the enterprises’ safe systems of work</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10" w:name="O_464761"/>
      <w:bookmarkEnd w:id="10"/>
      <w:r w:rsidRPr="00757D27">
        <w:t>Evidence Guide</w:t>
      </w:r>
    </w:p>
    <w:tbl>
      <w:tblPr>
        <w:tblW w:w="0" w:type="auto"/>
        <w:tblLayout w:type="fixed"/>
        <w:tblCellMar>
          <w:left w:w="62" w:type="dxa"/>
          <w:right w:w="62" w:type="dxa"/>
        </w:tblCellMar>
        <w:tblLook w:val="0000"/>
      </w:tblPr>
      <w:tblGrid>
        <w:gridCol w:w="8460"/>
      </w:tblGrid>
      <w:tr w:rsidTr="00982F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EVIDENCE GUIDE</w:t>
            </w:r>
          </w:p>
        </w:tc>
      </w:tr>
      <w:tr w:rsidTr="00982F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9)</w:t>
            </w:r>
            <w:r w:rsidRPr="00757D27">
              <w:t xml:space="preserve"> This provides essential advice for assessment of the unit of competency and must be read in</w:t>
            </w:r>
            <w:r w:rsidRPr="00757D27">
              <w:t xml:space="preserve"> conjunction with the Performance Criteria and the Range Statement of the unit of competency and the Training Package Assessment Guidelines.</w:t>
            </w:r>
          </w:p>
          <w:p w:rsidR="00000000" w:rsidRPr="00757D27" w:rsidP="00757D27">
            <w:pPr>
              <w:pStyle w:val="BodyText"/>
            </w:pPr>
            <w:r w:rsidRPr="00757D27">
              <w:t>The Evidence Guide forms an integral part of this Competency Standard Unit and shall be used in conjunction with al</w:t>
            </w:r>
            <w:r w:rsidRPr="00757D27">
              <w:t>l component parts of this unit and, performed in accordance with the Assessment Guidelines of this Training Package.</w:t>
            </w:r>
          </w:p>
        </w:tc>
      </w:tr>
    </w:tbl>
    <w:p w:rsidR="00000000" w:rsidRPr="00757D27" w:rsidP="00757D27">
      <w:pPr>
        <w:pStyle w:val="BodyText"/>
      </w:pPr>
    </w:p>
    <w:tbl>
      <w:tblPr>
        <w:tblW w:w="0" w:type="auto"/>
        <w:tblLayout w:type="fixed"/>
        <w:tblCellMar>
          <w:left w:w="62" w:type="dxa"/>
          <w:right w:w="62" w:type="dxa"/>
        </w:tblCellMar>
        <w:tblLook w:val="0000"/>
      </w:tblPr>
      <w:tblGrid>
        <w:gridCol w:w="1890"/>
        <w:gridCol w:w="6570"/>
      </w:tblGrid>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9.1)</w:t>
            </w:r>
          </w:p>
        </w:tc>
      </w:tr>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Longitudinal competency development approaches to assessment, such as Profiling, require data to be reliably gathered in a form that can be consistently interpreted over time. This approach is best utilised in Apprenticeship programs and reduces assessment</w:t>
            </w:r>
            <w:r w:rsidRPr="00757D2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57D27">
              <w:t>tency in a realistically simulated work environment. It is recognised that, in some circumstances, assessment in part or full can occur outside the workplace. However, it must be in accord with Industry and, Regulatory policy in this regard.</w:t>
            </w:r>
          </w:p>
          <w:p w:rsidR="00000000" w:rsidRPr="00757D27" w:rsidP="00757D27">
            <w:pPr>
              <w:pStyle w:val="BodyText"/>
            </w:pPr>
            <w:r w:rsidRPr="00757D27">
              <w:t>Methods chosen</w:t>
            </w:r>
            <w:r w:rsidRPr="00757D2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57D27">
              <w:t>equired and the critical nature of the competencies being assessed.</w:t>
            </w:r>
          </w:p>
          <w:p w:rsidR="00000000" w:rsidRPr="00757D27" w:rsidP="00757D27">
            <w:pPr>
              <w:pStyle w:val="BodyText"/>
            </w:pPr>
            <w:r w:rsidRPr="00757D27">
              <w:t>The critical safety nature of working with electricity, electrical equipment, gas or any other hazardous substance/material carries risk in deeming a person competent. Hence, sources of ev</w:t>
            </w:r>
            <w:r w:rsidRPr="00757D27">
              <w:t>idence need to be ‘rich’ in nature so as to minimise error in judgment.</w:t>
            </w:r>
          </w:p>
          <w:p w:rsidR="00000000" w:rsidRPr="00757D27" w:rsidP="00757D27">
            <w:pPr>
              <w:pStyle w:val="BodyText"/>
            </w:pPr>
            <w:r w:rsidRPr="00757D27">
              <w:t>Activities associated with normal every day work have a bearing on the decision as to how much and how detailed the data gathered will contribute to its ‘richness’. Some skills are mor</w:t>
            </w:r>
            <w:r w:rsidRPr="00757D27">
              <w:t>e critical to safety and operational requirements while the same skills may be more or less frequently practiced. These points are raised for the assessors to consider when choosing an assessment method and developing assessment instruments. Sample assessm</w:t>
            </w:r>
            <w:r w:rsidRPr="00757D27">
              <w:t>ent instruments are included for Assessors in the Assessment Guidelines of this Training Package.</w:t>
            </w:r>
          </w:p>
        </w:tc>
      </w:tr>
    </w:tbl>
    <w:p w:rsidR="00000000" w:rsidRPr="00757D27" w:rsidP="00757D27">
      <w:pPr>
        <w:pStyle w:val="BodyText"/>
      </w:pPr>
    </w:p>
    <w:tbl>
      <w:tblPr>
        <w:tblW w:w="0" w:type="auto"/>
        <w:tblLayout w:type="fixed"/>
        <w:tblCellMar>
          <w:left w:w="62" w:type="dxa"/>
          <w:right w:w="62" w:type="dxa"/>
        </w:tblCellMar>
        <w:tblLook w:val="0000"/>
      </w:tblPr>
      <w:tblGrid>
        <w:gridCol w:w="1893"/>
        <w:gridCol w:w="717"/>
        <w:gridCol w:w="1260"/>
        <w:gridCol w:w="2160"/>
        <w:gridCol w:w="2433"/>
        <w:gridCol w:w="15"/>
      </w:tblGrid>
      <w:tr w:rsidTr="00982F72">
        <w:tblPrEx>
          <w:tblW w:w="0" w:type="auto"/>
          <w:tblLayout w:type="fixed"/>
          <w:tblCellMar>
            <w:left w:w="62" w:type="dxa"/>
            <w:right w:w="62" w:type="dxa"/>
          </w:tblCellMar>
          <w:tblLook w:val="0000"/>
        </w:tblPrEx>
        <w:trPr>
          <w:gridAfter w:val="1"/>
          <w:wAfter w:w="15" w:type="dxa"/>
        </w:trPr>
        <w:tc>
          <w:tcPr>
            <w:tcW w:w="1893"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9.2)</w:t>
            </w:r>
          </w:p>
        </w:tc>
      </w:tr>
      <w:tr w:rsidTr="00982F72">
        <w:tblPrEx>
          <w:tblW w:w="0" w:type="auto"/>
          <w:tblLayout w:type="fixed"/>
          <w:tblCellMar>
            <w:left w:w="62" w:type="dxa"/>
            <w:right w:w="62" w:type="dxa"/>
          </w:tblCellMar>
          <w:tblLook w:val="0000"/>
        </w:tblPrEx>
        <w:trPr>
          <w:gridAfter w:val="1"/>
          <w:wAfter w:w="15" w:type="dxa"/>
        </w:trPr>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Before the critical aspects of evidence are considered all prerequisites shall be met.</w:t>
            </w:r>
          </w:p>
          <w:p w:rsidR="00000000" w:rsidRPr="00757D27" w:rsidP="00757D27">
            <w:pPr>
              <w:pStyle w:val="BodyText"/>
            </w:pPr>
            <w:r w:rsidRPr="00757D27">
              <w:t>Evidence for competence in this unit shall be considered holistically. Each element and associated Performance Criteria shall be demonstrated on at least two occasions i</w:t>
            </w:r>
            <w:r w:rsidRPr="00757D27">
              <w:t>n accordance with the “Assessment Guidelines – UET12”. Evidence shall also comprise:</w:t>
            </w:r>
          </w:p>
          <w:p w:rsidR="00000000" w:rsidRPr="00757D27" w:rsidP="00757D27">
            <w:pPr>
              <w:pStyle w:val="ListBullet"/>
            </w:pPr>
            <w:r w:rsidRPr="00757D27">
              <w:t>A representative body of Performance Criteria demonstrated within the timeframes typically expected of the discipline, work function and industrial environment. In partic</w:t>
            </w:r>
            <w:r w:rsidRPr="00757D27">
              <w:t>ular this shall incorporate evidence that shows a candidate is able to:</w:t>
            </w:r>
          </w:p>
          <w:p w:rsidR="00000000" w:rsidRPr="00757D27" w:rsidP="00757D27">
            <w:pPr>
              <w:pStyle w:val="ListBullet2"/>
            </w:pPr>
            <w:r w:rsidRPr="00757D27">
              <w:t>Implement Occupational Health and Safety workplace procedures and practices including the use of risk control measures as specified in the Performance Criteria and range; and</w:t>
            </w:r>
          </w:p>
          <w:p w:rsidR="00000000" w:rsidRPr="00757D27" w:rsidP="00757D27">
            <w:pPr>
              <w:pStyle w:val="ListBullet2"/>
            </w:pPr>
            <w:r w:rsidRPr="00757D27">
              <w:t>Apply su</w:t>
            </w:r>
            <w:r w:rsidRPr="00757D27">
              <w:t>stainable energy principles and practices as specified in the Performance Criteria and range; and</w:t>
            </w:r>
          </w:p>
          <w:p w:rsidR="00000000" w:rsidRPr="00757D27" w:rsidP="00757D27">
            <w:pPr>
              <w:pStyle w:val="ListBullet2"/>
            </w:pPr>
            <w:r w:rsidRPr="00757D27">
              <w:t>Demonstrate an understanding of the essential knowledge and associated skills as described in this unit to such an extent that the learner’</w:t>
            </w:r>
            <w:r w:rsidRPr="00757D27">
              <w:t>s performance outcome is reported in accordance with the preferred approach; namely a percentile graded result, where required by the regulated environment; and</w:t>
            </w:r>
          </w:p>
          <w:p w:rsidR="00000000" w:rsidRPr="00757D27" w:rsidP="00757D27">
            <w:pPr>
              <w:pStyle w:val="ListBullet2"/>
            </w:pPr>
            <w:r w:rsidRPr="00757D27">
              <w:t>Demonstrate an appropriate level of employability skills; and</w:t>
            </w:r>
          </w:p>
          <w:p w:rsidR="00000000" w:rsidRPr="00757D27" w:rsidP="00757D27">
            <w:pPr>
              <w:pStyle w:val="ListBullet"/>
            </w:pPr>
            <w:r w:rsidRPr="00757D27">
              <w:t>Conduct work observing the relev</w:t>
            </w:r>
            <w:r w:rsidRPr="00757D27">
              <w:t>ant Anti discrimination legislation, regulations, policies and workplace procedures; and</w:t>
            </w:r>
          </w:p>
          <w:p w:rsidR="00000000" w:rsidP="00757D27">
            <w:pPr>
              <w:pStyle w:val="ListBullet2"/>
              <w:rPr>
                <w:lang w:val="en-NZ"/>
              </w:rPr>
            </w:pPr>
            <w:r w:rsidRPr="00757D27">
              <w:t>Demonstrated performance across a representative range of contexts from the prescribed items below:</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rsidRPr="00757D27">
            <w:pPr>
              <w:pStyle w:val="BodyText"/>
              <w:keepNext w:val="0"/>
              <w:keepLines w:val="0"/>
              <w:contextualSpacing w:val="0"/>
            </w:pPr>
          </w:p>
        </w:tc>
        <w:tc>
          <w:tcPr>
            <w:tcW w:w="5868"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rPr>
                <w:rStyle w:val="SpecialBold"/>
              </w:rPr>
              <w:t>Range of tools/equipment/m</w:t>
            </w:r>
            <w:r w:rsidRPr="00757D27">
              <w:rPr>
                <w:rStyle w:val="SpecialBold"/>
              </w:rPr>
              <w:t>aterials/procedures/workplaces/other variables</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rsidRPr="00757D2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D27" w:rsidP="00757D27">
            <w:pPr>
              <w:pStyle w:val="BodyText"/>
            </w:pPr>
            <w:r w:rsidRPr="00757D2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D27" w:rsidP="00757D27">
            <w:pPr>
              <w:pStyle w:val="BodyText"/>
            </w:pPr>
            <w:r w:rsidRPr="00757D27">
              <w:rPr>
                <w:rStyle w:val="SpecialBold"/>
              </w:rPr>
              <w:t>The minimum number of items on which skill is to be demonstrated</w:t>
            </w:r>
          </w:p>
        </w:tc>
        <w:tc>
          <w:tcPr>
            <w:tcW w:w="24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rPr>
                <w:rStyle w:val="SpecialBold"/>
              </w:rPr>
              <w:t>Item List</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Perform installation and replacement, on at least three (3) occasions, at least three (3) of the following:</w:t>
            </w:r>
          </w:p>
        </w:tc>
        <w:tc>
          <w:tcPr>
            <w:tcW w:w="24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D27" w:rsidP="00757D27">
            <w:pPr>
              <w:pStyle w:val="BodyText"/>
            </w:pPr>
            <w:r w:rsidRPr="00757D27">
              <w:t>High voltage metering schemes</w:t>
            </w:r>
          </w:p>
          <w:p w:rsidR="00000000" w:rsidRPr="00757D27" w:rsidP="00757D27">
            <w:pPr>
              <w:pStyle w:val="BodyText"/>
            </w:pPr>
            <w:r w:rsidRPr="00757D27">
              <w:t>High voltage zone substation metering schemes</w:t>
            </w:r>
          </w:p>
          <w:p w:rsidR="00000000" w:rsidRPr="00757D27" w:rsidP="00757D27">
            <w:pPr>
              <w:pStyle w:val="BodyText"/>
            </w:pPr>
            <w:r w:rsidRPr="00757D27">
              <w:t>High voltage bulk supply point metering schemes</w:t>
            </w:r>
          </w:p>
          <w:p w:rsidR="00000000" w:rsidP="00757D27">
            <w:pPr>
              <w:pStyle w:val="BodyText"/>
              <w:rPr>
                <w:lang w:val="en-NZ"/>
              </w:rPr>
            </w:pPr>
            <w:r w:rsidRPr="00757D27">
              <w:t>Low voltage summation metering schemes</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Perform, on at least three (3) occasions, the installation and replacement of the follow</w:t>
            </w:r>
            <w:r w:rsidRPr="00757D27">
              <w:t>ing:</w:t>
            </w:r>
          </w:p>
        </w:tc>
        <w:tc>
          <w:tcPr>
            <w:tcW w:w="24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D27" w:rsidP="00757D27">
            <w:pPr>
              <w:pStyle w:val="BodyText"/>
            </w:pPr>
            <w:r w:rsidRPr="00757D27">
              <w:t>High voltage current/voltage transformers (including return to service)</w:t>
            </w:r>
          </w:p>
          <w:p w:rsidR="00000000" w:rsidRPr="00757D27" w:rsidP="00757D27">
            <w:pPr>
              <w:pStyle w:val="BodyText"/>
            </w:pPr>
            <w:r w:rsidRPr="00757D27">
              <w:t>Energy meters</w:t>
            </w:r>
          </w:p>
          <w:p w:rsidR="00000000" w:rsidP="00757D27">
            <w:pPr>
              <w:pStyle w:val="BodyText"/>
              <w:rPr>
                <w:lang w:val="en-NZ"/>
              </w:rPr>
            </w:pPr>
            <w:r w:rsidRPr="00757D27">
              <w:t>Associated equipment</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Perform, on at least one (1) occasion, the following activity:</w:t>
            </w:r>
          </w:p>
        </w:tc>
        <w:tc>
          <w:tcPr>
            <w:tcW w:w="24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Installation or replacement of a typical High Voltage Bulk Supply Point metering scheme</w:t>
            </w:r>
          </w:p>
        </w:tc>
      </w:tr>
      <w:tr w:rsidTr="00982F72">
        <w:tblPrEx>
          <w:tblW w:w="0" w:type="auto"/>
          <w:tblLayout w:type="fixed"/>
          <w:tblCellMar>
            <w:left w:w="62" w:type="dxa"/>
            <w:right w:w="62" w:type="dxa"/>
          </w:tblCellMar>
          <w:tblLook w:val="0000"/>
        </w:tblPrEx>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D27">
            <w:pPr>
              <w:pStyle w:val="BodyText"/>
              <w:rPr>
                <w:lang w:val="en-NZ"/>
              </w:rPr>
            </w:pPr>
            <w:r w:rsidRPr="00757D27">
              <w:t>Demonstrate, on at least one (1) occasion, the following:</w:t>
            </w:r>
          </w:p>
        </w:tc>
        <w:tc>
          <w:tcPr>
            <w:tcW w:w="24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D27" w:rsidP="00757D27">
            <w:pPr>
              <w:pStyle w:val="BodyText"/>
            </w:pPr>
            <w:r w:rsidRPr="00757D27">
              <w:t>Dealing with an unplanned event by drawing on essential knowledge and associated skills to provide approp</w:t>
            </w:r>
            <w:r w:rsidRPr="00757D27">
              <w:t>riate solutions incorporated in the holistic assessment with the above listed items.</w:t>
            </w:r>
          </w:p>
        </w:tc>
      </w:tr>
    </w:tbl>
    <w:p w:rsidR="00000000" w:rsidRPr="00757D27" w:rsidP="00757D27">
      <w:pPr>
        <w:pStyle w:val="BodyText"/>
      </w:pPr>
    </w:p>
    <w:tbl>
      <w:tblPr>
        <w:tblW w:w="0" w:type="auto"/>
        <w:tblLayout w:type="fixed"/>
        <w:tblCellMar>
          <w:left w:w="62" w:type="dxa"/>
          <w:right w:w="62" w:type="dxa"/>
        </w:tblCellMar>
        <w:tblLook w:val="0000"/>
      </w:tblPr>
      <w:tblGrid>
        <w:gridCol w:w="1890"/>
        <w:gridCol w:w="6570"/>
      </w:tblGrid>
      <w:tr w:rsidTr="00982F7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9.3)</w:t>
            </w:r>
          </w:p>
        </w:tc>
      </w:tr>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This unit should be assessed as it relates to normal work practice using procedures, information and resources typical of a workplace. This should include:</w:t>
            </w:r>
          </w:p>
          <w:p w:rsidR="00000000" w:rsidRPr="00757D27" w:rsidP="00757D27">
            <w:pPr>
              <w:pStyle w:val="ListBullet"/>
            </w:pPr>
            <w:r w:rsidRPr="00757D27">
              <w:t>OHS policy and work procedures and instructions.</w:t>
            </w:r>
          </w:p>
          <w:p w:rsidR="00000000" w:rsidRPr="00757D27" w:rsidP="00757D27">
            <w:pPr>
              <w:pStyle w:val="ListBullet"/>
            </w:pPr>
            <w:r w:rsidRPr="00757D27">
              <w:t>Suitable work environment, facilities, equipment a</w:t>
            </w:r>
            <w:r w:rsidRPr="00757D27">
              <w:t>nd materials to undertake actual installation and replacement of high voltage metering and associated equipment.</w:t>
            </w:r>
          </w:p>
          <w:p w:rsidR="00000000" w:rsidRPr="00757D27" w:rsidP="00757D27">
            <w:pPr>
              <w:pStyle w:val="ListBullet"/>
            </w:pPr>
            <w:r w:rsidRPr="00757D27">
              <w:t>Operational access to relevant plant, drawings, manufacture’s specifications/manuals and specialised testing equipment.</w:t>
            </w:r>
          </w:p>
          <w:p w:rsidR="00000000" w:rsidRPr="00757D27" w:rsidP="00757D27">
            <w:pPr>
              <w:pStyle w:val="BodyText"/>
            </w:pPr>
            <w:r w:rsidRPr="00757D27">
              <w:t>In addition to the reso</w:t>
            </w:r>
            <w:r w:rsidRPr="00757D27">
              <w:t>urces listed above, in Context of and specific resources for assessment, evidence should show demonstrated competency working in realistic environment and a variety of conditions.</w:t>
            </w:r>
          </w:p>
        </w:tc>
      </w:tr>
    </w:tbl>
    <w:p w:rsidR="00000000" w:rsidRPr="00757D27" w:rsidP="00757D27">
      <w:pPr>
        <w:pStyle w:val="BodyText"/>
      </w:pPr>
    </w:p>
    <w:tbl>
      <w:tblPr>
        <w:tblW w:w="0" w:type="auto"/>
        <w:tblLayout w:type="fixed"/>
        <w:tblCellMar>
          <w:left w:w="62" w:type="dxa"/>
          <w:right w:w="62" w:type="dxa"/>
        </w:tblCellMar>
        <w:tblLook w:val="0000"/>
      </w:tblPr>
      <w:tblGrid>
        <w:gridCol w:w="1890"/>
        <w:gridCol w:w="6570"/>
      </w:tblGrid>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9.4)</w:t>
            </w:r>
          </w:p>
        </w:tc>
      </w:tr>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This Competency Standard Unit shall be assessed by methods given in Volume 1, Part 3 “Assessment Guidelines”.</w:t>
            </w:r>
          </w:p>
          <w:p w:rsidR="00000000" w:rsidRPr="00757D27" w:rsidP="00757D27">
            <w:pPr>
              <w:pStyle w:val="BodyText"/>
            </w:pPr>
            <w:r w:rsidRPr="00757D27">
              <w:t>Note:</w:t>
            </w:r>
          </w:p>
          <w:p w:rsidR="00000000" w:rsidRPr="00757D27" w:rsidP="00757D27">
            <w:pPr>
              <w:pStyle w:val="BodyText"/>
            </w:pPr>
            <w:r w:rsidRPr="00757D27">
              <w:t>Competent performance with inherent safe working practices is expected in the Transmission, Distribution and Rail Traction Industry. This re</w:t>
            </w:r>
            <w:r w:rsidRPr="00757D27">
              <w:t>quires that the specified essential knowledge and associated skills are assessed in a structured environment which is primarily intended for learning/assessment and incorporates all necessary equipment and facilities for learners to develop and demonstrate</w:t>
            </w:r>
            <w:r w:rsidRPr="00757D27">
              <w:t xml:space="preserve"> the essential knowledge and associated skills described in this unit.</w:t>
            </w:r>
          </w:p>
        </w:tc>
      </w:tr>
    </w:tbl>
    <w:p w:rsidR="00000000" w:rsidRPr="00757D27" w:rsidP="00757D27">
      <w:pPr>
        <w:pStyle w:val="BodyText"/>
      </w:pPr>
    </w:p>
    <w:tbl>
      <w:tblPr>
        <w:tblW w:w="0" w:type="auto"/>
        <w:tblLayout w:type="fixed"/>
        <w:tblCellMar>
          <w:left w:w="62" w:type="dxa"/>
          <w:right w:w="62" w:type="dxa"/>
        </w:tblCellMar>
        <w:tblLook w:val="0000"/>
      </w:tblPr>
      <w:tblGrid>
        <w:gridCol w:w="1890"/>
        <w:gridCol w:w="6570"/>
      </w:tblGrid>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9.5)</w:t>
            </w:r>
          </w:p>
        </w:tc>
      </w:tr>
      <w:tr w:rsidTr="00982F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There are no concurrent assessment recommendations for this unit.</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11" w:name="O_464765"/>
      <w:bookmarkEnd w:id="11"/>
      <w:r w:rsidRPr="00757D27">
        <w:t>Range Statement</w:t>
      </w:r>
    </w:p>
    <w:tbl>
      <w:tblPr>
        <w:tblW w:w="0" w:type="auto"/>
        <w:tblLayout w:type="fixed"/>
        <w:tblCellMar>
          <w:left w:w="62" w:type="dxa"/>
          <w:right w:w="62" w:type="dxa"/>
        </w:tblCellMar>
        <w:tblLook w:val="0000"/>
      </w:tblPr>
      <w:tblGrid>
        <w:gridCol w:w="8460"/>
      </w:tblGrid>
      <w:tr w:rsidTr="00982F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RANGE STATEMENT</w:t>
            </w:r>
          </w:p>
        </w:tc>
      </w:tr>
      <w:tr w:rsidTr="00982F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10)</w:t>
            </w:r>
            <w:r w:rsidRPr="00757D27">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757D27" w:rsidP="00757D27">
            <w:pPr>
              <w:pStyle w:val="BodyText"/>
            </w:pPr>
            <w:r w:rsidRPr="00757D27">
              <w:t>This Competency Standard Un</w:t>
            </w:r>
            <w:r w:rsidRPr="00757D27">
              <w:t xml:space="preserve">it shall be demonstrated in relation to the installation and replacement of high voltage metering and associated equipment and may include the following: </w:t>
            </w:r>
          </w:p>
          <w:p w:rsidR="00000000" w:rsidRPr="00757D27" w:rsidP="00757D27">
            <w:pPr>
              <w:pStyle w:val="BodyText"/>
            </w:pPr>
            <w:r w:rsidRPr="00757D27">
              <w:t>High voltage metering schemes including; high voltage zone substations, bulk supply points and custom</w:t>
            </w:r>
            <w:r w:rsidRPr="00757D27">
              <w:t>ers installations.</w:t>
            </w:r>
          </w:p>
          <w:p w:rsidR="00000000" w:rsidRPr="00757D27" w:rsidP="00757D27">
            <w:pPr>
              <w:pStyle w:val="BodyText"/>
            </w:pPr>
            <w:r w:rsidRPr="00757D27">
              <w:t>It may also include low voltage metering and summation current transformer metering.</w:t>
            </w:r>
          </w:p>
          <w:p w:rsidR="00000000" w:rsidRPr="00757D27" w:rsidP="00757D27">
            <w:pPr>
              <w:pStyle w:val="BodyText"/>
            </w:pPr>
            <w:r w:rsidRPr="00757D27">
              <w:t>Ensure that meter and associated equipment selected for the job will meet the requirements.</w:t>
            </w:r>
          </w:p>
          <w:p w:rsidR="00000000" w:rsidRPr="00757D27" w:rsidP="00757D27">
            <w:pPr>
              <w:pStyle w:val="BodyText"/>
            </w:pPr>
            <w:r w:rsidRPr="00757D27">
              <w:t>Installation may include the removal and return to service o</w:t>
            </w:r>
            <w:r w:rsidRPr="00757D27">
              <w:t>f high voltage current/voltage transformers, energy meters and associated equipment.</w:t>
            </w:r>
          </w:p>
          <w:p w:rsidR="00000000" w:rsidRPr="00757D27" w:rsidP="00757D27">
            <w:pPr>
              <w:pStyle w:val="BodyText"/>
            </w:pPr>
            <w:r w:rsidRPr="00757D27">
              <w:t>Replacement may occur in a variety of complex environments (bulk supply points, protection arrangements etc.) and contexts.</w:t>
            </w:r>
          </w:p>
          <w:p w:rsidR="00000000" w:rsidRPr="00757D27" w:rsidP="00757D27">
            <w:pPr>
              <w:pStyle w:val="BodyText"/>
            </w:pPr>
            <w:r w:rsidRPr="00757D27">
              <w:t>Associated equipment includes communications, m</w:t>
            </w:r>
            <w:r w:rsidRPr="00757D27">
              <w:t>etering voltage and current transformers, switching devices, fuses, links, meter boards, panels, recorders and power quality equipment.</w:t>
            </w:r>
          </w:p>
          <w:p w:rsidR="00000000" w:rsidRPr="00757D27" w:rsidP="00757D27">
            <w:pPr>
              <w:pStyle w:val="BodyText"/>
            </w:pPr>
            <w:r w:rsidRPr="00757D27">
              <w:t>Energy meters include electronic and induction disc meters.</w:t>
            </w:r>
          </w:p>
          <w:p w:rsidR="00000000" w:rsidRPr="00757D27" w:rsidP="00757D27">
            <w:pPr>
              <w:pStyle w:val="BodyText"/>
            </w:pPr>
            <w:r w:rsidRPr="00757D27">
              <w:t>The following constants and variables included in the elemen</w:t>
            </w:r>
            <w:r w:rsidRPr="00757D27">
              <w:t>t/Performance Criteria in this unit are fully described in the Definitions Section 1 of this volume and form an integral part of the Range Statement of this unit:</w:t>
            </w:r>
          </w:p>
          <w:p w:rsidR="00000000" w:rsidRPr="00757D27" w:rsidP="00757D27">
            <w:pPr>
              <w:pStyle w:val="ListBullet3"/>
            </w:pPr>
            <w:r w:rsidRPr="00757D27">
              <w:t>Appropriate and relevant persons (see Personnel)</w:t>
            </w:r>
          </w:p>
          <w:p w:rsidR="00000000" w:rsidRPr="00757D27" w:rsidP="00757D27">
            <w:pPr>
              <w:pStyle w:val="ListBullet3"/>
            </w:pPr>
            <w:r w:rsidRPr="00757D27">
              <w:t>Appropriate authorities</w:t>
            </w:r>
          </w:p>
          <w:p w:rsidR="00000000" w:rsidRPr="00757D27" w:rsidP="00757D27">
            <w:pPr>
              <w:pStyle w:val="ListBullet3"/>
            </w:pPr>
            <w:r w:rsidRPr="00757D27">
              <w:t>Appropriate work pl</w:t>
            </w:r>
            <w:r w:rsidRPr="00757D27">
              <w:t>atform</w:t>
            </w:r>
          </w:p>
          <w:p w:rsidR="00000000" w:rsidRPr="00757D27" w:rsidP="00757D27">
            <w:pPr>
              <w:pStyle w:val="ListBullet3"/>
            </w:pPr>
            <w:r w:rsidRPr="00757D27">
              <w:t>Assessing risk</w:t>
            </w:r>
          </w:p>
          <w:p w:rsidR="00000000" w:rsidRPr="00757D27" w:rsidP="00757D27">
            <w:pPr>
              <w:pStyle w:val="ListBullet3"/>
            </w:pPr>
            <w:r w:rsidRPr="00757D27">
              <w:t>Assessment</w:t>
            </w:r>
          </w:p>
          <w:p w:rsidR="00000000" w:rsidRPr="00757D27" w:rsidP="00757D27">
            <w:pPr>
              <w:pStyle w:val="ListBullet3"/>
            </w:pPr>
            <w:r w:rsidRPr="00757D27">
              <w:t>Authorisation</w:t>
            </w:r>
          </w:p>
          <w:p w:rsidR="00000000" w:rsidRPr="00757D27" w:rsidP="00757D27">
            <w:pPr>
              <w:pStyle w:val="ListBullet3"/>
            </w:pPr>
            <w:r w:rsidRPr="00757D27">
              <w:t>Confined space</w:t>
            </w:r>
          </w:p>
          <w:p w:rsidR="00000000" w:rsidRPr="00757D27" w:rsidP="00757D27">
            <w:pPr>
              <w:pStyle w:val="ListBullet3"/>
            </w:pPr>
            <w:r w:rsidRPr="00757D27">
              <w:t>Diagnostic, testing and restoration</w:t>
            </w:r>
          </w:p>
          <w:p w:rsidR="00000000" w:rsidRPr="00757D27" w:rsidP="00757D27">
            <w:pPr>
              <w:pStyle w:val="ListBullet3"/>
            </w:pPr>
            <w:r w:rsidRPr="00757D27">
              <w:t>Documenting detail work events, record keeping and or storage of information</w:t>
            </w:r>
          </w:p>
          <w:p w:rsidR="00000000" w:rsidRPr="00757D27" w:rsidP="00757D27">
            <w:pPr>
              <w:pStyle w:val="ListBullet3"/>
            </w:pPr>
            <w:r w:rsidRPr="00757D27">
              <w:t>Drawings and specifications</w:t>
            </w:r>
          </w:p>
          <w:p w:rsidR="00000000" w:rsidRPr="00757D27" w:rsidP="00757D27">
            <w:pPr>
              <w:pStyle w:val="ListBullet3"/>
            </w:pPr>
            <w:r w:rsidRPr="00757D27">
              <w:t>Emergency</w:t>
            </w:r>
          </w:p>
          <w:p w:rsidR="00000000" w:rsidRPr="00757D27" w:rsidP="00757D27">
            <w:pPr>
              <w:pStyle w:val="ListBullet3"/>
            </w:pPr>
            <w:r w:rsidRPr="00757D27">
              <w:t>Environmental and sustainable energy procedures</w:t>
            </w:r>
          </w:p>
          <w:p w:rsidR="00000000" w:rsidRPr="00757D27" w:rsidP="00757D27">
            <w:pPr>
              <w:pStyle w:val="ListBullet3"/>
            </w:pPr>
            <w:r w:rsidRPr="00757D27">
              <w:t>Environmental legislation</w:t>
            </w:r>
          </w:p>
          <w:p w:rsidR="00000000" w:rsidRPr="00757D27" w:rsidP="00757D27">
            <w:pPr>
              <w:pStyle w:val="ListBullet3"/>
            </w:pPr>
            <w:r w:rsidRPr="00757D27">
              <w:t>Environmental management documentation</w:t>
            </w:r>
          </w:p>
          <w:p w:rsidR="00000000" w:rsidRPr="00757D27" w:rsidP="00757D27">
            <w:pPr>
              <w:pStyle w:val="ListBullet3"/>
            </w:pPr>
            <w:r w:rsidRPr="00757D27">
              <w:t>Established procedures</w:t>
            </w:r>
          </w:p>
          <w:p w:rsidR="00000000" w:rsidRPr="00757D27" w:rsidP="00757D27">
            <w:pPr>
              <w:pStyle w:val="ListBullet3"/>
            </w:pPr>
            <w:r w:rsidRPr="00757D27">
              <w:t>Fall prevention</w:t>
            </w:r>
          </w:p>
          <w:p w:rsidR="00000000" w:rsidRPr="00757D27" w:rsidP="00757D27">
            <w:pPr>
              <w:pStyle w:val="ListBullet3"/>
            </w:pPr>
            <w:r w:rsidRPr="00757D27">
              <w:t>Hazards</w:t>
            </w:r>
          </w:p>
          <w:p w:rsidR="00000000" w:rsidRPr="00757D27" w:rsidP="00757D27">
            <w:pPr>
              <w:pStyle w:val="ListBullet3"/>
            </w:pPr>
            <w:r w:rsidRPr="00757D27">
              <w:t>Identifying hazards</w:t>
            </w:r>
          </w:p>
          <w:p w:rsidR="00000000" w:rsidRPr="00757D27" w:rsidP="00757D27">
            <w:pPr>
              <w:pStyle w:val="ListBullet3"/>
            </w:pPr>
            <w:r w:rsidRPr="00757D27">
              <w:t>Inspect</w:t>
            </w:r>
          </w:p>
          <w:p w:rsidR="00000000" w:rsidRPr="00757D27" w:rsidP="00757D27">
            <w:pPr>
              <w:pStyle w:val="ListBullet3"/>
            </w:pPr>
            <w:r w:rsidRPr="00757D27">
              <w:t>Legislation</w:t>
            </w:r>
          </w:p>
          <w:p w:rsidR="00000000" w:rsidRPr="00757D27" w:rsidP="00757D27">
            <w:pPr>
              <w:pStyle w:val="ListBullet3"/>
            </w:pPr>
            <w:r w:rsidRPr="00757D27">
              <w:t>MSDS</w:t>
            </w:r>
          </w:p>
          <w:p w:rsidR="00000000" w:rsidRPr="00757D27" w:rsidP="00757D27">
            <w:pPr>
              <w:pStyle w:val="ListBullet3"/>
            </w:pPr>
            <w:r w:rsidRPr="00757D27">
              <w:t>Notification</w:t>
            </w:r>
          </w:p>
          <w:p w:rsidR="00000000" w:rsidRPr="00757D27" w:rsidP="00757D27">
            <w:pPr>
              <w:pStyle w:val="ListBullet3"/>
            </w:pPr>
            <w:r w:rsidRPr="00757D27">
              <w:t>OHS practices</w:t>
            </w:r>
          </w:p>
          <w:p w:rsidR="00000000" w:rsidRPr="00757D27" w:rsidP="00757D27">
            <w:pPr>
              <w:pStyle w:val="ListBullet3"/>
            </w:pPr>
            <w:r w:rsidRPr="00757D27">
              <w:t>OHS issues</w:t>
            </w:r>
          </w:p>
          <w:p w:rsidR="00000000" w:rsidRPr="00757D27" w:rsidP="00757D27">
            <w:pPr>
              <w:pStyle w:val="ListBullet3"/>
            </w:pPr>
            <w:r w:rsidRPr="00757D27">
              <w:t>Permits and/or permits to work</w:t>
            </w:r>
          </w:p>
          <w:p w:rsidR="00000000" w:rsidRPr="00757D27" w:rsidP="00757D27">
            <w:pPr>
              <w:pStyle w:val="ListBullet3"/>
            </w:pPr>
            <w:r w:rsidRPr="00757D27">
              <w:t>Personnel</w:t>
            </w:r>
          </w:p>
          <w:p w:rsidR="00000000" w:rsidRPr="00757D27" w:rsidP="00757D27">
            <w:pPr>
              <w:pStyle w:val="ListBullet3"/>
            </w:pPr>
            <w:r w:rsidRPr="00757D27">
              <w:t>Quality assurance systems</w:t>
            </w:r>
          </w:p>
          <w:p w:rsidR="00000000" w:rsidRPr="00757D27" w:rsidP="00757D27">
            <w:pPr>
              <w:pStyle w:val="ListBullet3"/>
            </w:pPr>
            <w:r w:rsidRPr="00757D27">
              <w:t>Requirements</w:t>
            </w:r>
          </w:p>
          <w:p w:rsidR="00000000" w:rsidRPr="00757D27" w:rsidP="00757D27">
            <w:pPr>
              <w:pStyle w:val="ListBullet3"/>
            </w:pPr>
            <w:r w:rsidRPr="00757D27">
              <w:t>Testing procedures</w:t>
            </w:r>
          </w:p>
          <w:p w:rsidR="00000000" w:rsidRPr="00757D27" w:rsidP="00757D27">
            <w:pPr>
              <w:pStyle w:val="ListBullet3"/>
            </w:pPr>
            <w:r w:rsidRPr="00757D27">
              <w:t>Work clearance systems</w:t>
            </w:r>
          </w:p>
        </w:tc>
      </w:tr>
    </w:tbl>
    <w:p w:rsidR="00000000" w:rsidRPr="00757D27" w:rsidP="00757D27">
      <w:pPr>
        <w:pStyle w:val="BodyText"/>
      </w:pPr>
    </w:p>
    <w:p w:rsidR="00000000" w:rsidRPr="00757D27" w:rsidP="00757D27">
      <w:pPr>
        <w:pStyle w:val="AllowPageBreak"/>
      </w:pPr>
    </w:p>
    <w:p w:rsidR="00000000" w:rsidRPr="00757D27" w:rsidP="00757D27">
      <w:pPr>
        <w:pStyle w:val="Heading1"/>
      </w:pPr>
      <w:bookmarkStart w:id="12" w:name="O_464768"/>
      <w:bookmarkEnd w:id="12"/>
      <w:r w:rsidRPr="00757D27">
        <w:t>Unit Sector(s)</w:t>
      </w:r>
    </w:p>
    <w:p w:rsidR="00000000" w:rsidRPr="00757D27" w:rsidP="00757D27">
      <w:pPr>
        <w:pStyle w:val="BodyText"/>
      </w:pPr>
      <w:r w:rsidRPr="00757D27">
        <w:t>Not applicable.</w:t>
      </w:r>
    </w:p>
    <w:p w:rsidR="00000000" w:rsidRPr="00757D27" w:rsidP="00757D27">
      <w:pPr>
        <w:pStyle w:val="AllowPageBreak"/>
      </w:pPr>
    </w:p>
    <w:p w:rsidR="00000000" w:rsidRPr="00757D27" w:rsidP="00757D27">
      <w:pPr>
        <w:pStyle w:val="Heading1"/>
      </w:pPr>
      <w:bookmarkStart w:id="13" w:name="O_464757"/>
      <w:bookmarkEnd w:id="13"/>
      <w:r w:rsidRPr="00757D27">
        <w:t>Competency Field</w:t>
      </w:r>
    </w:p>
    <w:tbl>
      <w:tblPr>
        <w:tblW w:w="0" w:type="auto"/>
        <w:tblLayout w:type="fixed"/>
        <w:tblCellMar>
          <w:left w:w="62" w:type="dxa"/>
          <w:right w:w="62" w:type="dxa"/>
        </w:tblCellMar>
        <w:tblLook w:val="0000"/>
      </w:tblPr>
      <w:tblGrid>
        <w:gridCol w:w="2700"/>
        <w:gridCol w:w="5760"/>
      </w:tblGrid>
      <w:tr w:rsidTr="00982F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57D27">
            <w:pPr>
              <w:pStyle w:val="BodyText"/>
              <w:rPr>
                <w:lang w:val="en-NZ"/>
              </w:rPr>
            </w:pPr>
            <w:r w:rsidRPr="00757D27">
              <w:rPr>
                <w:rStyle w:val="SpecialBold"/>
              </w:rPr>
              <w:t xml:space="preserve">11) </w:t>
            </w:r>
          </w:p>
        </w:tc>
      </w:tr>
      <w:tr w:rsidTr="00982F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7D27" w:rsidP="00757D27">
            <w:pPr>
              <w:pStyle w:val="BodyText"/>
            </w:pPr>
            <w:r w:rsidRPr="00757D27">
              <w:t>Testing Units</w:t>
            </w:r>
          </w:p>
        </w:tc>
      </w:tr>
    </w:tbl>
    <w:p w:rsidR="00000000" w:rsidRPr="00757D27" w:rsidP="00757D27">
      <w:pPr>
        <w:pStyle w:val="BodyText"/>
      </w:pPr>
    </w:p>
    <w:p w:rsidR="00000000" w:rsidRPr="00757D27" w:rsidP="00757D27"/>
    <w:sectPr w:rsidSect="00757D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F72" w:rsidP="00982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72" w:rsidP="00757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82F72" w:rsidP="00757D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2F72" w:rsidP="00757D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F72" w:rsidP="00982F7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72" w:rsidP="00757D27">
    <w:pPr>
      <w:pStyle w:val="Header"/>
      <w:framePr w:wrap="around"/>
    </w:pPr>
    <w:r>
      <w:fldChar w:fldCharType="begin"/>
    </w:r>
    <w:r>
      <w:instrText xml:space="preserve"> TITLE   \* MERGEFORMAT </w:instrText>
    </w:r>
    <w:r>
      <w:fldChar w:fldCharType="separate"/>
    </w:r>
    <w:r>
      <w:t>UETTDRTS38A Install and replace high voltage metering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2F72" w:rsidP="00757D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87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C9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2A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D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D27"/>
    <w:pPr>
      <w:spacing w:before="360" w:after="60"/>
      <w:outlineLvl w:val="0"/>
    </w:pPr>
    <w:rPr>
      <w:sz w:val="32"/>
    </w:rPr>
  </w:style>
  <w:style w:type="paragraph" w:styleId="Heading2">
    <w:name w:val="heading 2"/>
    <w:basedOn w:val="HeadingBase"/>
    <w:next w:val="BodyText"/>
    <w:link w:val="Heading2Char"/>
    <w:qFormat/>
    <w:rsid w:val="00757D27"/>
    <w:pPr>
      <w:keepLines/>
      <w:spacing w:before="240" w:after="120"/>
      <w:outlineLvl w:val="1"/>
    </w:pPr>
    <w:rPr>
      <w:sz w:val="28"/>
      <w:szCs w:val="40"/>
    </w:rPr>
  </w:style>
  <w:style w:type="paragraph" w:styleId="Heading3">
    <w:name w:val="heading 3"/>
    <w:basedOn w:val="HeadingBase"/>
    <w:next w:val="BodyText"/>
    <w:link w:val="Heading3Char"/>
    <w:qFormat/>
    <w:rsid w:val="00757D27"/>
    <w:pPr>
      <w:spacing w:before="180" w:after="120"/>
      <w:outlineLvl w:val="2"/>
    </w:pPr>
    <w:rPr>
      <w:spacing w:val="-10"/>
      <w:kern w:val="32"/>
    </w:rPr>
  </w:style>
  <w:style w:type="paragraph" w:styleId="Heading4">
    <w:name w:val="heading 4"/>
    <w:basedOn w:val="HeadingBase"/>
    <w:next w:val="BodyText"/>
    <w:link w:val="Heading4Char"/>
    <w:qFormat/>
    <w:rsid w:val="00757D27"/>
    <w:pPr>
      <w:spacing w:before="160" w:after="120"/>
      <w:outlineLvl w:val="3"/>
    </w:pPr>
    <w:rPr>
      <w:sz w:val="22"/>
    </w:rPr>
  </w:style>
  <w:style w:type="paragraph" w:styleId="Heading5">
    <w:name w:val="heading 5"/>
    <w:basedOn w:val="HeadingBase"/>
    <w:next w:val="Normal"/>
    <w:link w:val="Heading5Char"/>
    <w:qFormat/>
    <w:rsid w:val="00757D27"/>
    <w:pPr>
      <w:spacing w:before="80"/>
      <w:outlineLvl w:val="4"/>
    </w:pPr>
    <w:rPr>
      <w:color w:val="918585"/>
      <w:sz w:val="20"/>
    </w:rPr>
  </w:style>
  <w:style w:type="paragraph" w:styleId="Heading6">
    <w:name w:val="heading 6"/>
    <w:basedOn w:val="HeadingBase"/>
    <w:next w:val="Normal"/>
    <w:link w:val="Heading6Char"/>
    <w:qFormat/>
    <w:rsid w:val="00757D27"/>
    <w:pPr>
      <w:spacing w:before="60"/>
      <w:outlineLvl w:val="5"/>
    </w:pPr>
    <w:rPr>
      <w:color w:val="918585"/>
      <w:sz w:val="20"/>
    </w:rPr>
  </w:style>
  <w:style w:type="paragraph" w:styleId="Heading7">
    <w:name w:val="heading 7"/>
    <w:basedOn w:val="Normal"/>
    <w:next w:val="Normal"/>
    <w:link w:val="Heading7Char"/>
    <w:qFormat/>
    <w:rsid w:val="00757D27"/>
    <w:pPr>
      <w:ind w:left="720"/>
      <w:outlineLvl w:val="6"/>
    </w:pPr>
    <w:rPr>
      <w:i/>
    </w:rPr>
  </w:style>
  <w:style w:type="paragraph" w:styleId="Heading8">
    <w:name w:val="heading 8"/>
    <w:basedOn w:val="Normal"/>
    <w:next w:val="Normal"/>
    <w:link w:val="Heading8Char"/>
    <w:qFormat/>
    <w:rsid w:val="00757D27"/>
    <w:pPr>
      <w:ind w:left="720"/>
      <w:outlineLvl w:val="7"/>
    </w:pPr>
    <w:rPr>
      <w:i/>
    </w:rPr>
  </w:style>
  <w:style w:type="paragraph" w:styleId="Heading9">
    <w:name w:val="heading 9"/>
    <w:basedOn w:val="Normal"/>
    <w:next w:val="Normal"/>
    <w:link w:val="Heading9Char"/>
    <w:qFormat/>
    <w:rsid w:val="00757D27"/>
    <w:pPr>
      <w:ind w:left="720"/>
      <w:outlineLvl w:val="8"/>
    </w:pPr>
    <w:rPr>
      <w:i/>
    </w:rPr>
  </w:style>
  <w:style w:type="character" w:default="1" w:styleId="DefaultParagraphFont">
    <w:name w:val="Default Paragraph Font"/>
    <w:uiPriority w:val="1"/>
    <w:unhideWhenUsed/>
    <w:rsid w:val="00757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D27"/>
  </w:style>
  <w:style w:type="character" w:customStyle="1" w:styleId="Heading1Char">
    <w:name w:val="Heading 1 Char"/>
    <w:link w:val="Heading1"/>
    <w:rsid w:val="00757D27"/>
    <w:rPr>
      <w:rFonts w:ascii="Times New Roman" w:eastAsia="Times New Roman" w:hAnsi="Times New Roman" w:cs="Times New Roman"/>
      <w:b/>
      <w:sz w:val="32"/>
      <w:szCs w:val="20"/>
      <w:lang w:eastAsia="en-US"/>
    </w:rPr>
  </w:style>
  <w:style w:type="paragraph" w:styleId="BodyText">
    <w:name w:val="Body Text"/>
    <w:basedOn w:val="Normal"/>
    <w:link w:val="BodyTextChar"/>
    <w:rsid w:val="00757D27"/>
    <w:pPr>
      <w:spacing w:before="120" w:after="120"/>
      <w:contextualSpacing/>
    </w:pPr>
    <w:rPr>
      <w:rFonts w:ascii="Times New Roman" w:hAnsi="Times New Roman"/>
      <w:sz w:val="24"/>
      <w:szCs w:val="22"/>
    </w:rPr>
  </w:style>
  <w:style w:type="character" w:customStyle="1" w:styleId="BodyTextChar">
    <w:name w:val="Body Text Char"/>
    <w:link w:val="BodyText"/>
    <w:rsid w:val="00757D27"/>
    <w:rPr>
      <w:rFonts w:ascii="Times New Roman" w:eastAsia="Times New Roman" w:hAnsi="Times New Roman" w:cs="Times New Roman"/>
      <w:sz w:val="24"/>
      <w:lang w:val="en-US" w:eastAsia="en-US"/>
    </w:rPr>
  </w:style>
  <w:style w:type="paragraph" w:styleId="Footer">
    <w:name w:val="footer"/>
    <w:basedOn w:val="Normal"/>
    <w:link w:val="FooterChar"/>
    <w:rsid w:val="00757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7D27"/>
    <w:rPr>
      <w:rFonts w:ascii="Times New Roman" w:eastAsia="Times New Roman" w:hAnsi="Times New Roman" w:cs="Times New Roman"/>
      <w:sz w:val="16"/>
      <w:lang w:val="en-US" w:eastAsia="en-US"/>
    </w:rPr>
  </w:style>
  <w:style w:type="paragraph" w:styleId="ListBullet">
    <w:name w:val="List Bullet"/>
    <w:basedOn w:val="List"/>
    <w:rsid w:val="00757D27"/>
    <w:pPr>
      <w:numPr>
        <w:numId w:val="14"/>
      </w:numPr>
      <w:tabs>
        <w:tab w:val="clear" w:pos="340"/>
      </w:tabs>
      <w:spacing w:before="40" w:after="40"/>
    </w:pPr>
  </w:style>
  <w:style w:type="character" w:customStyle="1" w:styleId="SpecialBold">
    <w:name w:val="Special Bold"/>
    <w:rsid w:val="00757D27"/>
    <w:rPr>
      <w:b/>
      <w:spacing w:val="0"/>
    </w:rPr>
  </w:style>
  <w:style w:type="paragraph" w:styleId="ListBullet2">
    <w:name w:val="List Bullet 2"/>
    <w:basedOn w:val="List2"/>
    <w:rsid w:val="00757D27"/>
    <w:pPr>
      <w:numPr>
        <w:numId w:val="15"/>
      </w:numPr>
      <w:tabs>
        <w:tab w:val="clear" w:pos="680"/>
      </w:tabs>
    </w:pPr>
  </w:style>
  <w:style w:type="paragraph" w:styleId="Header">
    <w:name w:val="header"/>
    <w:basedOn w:val="Normal"/>
    <w:link w:val="HeaderChar"/>
    <w:rsid w:val="00757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7D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D27"/>
    <w:pPr>
      <w:spacing w:before="240" w:after="120"/>
      <w:outlineLvl w:val="0"/>
    </w:pPr>
    <w:rPr>
      <w:rFonts w:ascii="Times New Roman" w:hAnsi="Times New Roman"/>
      <w:b/>
      <w:sz w:val="28"/>
    </w:rPr>
  </w:style>
  <w:style w:type="paragraph" w:customStyle="1" w:styleId="AllowPageBreak">
    <w:name w:val="AllowPageBreak"/>
    <w:rsid w:val="00757D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D27"/>
    <w:pPr>
      <w:numPr>
        <w:numId w:val="3"/>
      </w:numPr>
      <w:tabs>
        <w:tab w:val="clear" w:pos="1021"/>
      </w:tabs>
      <w:ind w:left="1037" w:hanging="357"/>
    </w:pPr>
  </w:style>
  <w:style w:type="character" w:customStyle="1" w:styleId="Heading2Char">
    <w:name w:val="Heading 2 Char"/>
    <w:link w:val="Heading2"/>
    <w:rsid w:val="00757D27"/>
    <w:rPr>
      <w:rFonts w:ascii="Times New Roman" w:eastAsia="Times New Roman" w:hAnsi="Times New Roman" w:cs="Times New Roman"/>
      <w:b/>
      <w:sz w:val="28"/>
      <w:szCs w:val="40"/>
      <w:lang w:eastAsia="en-US"/>
    </w:rPr>
  </w:style>
  <w:style w:type="character" w:customStyle="1" w:styleId="Heading3Char">
    <w:name w:val="Heading 3 Char"/>
    <w:link w:val="Heading3"/>
    <w:rsid w:val="00757D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7D27"/>
    <w:rPr>
      <w:rFonts w:ascii="Times New Roman" w:eastAsia="Times New Roman" w:hAnsi="Times New Roman" w:cs="Times New Roman"/>
      <w:b/>
      <w:szCs w:val="20"/>
      <w:lang w:eastAsia="en-US"/>
    </w:rPr>
  </w:style>
  <w:style w:type="character" w:customStyle="1" w:styleId="Heading5Char">
    <w:name w:val="Heading 5 Char"/>
    <w:link w:val="Heading5"/>
    <w:rsid w:val="00757D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7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D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D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D27"/>
    <w:rPr>
      <w:rFonts w:ascii="Courier New" w:eastAsia="Times New Roman" w:hAnsi="Courier New" w:cs="Times New Roman"/>
      <w:i/>
      <w:szCs w:val="20"/>
      <w:lang w:val="en-US" w:eastAsia="en-US"/>
    </w:rPr>
  </w:style>
  <w:style w:type="paragraph" w:customStyle="1" w:styleId="HeadingBase">
    <w:name w:val="Heading Base"/>
    <w:rsid w:val="00757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D27"/>
    <w:pPr>
      <w:tabs>
        <w:tab w:val="right" w:leader="dot" w:pos="9072"/>
      </w:tabs>
      <w:ind w:left="567"/>
    </w:pPr>
    <w:rPr>
      <w:szCs w:val="22"/>
    </w:rPr>
  </w:style>
  <w:style w:type="paragraph" w:customStyle="1" w:styleId="TOCBase">
    <w:name w:val="TOC Base"/>
    <w:rsid w:val="00757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D27"/>
    <w:pPr>
      <w:tabs>
        <w:tab w:val="right" w:leader="dot" w:pos="9072"/>
      </w:tabs>
      <w:spacing w:before="40" w:after="40"/>
      <w:ind w:left="284"/>
    </w:pPr>
    <w:rPr>
      <w:rFonts w:ascii="Times New Roman" w:hAnsi="Times New Roman"/>
    </w:rPr>
  </w:style>
  <w:style w:type="paragraph" w:styleId="TOC1">
    <w:name w:val="toc 1"/>
    <w:basedOn w:val="TOCBase"/>
    <w:next w:val="Normal"/>
    <w:rsid w:val="00757D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D27"/>
    <w:pPr>
      <w:spacing w:before="5040"/>
      <w:jc w:val="center"/>
    </w:pPr>
    <w:rPr>
      <w:sz w:val="48"/>
      <w:szCs w:val="72"/>
      <w:lang w:val="en-US"/>
    </w:rPr>
  </w:style>
  <w:style w:type="character" w:customStyle="1" w:styleId="TitleChar">
    <w:name w:val="Title Char"/>
    <w:link w:val="Title"/>
    <w:rsid w:val="00757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D27"/>
    <w:pPr>
      <w:tabs>
        <w:tab w:val="left" w:pos="3600"/>
        <w:tab w:val="left" w:pos="3958"/>
      </w:tabs>
    </w:pPr>
  </w:style>
  <w:style w:type="paragraph" w:styleId="List">
    <w:name w:val="List"/>
    <w:basedOn w:val="BodyText"/>
    <w:next w:val="BodyText"/>
    <w:rsid w:val="00757D27"/>
    <w:pPr>
      <w:tabs>
        <w:tab w:val="left" w:pos="340"/>
      </w:tabs>
      <w:spacing w:before="60" w:after="60"/>
      <w:ind w:left="340" w:hanging="340"/>
    </w:pPr>
  </w:style>
  <w:style w:type="paragraph" w:customStyle="1" w:styleId="Note">
    <w:name w:val="Note"/>
    <w:basedOn w:val="BodyText"/>
    <w:rsid w:val="00757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D27"/>
    <w:pPr>
      <w:framePr w:wrap="auto" w:hAnchor="text" w:y="6049"/>
    </w:pPr>
    <w:rPr>
      <w:color w:val="000000"/>
      <w:sz w:val="40"/>
    </w:rPr>
  </w:style>
  <w:style w:type="paragraph" w:customStyle="1" w:styleId="TOCTitle">
    <w:name w:val="TOCTitle"/>
    <w:basedOn w:val="Heading1"/>
    <w:rsid w:val="00757D27"/>
    <w:pPr>
      <w:spacing w:after="240"/>
      <w:jc w:val="center"/>
      <w:outlineLvl w:val="9"/>
    </w:pPr>
    <w:rPr>
      <w:caps/>
    </w:rPr>
  </w:style>
  <w:style w:type="paragraph" w:customStyle="1" w:styleId="Version">
    <w:name w:val="Version"/>
    <w:rsid w:val="00757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D27"/>
    <w:pPr>
      <w:keepNext w:val="0"/>
      <w:tabs>
        <w:tab w:val="right" w:pos="4176"/>
      </w:tabs>
      <w:ind w:left="198" w:hanging="198"/>
    </w:pPr>
    <w:rPr>
      <w:rFonts w:ascii="Garamond" w:hAnsi="Garamond"/>
    </w:rPr>
  </w:style>
  <w:style w:type="paragraph" w:styleId="IndexHeading">
    <w:name w:val="index heading"/>
    <w:basedOn w:val="Normal"/>
    <w:next w:val="Index1"/>
    <w:semiHidden/>
    <w:rsid w:val="00757D27"/>
    <w:pPr>
      <w:spacing w:before="120" w:after="120"/>
    </w:pPr>
    <w:rPr>
      <w:rFonts w:ascii="Arial" w:hAnsi="Arial"/>
      <w:b/>
      <w:color w:val="918585"/>
      <w:sz w:val="24"/>
    </w:rPr>
  </w:style>
  <w:style w:type="paragraph" w:customStyle="1" w:styleId="Chapter">
    <w:name w:val="Chapter"/>
    <w:basedOn w:val="Normal"/>
    <w:rsid w:val="00757D27"/>
    <w:pPr>
      <w:spacing w:before="240"/>
    </w:pPr>
    <w:rPr>
      <w:rFonts w:ascii="Times New Roman" w:hAnsi="Times New Roman"/>
      <w:smallCaps/>
      <w:spacing w:val="80"/>
      <w:sz w:val="28"/>
    </w:rPr>
  </w:style>
  <w:style w:type="paragraph" w:customStyle="1" w:styleId="InChapter">
    <w:name w:val="InChapter"/>
    <w:basedOn w:val="Heading3"/>
    <w:rsid w:val="00757D27"/>
    <w:pPr>
      <w:spacing w:after="240"/>
      <w:outlineLvl w:val="9"/>
    </w:pPr>
    <w:rPr>
      <w:noProof/>
    </w:rPr>
  </w:style>
  <w:style w:type="paragraph" w:styleId="Index2">
    <w:name w:val="index 2"/>
    <w:basedOn w:val="Normal"/>
    <w:next w:val="Normal"/>
    <w:semiHidden/>
    <w:rsid w:val="00757D27"/>
    <w:pPr>
      <w:tabs>
        <w:tab w:val="right" w:pos="4176"/>
      </w:tabs>
      <w:ind w:left="568" w:hanging="284"/>
    </w:pPr>
    <w:rPr>
      <w:rFonts w:ascii="Garamond" w:hAnsi="Garamond"/>
    </w:rPr>
  </w:style>
  <w:style w:type="paragraph" w:customStyle="1" w:styleId="Byline">
    <w:name w:val="Byline"/>
    <w:rsid w:val="00757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D27"/>
    <w:pPr>
      <w:tabs>
        <w:tab w:val="clear" w:pos="3600"/>
        <w:tab w:val="clear" w:pos="3958"/>
      </w:tabs>
      <w:jc w:val="right"/>
    </w:pPr>
  </w:style>
  <w:style w:type="character" w:styleId="Emphasis">
    <w:name w:val="Emphasis"/>
    <w:qFormat/>
    <w:rsid w:val="00757D27"/>
    <w:rPr>
      <w:i/>
    </w:rPr>
  </w:style>
  <w:style w:type="paragraph" w:styleId="Caption">
    <w:name w:val="caption"/>
    <w:basedOn w:val="BodyText"/>
    <w:next w:val="Normal"/>
    <w:qFormat/>
    <w:rsid w:val="00757D27"/>
    <w:pPr>
      <w:framePr w:w="2268" w:hSpace="181" w:vSpace="181" w:wrap="around" w:vAnchor="text" w:hAnchor="page" w:x="1135" w:y="285" w:anchorLock="1"/>
    </w:pPr>
    <w:rPr>
      <w:i/>
    </w:rPr>
  </w:style>
  <w:style w:type="paragraph" w:customStyle="1" w:styleId="MiniTOCTitle">
    <w:name w:val="MiniTOCTitle"/>
    <w:basedOn w:val="Heading4"/>
    <w:rsid w:val="00757D27"/>
    <w:pPr>
      <w:spacing w:before="240"/>
      <w:outlineLvl w:val="9"/>
    </w:pPr>
    <w:rPr>
      <w:noProof/>
      <w:sz w:val="24"/>
    </w:rPr>
  </w:style>
  <w:style w:type="paragraph" w:customStyle="1" w:styleId="MiniTOCItem">
    <w:name w:val="MiniTOCItem"/>
    <w:basedOn w:val="ListBullet"/>
    <w:rsid w:val="00757D27"/>
    <w:pPr>
      <w:numPr>
        <w:numId w:val="0"/>
      </w:numPr>
      <w:tabs>
        <w:tab w:val="right" w:leader="dot" w:pos="6521"/>
      </w:tabs>
      <w:spacing w:before="0" w:after="0"/>
    </w:pPr>
  </w:style>
  <w:style w:type="paragraph" w:customStyle="1" w:styleId="TOFTitle">
    <w:name w:val="TOFTitle"/>
    <w:basedOn w:val="TOCTitle"/>
    <w:rsid w:val="00757D27"/>
  </w:style>
  <w:style w:type="paragraph" w:styleId="TableofFigures">
    <w:name w:val="table of figures"/>
    <w:basedOn w:val="Normal"/>
    <w:next w:val="Normal"/>
    <w:semiHidden/>
    <w:rsid w:val="00757D27"/>
    <w:pPr>
      <w:tabs>
        <w:tab w:val="right" w:leader="dot" w:pos="9072"/>
      </w:tabs>
      <w:ind w:left="970" w:hanging="403"/>
    </w:pPr>
    <w:rPr>
      <w:rFonts w:ascii="Times New Roman" w:hAnsi="Times New Roman"/>
      <w:b/>
    </w:rPr>
  </w:style>
  <w:style w:type="paragraph" w:styleId="ListNumber">
    <w:name w:val="List Number"/>
    <w:basedOn w:val="List"/>
    <w:rsid w:val="00757D27"/>
    <w:pPr>
      <w:numPr>
        <w:numId w:val="12"/>
      </w:numPr>
    </w:pPr>
  </w:style>
  <w:style w:type="character" w:customStyle="1" w:styleId="WingdingSymbols">
    <w:name w:val="Wingding Symbols"/>
    <w:rsid w:val="00757D27"/>
    <w:rPr>
      <w:rFonts w:ascii="Wingdings" w:hAnsi="Wingdings"/>
    </w:rPr>
  </w:style>
  <w:style w:type="paragraph" w:customStyle="1" w:styleId="TableHeading">
    <w:name w:val="Table Heading"/>
    <w:basedOn w:val="HeadingBase"/>
    <w:rsid w:val="00757D27"/>
    <w:pPr>
      <w:keepLines/>
      <w:pBdr>
        <w:bottom w:val="single" w:sz="6" w:space="1" w:color="918585"/>
      </w:pBdr>
      <w:spacing w:before="240"/>
    </w:pPr>
  </w:style>
  <w:style w:type="character" w:customStyle="1" w:styleId="HotSpot">
    <w:name w:val="HotSpot"/>
    <w:rsid w:val="00757D27"/>
    <w:rPr>
      <w:color w:val="0033CC"/>
      <w:u w:val="none"/>
    </w:rPr>
  </w:style>
  <w:style w:type="paragraph" w:customStyle="1" w:styleId="BodyTextRight">
    <w:name w:val="Body Text Right"/>
    <w:basedOn w:val="BodyText"/>
    <w:rsid w:val="00757D27"/>
    <w:pPr>
      <w:spacing w:before="0" w:after="0"/>
      <w:jc w:val="right"/>
    </w:pPr>
  </w:style>
  <w:style w:type="paragraph" w:styleId="Index3">
    <w:name w:val="index 3"/>
    <w:basedOn w:val="ListNumber2"/>
    <w:next w:val="Normal"/>
    <w:semiHidden/>
    <w:rsid w:val="00757D27"/>
    <w:pPr>
      <w:numPr>
        <w:numId w:val="0"/>
      </w:numPr>
      <w:tabs>
        <w:tab w:val="right" w:leader="dot" w:pos="4176"/>
      </w:tabs>
    </w:pPr>
  </w:style>
  <w:style w:type="paragraph" w:styleId="ListNumber2">
    <w:name w:val="List Number 2"/>
    <w:basedOn w:val="List2"/>
    <w:rsid w:val="00757D27"/>
    <w:pPr>
      <w:numPr>
        <w:numId w:val="11"/>
      </w:numPr>
      <w:tabs>
        <w:tab w:val="clear" w:pos="1060"/>
      </w:tabs>
    </w:pPr>
  </w:style>
  <w:style w:type="paragraph" w:customStyle="1" w:styleId="MarginNote">
    <w:name w:val="Margin Note"/>
    <w:basedOn w:val="BodyText"/>
    <w:rsid w:val="00757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7D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D27"/>
    <w:rPr>
      <w:sz w:val="32"/>
    </w:rPr>
  </w:style>
  <w:style w:type="paragraph" w:customStyle="1" w:styleId="HeadingProcedure">
    <w:name w:val="Heading Procedure"/>
    <w:basedOn w:val="HeadingBase"/>
    <w:next w:val="Normal"/>
    <w:rsid w:val="00757D27"/>
    <w:pPr>
      <w:tabs>
        <w:tab w:val="left" w:pos="0"/>
      </w:tabs>
      <w:spacing w:before="120" w:after="60"/>
    </w:pPr>
    <w:rPr>
      <w:i/>
      <w:color w:val="918585"/>
      <w:sz w:val="22"/>
    </w:rPr>
  </w:style>
  <w:style w:type="paragraph" w:customStyle="1" w:styleId="TableBodyText">
    <w:name w:val="Table Body Text"/>
    <w:basedOn w:val="BodyText"/>
    <w:rsid w:val="00757D27"/>
    <w:pPr>
      <w:spacing w:before="60" w:after="60"/>
    </w:pPr>
  </w:style>
  <w:style w:type="paragraph" w:styleId="ListContinue">
    <w:name w:val="List Continue"/>
    <w:basedOn w:val="List"/>
    <w:rsid w:val="00757D27"/>
    <w:pPr>
      <w:ind w:firstLine="0"/>
    </w:pPr>
  </w:style>
  <w:style w:type="paragraph" w:customStyle="1" w:styleId="ListNote">
    <w:name w:val="List Note"/>
    <w:basedOn w:val="List"/>
    <w:rsid w:val="00757D27"/>
    <w:pPr>
      <w:pBdr>
        <w:top w:val="single" w:sz="6" w:space="2" w:color="918585"/>
        <w:bottom w:val="single" w:sz="6" w:space="2" w:color="918585"/>
      </w:pBdr>
      <w:tabs>
        <w:tab w:val="left" w:pos="1021"/>
      </w:tabs>
      <w:ind w:firstLine="0"/>
    </w:pPr>
  </w:style>
  <w:style w:type="paragraph" w:customStyle="1" w:styleId="Warning">
    <w:name w:val="Warning"/>
    <w:basedOn w:val="BodyText"/>
    <w:rsid w:val="00757D27"/>
    <w:pPr>
      <w:shd w:val="clear" w:color="auto" w:fill="D9D9D9"/>
      <w:tabs>
        <w:tab w:val="left" w:pos="992"/>
      </w:tabs>
      <w:ind w:left="119" w:right="119"/>
    </w:pPr>
    <w:rPr>
      <w:sz w:val="20"/>
    </w:rPr>
  </w:style>
  <w:style w:type="paragraph" w:customStyle="1" w:styleId="MarginIcons">
    <w:name w:val="Margin Icons"/>
    <w:basedOn w:val="BodyText"/>
    <w:rsid w:val="00757D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7D27"/>
    <w:rPr>
      <w:rFonts w:ascii="Courier New" w:hAnsi="Courier New"/>
    </w:rPr>
  </w:style>
  <w:style w:type="paragraph" w:customStyle="1" w:styleId="NoteBullet">
    <w:name w:val="Note Bullet"/>
    <w:basedOn w:val="Note"/>
    <w:rsid w:val="00757D27"/>
    <w:pPr>
      <w:tabs>
        <w:tab w:val="clear" w:pos="680"/>
      </w:tabs>
      <w:spacing w:before="60" w:after="60"/>
    </w:pPr>
  </w:style>
  <w:style w:type="paragraph" w:customStyle="1" w:styleId="SubHeading2">
    <w:name w:val="SubHeading2"/>
    <w:basedOn w:val="HeadingBase"/>
    <w:rsid w:val="00757D27"/>
    <w:pPr>
      <w:spacing w:before="240" w:after="60"/>
    </w:pPr>
    <w:rPr>
      <w:sz w:val="20"/>
    </w:rPr>
  </w:style>
  <w:style w:type="paragraph" w:customStyle="1" w:styleId="SubHeading1">
    <w:name w:val="SubHeading1"/>
    <w:basedOn w:val="HeadingBase"/>
    <w:rsid w:val="00757D27"/>
    <w:pPr>
      <w:spacing w:before="240" w:after="60"/>
    </w:pPr>
    <w:rPr>
      <w:color w:val="918585"/>
      <w:sz w:val="22"/>
    </w:rPr>
  </w:style>
  <w:style w:type="paragraph" w:customStyle="1" w:styleId="SideHeading">
    <w:name w:val="Side Heading"/>
    <w:basedOn w:val="HeadingBase"/>
    <w:rsid w:val="00757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D27"/>
    <w:pPr>
      <w:numPr>
        <w:numId w:val="13"/>
      </w:numPr>
    </w:pPr>
  </w:style>
  <w:style w:type="paragraph" w:styleId="PlainText">
    <w:name w:val="Plain Text"/>
    <w:basedOn w:val="Normal"/>
    <w:link w:val="PlainTextChar"/>
    <w:rsid w:val="00757D27"/>
    <w:rPr>
      <w:sz w:val="20"/>
    </w:rPr>
  </w:style>
  <w:style w:type="character" w:customStyle="1" w:styleId="PlainTextChar">
    <w:name w:val="Plain Text Char"/>
    <w:basedOn w:val="DefaultParagraphFont"/>
    <w:link w:val="PlainText"/>
    <w:rsid w:val="00757D27"/>
    <w:rPr>
      <w:rFonts w:ascii="Courier New" w:eastAsia="Times New Roman" w:hAnsi="Courier New" w:cs="Times New Roman"/>
      <w:sz w:val="20"/>
      <w:szCs w:val="20"/>
      <w:lang w:val="en-US" w:eastAsia="en-US"/>
    </w:rPr>
  </w:style>
  <w:style w:type="character" w:customStyle="1" w:styleId="MenuOption">
    <w:name w:val="Menu Option"/>
    <w:rsid w:val="00757D27"/>
    <w:rPr>
      <w:b/>
      <w:smallCaps/>
    </w:rPr>
  </w:style>
  <w:style w:type="paragraph" w:customStyle="1" w:styleId="TableListNumber">
    <w:name w:val="Table List Number"/>
    <w:basedOn w:val="ListNumber"/>
    <w:rsid w:val="00757D27"/>
    <w:pPr>
      <w:numPr>
        <w:numId w:val="0"/>
      </w:numPr>
    </w:pPr>
  </w:style>
  <w:style w:type="paragraph" w:styleId="TOC4">
    <w:name w:val="toc 4"/>
    <w:basedOn w:val="TOCBase"/>
    <w:next w:val="Normal"/>
    <w:semiHidden/>
    <w:rsid w:val="00757D27"/>
    <w:pPr>
      <w:tabs>
        <w:tab w:val="right" w:leader="dot" w:pos="9071"/>
      </w:tabs>
      <w:ind w:left="1701"/>
    </w:pPr>
  </w:style>
  <w:style w:type="paragraph" w:customStyle="1" w:styleId="ListAlpha">
    <w:name w:val="List Alpha"/>
    <w:basedOn w:val="List"/>
    <w:rsid w:val="00757D27"/>
    <w:pPr>
      <w:numPr>
        <w:numId w:val="10"/>
      </w:numPr>
    </w:pPr>
  </w:style>
  <w:style w:type="paragraph" w:customStyle="1" w:styleId="ListAlpha2">
    <w:name w:val="List Alpha 2"/>
    <w:basedOn w:val="List2"/>
    <w:rsid w:val="00757D27"/>
    <w:pPr>
      <w:numPr>
        <w:numId w:val="9"/>
      </w:numPr>
    </w:pPr>
  </w:style>
  <w:style w:type="paragraph" w:styleId="List2">
    <w:name w:val="List 2"/>
    <w:basedOn w:val="BodyText"/>
    <w:rsid w:val="00757D27"/>
    <w:pPr>
      <w:tabs>
        <w:tab w:val="left" w:pos="680"/>
      </w:tabs>
      <w:spacing w:before="60" w:after="60"/>
      <w:ind w:left="680" w:hanging="340"/>
    </w:pPr>
  </w:style>
  <w:style w:type="paragraph" w:styleId="List3">
    <w:name w:val="List 3"/>
    <w:basedOn w:val="BodyText"/>
    <w:rsid w:val="00757D27"/>
    <w:pPr>
      <w:tabs>
        <w:tab w:val="left" w:pos="1021"/>
      </w:tabs>
      <w:spacing w:before="60" w:after="60"/>
      <w:ind w:left="1020" w:hanging="340"/>
    </w:pPr>
  </w:style>
  <w:style w:type="paragraph" w:styleId="List4">
    <w:name w:val="List 4"/>
    <w:basedOn w:val="BodyText"/>
    <w:rsid w:val="00757D27"/>
    <w:pPr>
      <w:tabs>
        <w:tab w:val="left" w:pos="1361"/>
      </w:tabs>
      <w:spacing w:before="60" w:after="60"/>
      <w:ind w:left="1361" w:hanging="340"/>
    </w:pPr>
  </w:style>
  <w:style w:type="paragraph" w:styleId="List5">
    <w:name w:val="List 5"/>
    <w:basedOn w:val="BodyText"/>
    <w:rsid w:val="00757D27"/>
    <w:pPr>
      <w:tabs>
        <w:tab w:val="left" w:pos="1701"/>
      </w:tabs>
      <w:spacing w:before="60" w:after="60"/>
      <w:ind w:left="1701" w:hanging="340"/>
    </w:pPr>
  </w:style>
  <w:style w:type="paragraph" w:styleId="ListBullet4">
    <w:name w:val="List Bullet 4"/>
    <w:basedOn w:val="List4"/>
    <w:rsid w:val="00757D27"/>
    <w:pPr>
      <w:numPr>
        <w:numId w:val="4"/>
      </w:numPr>
    </w:pPr>
  </w:style>
  <w:style w:type="paragraph" w:styleId="ListBullet5">
    <w:name w:val="List Bullet 5"/>
    <w:basedOn w:val="List5"/>
    <w:rsid w:val="00757D27"/>
    <w:pPr>
      <w:numPr>
        <w:numId w:val="5"/>
      </w:numPr>
    </w:pPr>
  </w:style>
  <w:style w:type="paragraph" w:styleId="ListContinue2">
    <w:name w:val="List Continue 2"/>
    <w:basedOn w:val="List2"/>
    <w:rsid w:val="00757D27"/>
    <w:pPr>
      <w:ind w:firstLine="0"/>
    </w:pPr>
  </w:style>
  <w:style w:type="paragraph" w:styleId="ListContinue3">
    <w:name w:val="List Continue 3"/>
    <w:basedOn w:val="List3"/>
    <w:rsid w:val="00757D27"/>
    <w:pPr>
      <w:ind w:left="1021" w:firstLine="0"/>
    </w:pPr>
  </w:style>
  <w:style w:type="paragraph" w:styleId="ListContinue4">
    <w:name w:val="List Continue 4"/>
    <w:basedOn w:val="List4"/>
    <w:rsid w:val="00757D27"/>
    <w:pPr>
      <w:ind w:firstLine="0"/>
    </w:pPr>
  </w:style>
  <w:style w:type="paragraph" w:styleId="ListContinue5">
    <w:name w:val="List Continue 5"/>
    <w:basedOn w:val="List5"/>
    <w:rsid w:val="00757D27"/>
    <w:pPr>
      <w:ind w:firstLine="0"/>
    </w:pPr>
  </w:style>
  <w:style w:type="paragraph" w:styleId="ListNumber3">
    <w:name w:val="List Number 3"/>
    <w:basedOn w:val="List3"/>
    <w:rsid w:val="00757D27"/>
    <w:pPr>
      <w:numPr>
        <w:numId w:val="6"/>
      </w:numPr>
    </w:pPr>
  </w:style>
  <w:style w:type="paragraph" w:styleId="ListNumber4">
    <w:name w:val="List Number 4"/>
    <w:basedOn w:val="List4"/>
    <w:rsid w:val="00757D27"/>
    <w:pPr>
      <w:numPr>
        <w:numId w:val="7"/>
      </w:numPr>
    </w:pPr>
  </w:style>
  <w:style w:type="paragraph" w:styleId="ListNumber5">
    <w:name w:val="List Number 5"/>
    <w:basedOn w:val="List5"/>
    <w:rsid w:val="00757D27"/>
    <w:pPr>
      <w:numPr>
        <w:numId w:val="8"/>
      </w:numPr>
    </w:pPr>
  </w:style>
  <w:style w:type="paragraph" w:styleId="BlockText">
    <w:name w:val="Block Text"/>
    <w:basedOn w:val="Normal"/>
    <w:rsid w:val="00757D27"/>
    <w:pPr>
      <w:spacing w:after="120"/>
      <w:ind w:left="1440" w:right="1440"/>
    </w:pPr>
  </w:style>
  <w:style w:type="character" w:customStyle="1" w:styleId="Subscript">
    <w:name w:val="Subscript"/>
    <w:rsid w:val="00757D27"/>
    <w:rPr>
      <w:sz w:val="16"/>
      <w:vertAlign w:val="subscript"/>
    </w:rPr>
  </w:style>
  <w:style w:type="character" w:customStyle="1" w:styleId="Superscript">
    <w:name w:val="Superscript"/>
    <w:rsid w:val="00757D27"/>
    <w:rPr>
      <w:sz w:val="16"/>
      <w:vertAlign w:val="superscript"/>
    </w:rPr>
  </w:style>
  <w:style w:type="character" w:customStyle="1" w:styleId="Symbols">
    <w:name w:val="Symbols"/>
    <w:rsid w:val="00757D27"/>
    <w:rPr>
      <w:rFonts w:ascii="Symbol" w:hAnsi="Symbol"/>
    </w:rPr>
  </w:style>
  <w:style w:type="character" w:customStyle="1" w:styleId="MenuOptions">
    <w:name w:val="Menu Options"/>
    <w:rsid w:val="00757D27"/>
    <w:rPr>
      <w:rFonts w:ascii="Arial Narrow" w:hAnsi="Arial Narrow"/>
      <w:smallCaps/>
    </w:rPr>
  </w:style>
  <w:style w:type="character" w:customStyle="1" w:styleId="Buttons">
    <w:name w:val="Buttons"/>
    <w:rsid w:val="00757D27"/>
    <w:rPr>
      <w:b/>
    </w:rPr>
  </w:style>
  <w:style w:type="character" w:customStyle="1" w:styleId="Underlined">
    <w:name w:val="Underlined"/>
    <w:rsid w:val="00757D27"/>
    <w:rPr>
      <w:u w:val="single"/>
    </w:rPr>
  </w:style>
  <w:style w:type="paragraph" w:customStyle="1" w:styleId="TableBodyTextRight">
    <w:name w:val="Table Body Text Right"/>
    <w:basedOn w:val="TableBodyText"/>
    <w:rsid w:val="00757D27"/>
    <w:pPr>
      <w:widowControl w:val="0"/>
      <w:autoSpaceDE w:val="0"/>
      <w:autoSpaceDN w:val="0"/>
      <w:adjustRightInd w:val="0"/>
      <w:jc w:val="right"/>
    </w:pPr>
    <w:rPr>
      <w:rFonts w:cs="Arial"/>
      <w:szCs w:val="18"/>
    </w:rPr>
  </w:style>
  <w:style w:type="paragraph" w:customStyle="1" w:styleId="CopyrightText">
    <w:name w:val="Copyright Text"/>
    <w:basedOn w:val="BodyText"/>
    <w:rsid w:val="00757D27"/>
    <w:rPr>
      <w:sz w:val="18"/>
    </w:rPr>
  </w:style>
  <w:style w:type="paragraph" w:customStyle="1" w:styleId="BodySmallRight">
    <w:name w:val="Body Small Right"/>
    <w:basedOn w:val="BodyTextRight"/>
    <w:rsid w:val="00757D27"/>
    <w:rPr>
      <w:sz w:val="18"/>
      <w:szCs w:val="18"/>
    </w:rPr>
  </w:style>
  <w:style w:type="paragraph" w:customStyle="1" w:styleId="MarginEdition">
    <w:name w:val="Margin Edition"/>
    <w:basedOn w:val="MarginNote"/>
    <w:rsid w:val="00757D27"/>
    <w:pPr>
      <w:spacing w:before="0" w:after="0"/>
    </w:pPr>
    <w:rPr>
      <w:rFonts w:ascii="Times New Roman" w:hAnsi="Times New Roman"/>
      <w:color w:val="999999"/>
    </w:rPr>
  </w:style>
  <w:style w:type="paragraph" w:customStyle="1" w:styleId="Spacer">
    <w:name w:val="Spacer"/>
    <w:basedOn w:val="Normal"/>
    <w:rsid w:val="00757D27"/>
    <w:rPr>
      <w:sz w:val="2"/>
      <w:szCs w:val="2"/>
    </w:rPr>
  </w:style>
  <w:style w:type="character" w:customStyle="1" w:styleId="Small">
    <w:name w:val="Small"/>
    <w:rsid w:val="00757D27"/>
    <w:rPr>
      <w:sz w:val="16"/>
    </w:rPr>
  </w:style>
  <w:style w:type="paragraph" w:customStyle="1" w:styleId="WideTable">
    <w:name w:val="Wide Table"/>
    <w:basedOn w:val="Normal"/>
    <w:rsid w:val="00757D27"/>
    <w:pPr>
      <w:ind w:left="-1418"/>
    </w:pPr>
    <w:rPr>
      <w:sz w:val="2"/>
      <w:szCs w:val="2"/>
    </w:rPr>
  </w:style>
  <w:style w:type="character" w:styleId="PageNumber">
    <w:name w:val="page number"/>
    <w:rsid w:val="00757D27"/>
  </w:style>
  <w:style w:type="paragraph" w:styleId="Quote">
    <w:name w:val="Quote"/>
    <w:basedOn w:val="Heading1"/>
    <w:link w:val="QuoteChar"/>
    <w:qFormat/>
    <w:rsid w:val="00757D27"/>
    <w:rPr>
      <w:b w:val="0"/>
      <w:sz w:val="72"/>
      <w:szCs w:val="72"/>
      <w:lang w:val="en-NZ"/>
    </w:rPr>
  </w:style>
  <w:style w:type="character" w:customStyle="1" w:styleId="QuoteChar">
    <w:name w:val="Quote Char"/>
    <w:link w:val="Quote"/>
    <w:rsid w:val="00757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D27"/>
    <w:pPr>
      <w:pageBreakBefore/>
    </w:pPr>
  </w:style>
  <w:style w:type="paragraph" w:customStyle="1" w:styleId="Border">
    <w:name w:val="Border"/>
    <w:basedOn w:val="Normal"/>
    <w:qFormat/>
    <w:rsid w:val="00757D27"/>
    <w:pPr>
      <w:pBdr>
        <w:top w:val="single" w:sz="18" w:space="1" w:color="auto"/>
      </w:pBdr>
    </w:pPr>
    <w:rPr>
      <w:rFonts w:ascii="Times New Roman" w:hAnsi="Times New Roman"/>
      <w:color w:val="FFFFFF"/>
      <w:sz w:val="2"/>
    </w:rPr>
  </w:style>
  <w:style w:type="character" w:styleId="IntenseEmphasis">
    <w:name w:val="Intense Emphasis"/>
    <w:uiPriority w:val="21"/>
    <w:qFormat/>
    <w:rsid w:val="00757D27"/>
    <w:rPr>
      <w:b/>
      <w:bCs/>
      <w:i/>
      <w:iCs/>
      <w:color w:val="auto"/>
    </w:rPr>
  </w:style>
  <w:style w:type="paragraph" w:styleId="IntenseQuote">
    <w:name w:val="Intense Quote"/>
    <w:basedOn w:val="Normal"/>
    <w:next w:val="Normal"/>
    <w:link w:val="IntenseQuoteChar"/>
    <w:uiPriority w:val="30"/>
    <w:qFormat/>
    <w:rsid w:val="00757D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7D27"/>
    <w:rPr>
      <w:rFonts w:ascii="Courier New" w:eastAsia="Times New Roman" w:hAnsi="Courier New" w:cs="Times New Roman"/>
      <w:b/>
      <w:bCs/>
      <w:i/>
      <w:iCs/>
      <w:szCs w:val="20"/>
      <w:lang w:val="en-US" w:eastAsia="en-US"/>
    </w:rPr>
  </w:style>
  <w:style w:type="character" w:styleId="SubtleReference">
    <w:name w:val="Subtle Reference"/>
    <w:uiPriority w:val="31"/>
    <w:qFormat/>
    <w:rsid w:val="00757D27"/>
    <w:rPr>
      <w:smallCaps/>
      <w:color w:val="auto"/>
      <w:u w:val="single"/>
    </w:rPr>
  </w:style>
  <w:style w:type="character" w:styleId="IntenseReference">
    <w:name w:val="Intense Reference"/>
    <w:uiPriority w:val="32"/>
    <w:qFormat/>
    <w:rsid w:val="00757D27"/>
    <w:rPr>
      <w:b/>
      <w:bCs/>
      <w:smallCaps/>
      <w:color w:val="auto"/>
      <w:spacing w:val="5"/>
      <w:u w:val="single"/>
    </w:rPr>
  </w:style>
  <w:style w:type="paragraph" w:customStyle="1" w:styleId="2ColumnHeading">
    <w:name w:val="2Column Heading"/>
    <w:basedOn w:val="BodyText"/>
    <w:qFormat/>
    <w:rsid w:val="00757D27"/>
    <w:pPr>
      <w:spacing w:after="60"/>
      <w:ind w:left="-2268"/>
    </w:pPr>
    <w:rPr>
      <w:b/>
    </w:rPr>
  </w:style>
  <w:style w:type="paragraph" w:customStyle="1" w:styleId="Heading1TOC">
    <w:name w:val="Heading1 TOC"/>
    <w:basedOn w:val="Normal"/>
    <w:qFormat/>
    <w:rsid w:val="00757D27"/>
    <w:pPr>
      <w:spacing w:before="240" w:after="120"/>
    </w:pPr>
    <w:rPr>
      <w:rFonts w:ascii="Times New Roman" w:hAnsi="Times New Roman"/>
      <w:b/>
      <w:sz w:val="32"/>
    </w:rPr>
  </w:style>
  <w:style w:type="paragraph" w:customStyle="1" w:styleId="Heading2TOC">
    <w:name w:val="Heading2 TOC"/>
    <w:basedOn w:val="Normal"/>
    <w:qFormat/>
    <w:rsid w:val="00757D27"/>
    <w:pPr>
      <w:spacing w:before="240" w:after="60"/>
    </w:pPr>
    <w:rPr>
      <w:rFonts w:ascii="Times New Roman" w:hAnsi="Times New Roman"/>
      <w:b/>
      <w:sz w:val="28"/>
    </w:rPr>
  </w:style>
  <w:style w:type="character" w:customStyle="1" w:styleId="Underline">
    <w:name w:val="Underline"/>
    <w:qFormat/>
    <w:rsid w:val="00757D27"/>
    <w:rPr>
      <w:u w:val="single"/>
    </w:rPr>
  </w:style>
  <w:style w:type="character" w:customStyle="1" w:styleId="BoldandItalics">
    <w:name w:val="Bold and Italics"/>
    <w:qFormat/>
    <w:rsid w:val="00757D27"/>
    <w:rPr>
      <w:b/>
      <w:i/>
      <w:u w:val="none"/>
    </w:rPr>
  </w:style>
  <w:style w:type="paragraph" w:styleId="BalloonText">
    <w:name w:val="Balloon Text"/>
    <w:basedOn w:val="Normal"/>
    <w:link w:val="BalloonTextChar"/>
    <w:rsid w:val="00757D27"/>
    <w:rPr>
      <w:rFonts w:ascii="Tahoma" w:hAnsi="Tahoma" w:cs="Tahoma"/>
      <w:sz w:val="16"/>
      <w:szCs w:val="16"/>
    </w:rPr>
  </w:style>
  <w:style w:type="character" w:customStyle="1" w:styleId="BalloonTextChar">
    <w:name w:val="Balloon Text Char"/>
    <w:link w:val="BalloonText"/>
    <w:rsid w:val="00757D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D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7D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2917</Words>
  <Characters>18471</Characters>
  <Application>Microsoft Office Word</Application>
  <DocSecurity>0</DocSecurity>
  <Lines>726</Lines>
  <Paragraphs>272</Paragraphs>
  <ScaleCrop>false</ScaleCrop>
  <Company>Author-it Software Corporation Ltd.</Company>
  <LinksUpToDate>false</LinksUpToDate>
  <CharactersWithSpaces>21167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UETTDRTS38A Install and replace high voltage metering and associated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2012-05-26T12:27:00Z</dcterms:created>
  <dcterms:modified xsi:type="dcterms:W3CDTF">2012-05-26T12:27:00Z</dcterms:modified>
</cp:coreProperties>
</file>