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E22" w:rsidP="00173E22">
      <w:pPr>
        <w:pStyle w:val="Title"/>
      </w:pPr>
      <w:r>
        <w:fldChar w:fldCharType="begin"/>
      </w:r>
      <w:r>
        <w:instrText xml:space="preserve"> TITLE   \* MERGEFORMAT </w:instrText>
      </w:r>
      <w:r>
        <w:fldChar w:fldCharType="separate"/>
      </w:r>
      <w:r>
        <w:t>UETTDRTS37A Perform current injection testing using phantom load</w:t>
      </w:r>
      <w:r>
        <w:fldChar w:fldCharType="end"/>
      </w:r>
    </w:p>
    <w:p w:rsidR="00173E22" w:rsidP="00173E22">
      <w:pPr>
        <w:pStyle w:val="Version"/>
        <w:sectPr w:rsidSect="00087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7F1" w:rsidP="000877F1">
      <w:pPr>
        <w:pStyle w:val="SuperHeading"/>
      </w:pPr>
      <w:r w:rsidRPr="000877F1">
        <w:t>UETTDRTS37A Perform current injection testing using phantom load</w:t>
      </w:r>
    </w:p>
    <w:p w:rsidR="00000000" w:rsidRPr="000877F1" w:rsidP="000877F1">
      <w:pPr>
        <w:pStyle w:val="Heading1"/>
      </w:pPr>
      <w:bookmarkStart w:id="1" w:name="O_464754"/>
      <w:bookmarkEnd w:id="1"/>
      <w:r w:rsidRPr="000877F1">
        <w:t>Modification History</w:t>
      </w:r>
    </w:p>
    <w:p w:rsidR="00000000" w:rsidRPr="000877F1" w:rsidP="000877F1">
      <w:pPr>
        <w:pStyle w:val="BodyText"/>
      </w:pPr>
      <w:r w:rsidRPr="000877F1">
        <w:t>Not applicable.</w:t>
      </w:r>
    </w:p>
    <w:p w:rsidR="00000000" w:rsidRPr="000877F1" w:rsidP="000877F1">
      <w:pPr>
        <w:pStyle w:val="AllowPageBreak"/>
      </w:pPr>
    </w:p>
    <w:p w:rsidR="00000000" w:rsidRPr="000877F1" w:rsidP="000877F1">
      <w:pPr>
        <w:pStyle w:val="Heading1"/>
      </w:pPr>
      <w:bookmarkStart w:id="2" w:name="O_464752"/>
      <w:bookmarkEnd w:id="2"/>
      <w:r w:rsidRPr="000877F1">
        <w:t>Unit Descriptor</w:t>
      </w:r>
    </w:p>
    <w:tbl>
      <w:tblPr>
        <w:tblW w:w="0" w:type="auto"/>
        <w:tblLayout w:type="fixed"/>
        <w:tblCellMar>
          <w:left w:w="62" w:type="dxa"/>
          <w:right w:w="62" w:type="dxa"/>
        </w:tblCellMar>
        <w:tblLook w:val="0000"/>
      </w:tblPr>
      <w:tblGrid>
        <w:gridCol w:w="2700"/>
        <w:gridCol w:w="5760"/>
      </w:tblGrid>
      <w:tr w:rsidTr="00173E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1)</w:t>
            </w:r>
            <w:r w:rsidRPr="000877F1">
              <w:t xml:space="preserve"> </w:t>
            </w:r>
            <w:r w:rsidRPr="000877F1">
              <w:rPr>
                <w:rStyle w:val="SpecialBold"/>
              </w:rPr>
              <w:t>Scope:</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77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1.1) Descriptor</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This Competency Standard Unit covers the performance of current injecting testing using a phantom load.  It includes the application of artificial load onto low voltage current transformers (CT) to determine correct meter function while ensuring testing is</w:t>
            </w:r>
            <w:r w:rsidRPr="000877F1">
              <w:t xml:space="preserve"> conducted in accordance with established procedures.</w:t>
            </w:r>
          </w:p>
          <w:p w:rsidR="00000000" w:rsidRPr="000877F1" w:rsidP="000877F1">
            <w:pPr>
              <w:pStyle w:val="BodyText"/>
            </w:pPr>
            <w:r w:rsidRPr="000877F1">
              <w:t>It also includes the validation of secondary wiring circuits to determine the correct operation of the metering scheme.</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3" w:name="O_464741"/>
      <w:bookmarkEnd w:id="3"/>
      <w:r w:rsidRPr="000877F1">
        <w:t>Application of the Unit</w:t>
      </w:r>
    </w:p>
    <w:tbl>
      <w:tblPr>
        <w:tblW w:w="0" w:type="auto"/>
        <w:tblLayout w:type="fixed"/>
        <w:tblCellMar>
          <w:left w:w="62" w:type="dxa"/>
          <w:right w:w="62" w:type="dxa"/>
        </w:tblCellMar>
        <w:tblLook w:val="0000"/>
      </w:tblPr>
      <w:tblGrid>
        <w:gridCol w:w="2672"/>
        <w:gridCol w:w="5699"/>
      </w:tblGrid>
      <w:tr w:rsidTr="00173E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2)</w:t>
            </w:r>
          </w:p>
        </w:tc>
      </w:tr>
      <w:tr w:rsidTr="00173E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This competency standard is suitable for employment-based programs under an approved contract of training at the AQF level of the qualification in which the unit is first packaged or higher.</w:t>
            </w:r>
          </w:p>
          <w:p w:rsidR="00000000" w:rsidRPr="000877F1" w:rsidP="000877F1">
            <w:pPr>
              <w:pStyle w:val="BodyText"/>
            </w:pPr>
            <w:r w:rsidRPr="000877F1">
              <w:t>The unit may be selected as an elective from the relevant schedul</w:t>
            </w:r>
            <w:r w:rsidRPr="000877F1">
              <w:t>e (see qualification packaging rules) provided that all prerequisite units are undertaken or addressed through recognition processes.</w:t>
            </w:r>
          </w:p>
          <w:p w:rsidR="00000000" w:rsidRPr="000877F1" w:rsidP="000877F1">
            <w:pPr>
              <w:pStyle w:val="BodyText"/>
            </w:pPr>
            <w:r w:rsidRPr="000877F1">
              <w:t>This unit may be included in a skill set provided that it is listed in the schedule of electives (see Qualification Framew</w:t>
            </w:r>
            <w:r w:rsidRPr="000877F1">
              <w:t>ork) and all prerequisite units are undertaken or addressed through recognition processes.</w:t>
            </w:r>
          </w:p>
          <w:p w:rsidR="00000000" w:rsidRPr="000877F1" w:rsidP="000877F1">
            <w:pPr>
              <w:pStyle w:val="BodyText"/>
            </w:pPr>
            <w:r w:rsidRPr="000877F1">
              <w:t>Delivery and assessment of this unit should be undertaken within regard to the requirements of License to Practice (1.2 above), Prerequisite Competencies and Literac</w:t>
            </w:r>
            <w:r w:rsidRPr="000877F1">
              <w:t xml:space="preserve">y and Numeracy skills (2 above) and the recommendations for concurrent assessment and </w:t>
            </w:r>
            <w:r w:rsidRPr="000877F1">
              <w:t>relationship with other units (9.5 below).</w:t>
            </w:r>
          </w:p>
          <w:p w:rsidR="00000000" w:rsidRPr="000877F1" w:rsidP="000877F1">
            <w:pPr>
              <w:pStyle w:val="BodyText"/>
            </w:pPr>
            <w:r w:rsidRPr="000877F1">
              <w:t>Practice in the workplace and during training is also subject to regulations directly related to occupational health and safety</w:t>
            </w:r>
            <w:r w:rsidRPr="000877F1">
              <w:t xml:space="preserve"> and where applicable contracts of training such as apprenticeships.</w:t>
            </w:r>
          </w:p>
          <w:p w:rsidR="00000000" w:rsidRPr="000877F1" w:rsidP="000877F1">
            <w:pPr>
              <w:pStyle w:val="BodyText"/>
            </w:pPr>
            <w:r w:rsidRPr="000877F1">
              <w:t>Note:</w:t>
            </w:r>
          </w:p>
          <w:p w:rsidR="00000000" w:rsidRPr="000877F1" w:rsidP="000877F1">
            <w:pPr>
              <w:pStyle w:val="BodyText"/>
            </w:pPr>
            <w:r w:rsidRPr="000877F1">
              <w:t>1. Compliance with permits may be required in various jurisdictions and typically relates to the operation of plant, machinery and equipment such as elevating work platforms, powder</w:t>
            </w:r>
            <w:r w:rsidRPr="000877F1">
              <w:t xml:space="preserve"> operated fixing tools, power operated tools, vehicles, road signage and traffic control and lifting equipment. Permits may also be required for some work environments such as confined spaces, working aloft, near live electrical apparatus and site rehabili</w:t>
            </w:r>
            <w:r w:rsidRPr="000877F1">
              <w:t>tation.</w:t>
            </w:r>
          </w:p>
          <w:p w:rsidR="00000000" w:rsidRPr="000877F1" w:rsidP="000877F1">
            <w:pPr>
              <w:pStyle w:val="BodyText"/>
            </w:pPr>
            <w:r w:rsidRPr="000877F1">
              <w:t>2. Compliance may be required in various jurisdictions relating to currency in First Aid, confined space, lifting, risk safety measures etc.</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4" w:name="O_464748"/>
      <w:bookmarkEnd w:id="4"/>
      <w:r w:rsidRPr="000877F1">
        <w:t>Licensing/Regulatory Information</w:t>
      </w:r>
    </w:p>
    <w:tbl>
      <w:tblPr>
        <w:tblW w:w="0" w:type="auto"/>
        <w:tblLayout w:type="fixed"/>
        <w:tblCellMar>
          <w:left w:w="62" w:type="dxa"/>
          <w:right w:w="62" w:type="dxa"/>
        </w:tblCellMar>
        <w:tblLook w:val="0000"/>
      </w:tblPr>
      <w:tblGrid>
        <w:gridCol w:w="2700"/>
        <w:gridCol w:w="5760"/>
      </w:tblGrid>
      <w:tr w:rsidTr="00173E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 xml:space="preserve">3) </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The skills and knowledge described in this unit requires a licence/registration to practice in the work place subject to regulations for undertaking of electrical work. Practice in workplace and during training is also subject to regulations directly relat</w:t>
            </w:r>
            <w:r w:rsidRPr="000877F1">
              <w:t>ed to Occupational Health and Safety, electricity/telecommunications/gas/water industry safety and compliance, industrial relations, environmental protection, anti discrimination and training. Commonwealth, State/Territory or Local Government legislation a</w:t>
            </w:r>
            <w:r w:rsidRPr="000877F1">
              <w:t>nd regulations may exist that limits the age of operating certain equipment.</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5" w:name="O_464749"/>
      <w:bookmarkEnd w:id="5"/>
      <w:r w:rsidRPr="000877F1">
        <w:t>Pre-Requisites</w:t>
      </w:r>
    </w:p>
    <w:tbl>
      <w:tblPr>
        <w:tblW w:w="0" w:type="auto"/>
        <w:tblLayout w:type="fixed"/>
        <w:tblCellMar>
          <w:left w:w="62" w:type="dxa"/>
          <w:right w:w="62" w:type="dxa"/>
        </w:tblCellMar>
        <w:tblLook w:val="0000"/>
      </w:tblPr>
      <w:tblGrid>
        <w:gridCol w:w="2700"/>
        <w:gridCol w:w="1980"/>
        <w:gridCol w:w="3780"/>
      </w:tblGrid>
      <w:tr w:rsidTr="00173E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 xml:space="preserve">4) </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4.1)</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 xml:space="preserve">Granting of competency in this unit shall be made only </w:t>
            </w:r>
            <w:r w:rsidRPr="000877F1">
              <w:t>after competency in the following unit(s) has/have been confirmed.</w:t>
            </w:r>
          </w:p>
          <w:p w:rsidR="00000000" w:rsidP="000877F1">
            <w:pPr>
              <w:pStyle w:val="BodyText"/>
              <w:rPr>
                <w:lang w:val="en-NZ"/>
              </w:rPr>
            </w:pPr>
            <w:r w:rsidRPr="000877F1">
              <w:t xml:space="preserve">Where pre-requisite pathways have been identified. All competencies in the Common Unit Group must be have been completed plus all the </w:t>
            </w:r>
            <w:r w:rsidRPr="000877F1">
              <w:t>competencies in one (1) of the identified Pathway Unit Group(s):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Common Unit Group</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Unit Code</w:t>
            </w:r>
            <w:r w:rsidRPr="000877F1">
              <w:tab/>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Unit Title</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Apply Occupational Health and Safety regulations, codes and practices in the workplace</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Fabricate, assemble and dismantle utilities industry components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Solve problems in d.c.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Fix and secure electrotechnology equipment</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Use drawings, diagrams, schedules, standards, codes and specifications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UEENEEE137A</w:t>
            </w:r>
          </w:p>
        </w:tc>
        <w:tc>
          <w:tcPr>
            <w:tcW w:w="378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Document and apply measures to control OHS risks associated with electrotechnology work</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Solve problems in single and three phase low voltage machines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Solve problems in single and three phase low voltage electrical ap</w:t>
            </w:r>
            <w:r w:rsidRPr="000877F1">
              <w:t>paratus and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Arrange circuits, control and protection for general electrical installations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Solve problems in electromagnetic devices and related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Solve problems in electromagnetic devices and related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Install low voltage wiring and accessories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Install appliances, switchgear and associated accessories for low voltage electrical installations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Terminate</w:t>
            </w:r>
            <w:r w:rsidRPr="000877F1">
              <w:t xml:space="preserve"> cables, cords and accessories for low voltage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Select wiring systems and cables for low voltage general electrical installations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Trouble-shoot and repair faults in low voltage electrical apparatus and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Develop and connect electrical control circuits</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Install, set up and commission interval metering</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77F1">
            <w:pPr>
              <w:pStyle w:val="BodyText"/>
              <w:rPr>
                <w:lang w:val="en-NZ"/>
              </w:rPr>
            </w:pPr>
            <w:r w:rsidRPr="000877F1">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RPr="000877F1" w:rsidP="000877F1">
            <w:pPr>
              <w:pStyle w:val="BodyText"/>
            </w:pPr>
            <w:r w:rsidRPr="000877F1">
              <w:t>Apply sustainable energy and environmental procedures</w:t>
            </w:r>
          </w:p>
        </w:tc>
      </w:tr>
    </w:tbl>
    <w:p w:rsidR="00000000" w:rsidRPr="000877F1" w:rsidP="000877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73E2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 xml:space="preserve">4.2) </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Participants are best equipped to achieve this unit if they have reading, writing and numeracy skills indicated by the following scales. Description of each scale is given in Volume 2, Part 3 “Literacy and Numeracy”</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Reading</w:t>
            </w:r>
          </w:p>
        </w:tc>
        <w:tc>
          <w:tcPr>
            <w:tcW w:w="81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4</w:t>
            </w:r>
          </w:p>
        </w:tc>
        <w:tc>
          <w:tcPr>
            <w:tcW w:w="99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Writing</w:t>
            </w:r>
          </w:p>
        </w:tc>
        <w:tc>
          <w:tcPr>
            <w:tcW w:w="90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4</w:t>
            </w:r>
          </w:p>
        </w:tc>
        <w:tc>
          <w:tcPr>
            <w:tcW w:w="12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Numeracy</w:t>
            </w:r>
          </w:p>
        </w:tc>
        <w:tc>
          <w:tcPr>
            <w:tcW w:w="72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4</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6" w:name="O_464745"/>
      <w:bookmarkEnd w:id="6"/>
      <w:r w:rsidRPr="000877F1">
        <w:t>Employability Skills Information</w:t>
      </w:r>
    </w:p>
    <w:tbl>
      <w:tblPr>
        <w:tblW w:w="0" w:type="auto"/>
        <w:tblLayout w:type="fixed"/>
        <w:tblCellMar>
          <w:left w:w="62" w:type="dxa"/>
          <w:right w:w="62" w:type="dxa"/>
        </w:tblCellMar>
        <w:tblLook w:val="0000"/>
      </w:tblPr>
      <w:tblGrid>
        <w:gridCol w:w="2700"/>
        <w:gridCol w:w="5760"/>
      </w:tblGrid>
      <w:tr w:rsidTr="00173E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 xml:space="preserve">5) </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The required outcomes described in this unit of competency contain applicable facets of Employability Skills. The Employability Skills Summary of the qualification in which this u</w:t>
            </w:r>
            <w:r w:rsidRPr="000877F1">
              <w:t>nit of competency is packaged will assist in identifying Employability Skill requirements.</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7" w:name="O_464744"/>
      <w:bookmarkEnd w:id="7"/>
      <w:r w:rsidRPr="000877F1">
        <w:t>Elements and Performance Criteria Pre-Content</w:t>
      </w:r>
    </w:p>
    <w:tbl>
      <w:tblPr>
        <w:tblW w:w="0" w:type="auto"/>
        <w:tblLayout w:type="fixed"/>
        <w:tblCellMar>
          <w:left w:w="62" w:type="dxa"/>
          <w:right w:w="62" w:type="dxa"/>
        </w:tblCellMar>
        <w:tblLook w:val="0000"/>
      </w:tblPr>
      <w:tblGrid>
        <w:gridCol w:w="2700"/>
        <w:gridCol w:w="5760"/>
      </w:tblGrid>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6)</w:t>
            </w:r>
            <w:r w:rsidRPr="000877F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Performance</w:t>
            </w:r>
            <w:r w:rsidRPr="000877F1">
              <w:t xml:space="preserve"> Criteria describe the required performance needed to demonstrate achievement of the element. Assessment of performance is to be consistent with the Evidence Guide.</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8" w:name="O_464743"/>
      <w:bookmarkEnd w:id="8"/>
      <w:r w:rsidRPr="000877F1">
        <w:t>Elements and Performance Criteria</w:t>
      </w:r>
    </w:p>
    <w:tbl>
      <w:tblPr>
        <w:tblW w:w="0" w:type="auto"/>
        <w:tblLayout w:type="fixed"/>
        <w:tblCellMar>
          <w:left w:w="62" w:type="dxa"/>
          <w:right w:w="62" w:type="dxa"/>
        </w:tblCellMar>
        <w:tblLook w:val="0000"/>
      </w:tblPr>
      <w:tblGrid>
        <w:gridCol w:w="402"/>
        <w:gridCol w:w="2298"/>
        <w:gridCol w:w="812"/>
        <w:gridCol w:w="4948"/>
      </w:tblGrid>
      <w:tr w:rsidTr="00173E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PERFORMANCE CRITERIA</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w:t>
            </w:r>
          </w:p>
        </w:tc>
        <w:tc>
          <w:tcPr>
            <w:tcW w:w="229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Plan for the performance of current injection testing using phantom load</w:t>
            </w: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1.1</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OHS practices/procedures and environmental and sustainable energy procedures, which may influence the performance of current injection testing using phantom load, are reviewed and</w:t>
            </w:r>
            <w:r w:rsidRPr="000877F1">
              <w:t xml:space="preserve"> determined.</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1.2</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Purpose of the performance of current injection testing using phantom load is established after data is analysed and expected outcomes of the work are confirmed with the appropriate personnel.</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1.3</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Organisational established procedure</w:t>
            </w:r>
            <w:r w:rsidRPr="000877F1">
              <w:t>s, policies and specifications for the performance of current injection testing using phantom load are obtained or established with the appropriate personnel.</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1.4</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Performance of current injection testing using phantom load procedures are discussed with/directed to the appropriate personnel in order to ascertain the project brief.</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1.5</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Current injecting testing parameters are established from organisational establi</w:t>
            </w:r>
            <w:r w:rsidRPr="000877F1">
              <w:t>shed procedures, policies and specifications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1.6</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Equipment/tools and personal protective equipment are selected based on specified Performance Criteria and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1.7</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Work roles and tasks are allocated according to requirements and i</w:t>
            </w:r>
            <w:r w:rsidRPr="000877F1">
              <w:t>ndividuals’ competencies.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1.8</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Work is prioritised and sequenced for the most efficient/effective outcome, completed within an acceptable timeframe to a quality standard and in accordance with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1.9</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Liaison and communication issues with other/authorised personnel, authorities, clients and customers are resolved and activities coordinated to carry out work.</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1.10</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Risk control measures are identified, prioritised and evaluated against the work schedul</w:t>
            </w:r>
            <w:r w:rsidRPr="000877F1">
              <w:t>e.</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1.11</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Relevant internal/external work permits are obtained to coordinate the performance of work according to requirements and/or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w:t>
            </w:r>
          </w:p>
        </w:tc>
        <w:tc>
          <w:tcPr>
            <w:tcW w:w="2298" w:type="dxa"/>
            <w:vMerge w:val="restart"/>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Carry out the performance of current injection testing using phantom load</w:t>
            </w: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2.1</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OHS and sustainable energy principles, functionality and practices to prevent the incidents of accidents and minimise waste are incorporated into the project in accordance with requirements and/or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2.2</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Decisions with regard to per</w:t>
            </w:r>
            <w:r w:rsidRPr="000877F1">
              <w:t>formance of current injection testing using phantom load are made on the basis of safety and effective outcomes according to requirements and/or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2.3</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Mathematical/engineering models for the application of current injection testing</w:t>
            </w:r>
            <w:r w:rsidRPr="000877F1">
              <w:t xml:space="preserve"> using phantom load are used to analyse the effectiveness of the finished project as per requirements and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2.4</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Technical advice is given regarding potential hazards, safety risks and control measures so that monitoring and preventative action can be undertaken and/or appropriate authorities consulted, where necessary, in accordance with requirements and established</w:t>
            </w:r>
            <w:r w:rsidRPr="000877F1">
              <w:t xml:space="preserve">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2.5</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Essential knowledge and associated skills are applied to analyse specific data and compare it with compliance specifications to ensure completion of the project within an agreed timeframe according to requirements.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2.6</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Application of</w:t>
            </w:r>
            <w:r w:rsidRPr="000877F1">
              <w:t xml:space="preserve"> current injection testing using phantom load is undertaken according to requirements and established procedures.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2.7</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Solutions to non-routine problems are identified and actioned, using essential knowledge and associated skills, according to requiremen</w:t>
            </w:r>
            <w:r w:rsidRPr="000877F1">
              <w:t>ts.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2.8</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Quality of work is monitored against personal performance agreement and/or established organisational and professional standards.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3</w:t>
            </w:r>
          </w:p>
        </w:tc>
        <w:tc>
          <w:tcPr>
            <w:tcW w:w="229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Complete the performance of current injection testing using phantom load</w:t>
            </w: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3.1</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Final inspections of the low voltage current transformers are undertaken to ensure they comply with all requirements and include all specifications and documents needed to complete the project.</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3.2</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Appropriate internal/external personnel are notified of</w:t>
            </w:r>
            <w:r w:rsidRPr="000877F1">
              <w:t xml:space="preserve"> completion and reports and/or completion documents are finalised/commissioned according to established procedures and timeframes.</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3.3</w:t>
            </w:r>
          </w:p>
        </w:tc>
        <w:tc>
          <w:tcPr>
            <w:tcW w:w="4948"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Reports and/or completion documents are submitted to relevant personnel/organisations for approval and, where applicab</w:t>
            </w:r>
            <w:r w:rsidRPr="000877F1">
              <w:t>le, statutory or regulatory approval.</w:t>
            </w:r>
          </w:p>
        </w:tc>
      </w:tr>
      <w:tr w:rsidTr="00173E22">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3.4</w:t>
            </w:r>
          </w:p>
        </w:tc>
        <w:tc>
          <w:tcPr>
            <w:tcW w:w="4948"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Approved copies of the application of current injection testing using phantom load, documents are issued and records are updated in accordance with established procedures.</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9" w:name="O_464751"/>
      <w:bookmarkEnd w:id="9"/>
      <w:r w:rsidRPr="000877F1">
        <w:t>Required Skills and Knowledge</w:t>
      </w:r>
    </w:p>
    <w:tbl>
      <w:tblPr>
        <w:tblW w:w="0" w:type="auto"/>
        <w:tblLayout w:type="fixed"/>
        <w:tblCellMar>
          <w:left w:w="62" w:type="dxa"/>
          <w:right w:w="62" w:type="dxa"/>
        </w:tblCellMar>
        <w:tblLook w:val="0000"/>
      </w:tblPr>
      <w:tblGrid>
        <w:gridCol w:w="8460"/>
      </w:tblGrid>
      <w:tr w:rsidTr="00173E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REQUIRED SKILLS AND KNOWLEDGE</w:t>
            </w:r>
          </w:p>
        </w:tc>
      </w:tr>
      <w:tr w:rsidTr="00173E2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8)</w:t>
            </w:r>
            <w:r w:rsidRPr="000877F1">
              <w:t xml:space="preserve"> Essential Knowledge and Associated Skills (EKAS): This describes the essential skills and knowledge and their level, required for this unit.</w:t>
            </w:r>
          </w:p>
          <w:p w:rsidR="00000000" w:rsidRPr="000877F1" w:rsidP="000877F1">
            <w:pPr>
              <w:pStyle w:val="BodyText"/>
            </w:pPr>
            <w:r w:rsidRPr="000877F1">
              <w:t>Evidence shall show that knowledge has been acquire</w:t>
            </w:r>
            <w:r w:rsidRPr="000877F1">
              <w:t>d of the application of current injection testing using phantom load.</w:t>
            </w:r>
          </w:p>
          <w:p w:rsidR="00000000" w:rsidRPr="000877F1" w:rsidP="000877F1">
            <w:pPr>
              <w:pStyle w:val="BodyText"/>
            </w:pPr>
            <w:r w:rsidRPr="000877F1">
              <w:t>All knowledge and skills detailed in this unit should be contextualised to current industry practices and technologies.</w:t>
            </w:r>
          </w:p>
          <w:p w:rsidR="00000000" w:rsidRPr="000877F1" w:rsidP="000877F1">
            <w:pPr>
              <w:pStyle w:val="BodyText"/>
            </w:pPr>
            <w:r w:rsidRPr="000877F1">
              <w:t xml:space="preserve">KS01-TTS37A </w:t>
            </w:r>
            <w:r w:rsidRPr="000877F1">
              <w:tab/>
              <w:t>Current injection testing using phantom load for ener</w:t>
            </w:r>
            <w:r w:rsidRPr="000877F1">
              <w:t>gy/revenue metering</w:t>
            </w:r>
          </w:p>
          <w:p w:rsidR="00000000" w:rsidRPr="000877F1" w:rsidP="000877F1">
            <w:pPr>
              <w:pStyle w:val="BodyText"/>
            </w:pPr>
            <w:r w:rsidRPr="000877F1">
              <w:t xml:space="preserve">Evidence shall show an understanding of the performance of current injection testing using phantom load for energy/revenue metering to an extent indicated by the following aspects: </w:t>
            </w:r>
          </w:p>
          <w:p w:rsidR="00000000" w:rsidRPr="000877F1" w:rsidP="000877F1">
            <w:pPr>
              <w:pStyle w:val="BodyText"/>
            </w:pPr>
            <w:r w:rsidRPr="000877F1">
              <w:t>T1</w:t>
            </w:r>
            <w:r w:rsidRPr="000877F1">
              <w:tab/>
              <w:t xml:space="preserve">The application of current to an existing customer </w:t>
            </w:r>
            <w:r w:rsidRPr="000877F1">
              <w:t>load through the primary of the Current Transformer</w:t>
            </w:r>
          </w:p>
          <w:p w:rsidR="00000000" w:rsidRPr="000877F1" w:rsidP="000877F1">
            <w:pPr>
              <w:pStyle w:val="BodyText"/>
            </w:pPr>
            <w:r w:rsidRPr="000877F1">
              <w:t>T2</w:t>
            </w:r>
            <w:r w:rsidRPr="000877F1">
              <w:tab/>
              <w:t>Understanding the principles of Current Transformer operation</w:t>
            </w:r>
          </w:p>
          <w:p w:rsidR="00000000" w:rsidRPr="000877F1" w:rsidP="000877F1">
            <w:pPr>
              <w:pStyle w:val="BodyText"/>
            </w:pPr>
            <w:r w:rsidRPr="000877F1">
              <w:t>T3</w:t>
            </w:r>
            <w:r w:rsidRPr="000877F1">
              <w:tab/>
              <w:t>Determine the loading of the CT to apply the appropriate level of current required to verify the CT ratio, polarity and secondary wiring</w:t>
            </w:r>
            <w:r w:rsidRPr="000877F1">
              <w:t xml:space="preserve"> </w:t>
            </w:r>
          </w:p>
          <w:p w:rsidR="00000000" w:rsidRPr="000877F1" w:rsidP="000877F1">
            <w:pPr>
              <w:pStyle w:val="BodyText"/>
            </w:pPr>
            <w:r w:rsidRPr="000877F1">
              <w:t>T4</w:t>
            </w:r>
            <w:r w:rsidRPr="000877F1">
              <w:tab/>
              <w:t>Identifying any impacts of testing on market settlement/financial data and managing the data substitution requirements.</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10" w:name="O_464746"/>
      <w:bookmarkEnd w:id="10"/>
      <w:r w:rsidRPr="000877F1">
        <w:t>Evidence Guide</w:t>
      </w:r>
    </w:p>
    <w:tbl>
      <w:tblPr>
        <w:tblW w:w="0" w:type="auto"/>
        <w:tblLayout w:type="fixed"/>
        <w:tblCellMar>
          <w:left w:w="62" w:type="dxa"/>
          <w:right w:w="62" w:type="dxa"/>
        </w:tblCellMar>
        <w:tblLook w:val="0000"/>
      </w:tblPr>
      <w:tblGrid>
        <w:gridCol w:w="8460"/>
      </w:tblGrid>
      <w:tr w:rsidTr="00173E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EVIDENCE GUIDE</w:t>
            </w:r>
          </w:p>
        </w:tc>
      </w:tr>
      <w:tr w:rsidTr="00173E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9)</w:t>
            </w:r>
            <w:r w:rsidRPr="000877F1">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0877F1" w:rsidP="000877F1">
            <w:pPr>
              <w:pStyle w:val="BodyText"/>
            </w:pPr>
            <w:r w:rsidRPr="000877F1">
              <w:t>The Evidence Guide form</w:t>
            </w:r>
            <w:r w:rsidRPr="000877F1">
              <w:t>s an integral part of this Competency Standard Unit and shall be used in conjunction with all component parts of this unit and, performed in accordance with the Assessment Guidelines of this Training Package.</w:t>
            </w:r>
          </w:p>
        </w:tc>
      </w:tr>
    </w:tbl>
    <w:p w:rsidR="00000000" w:rsidRPr="000877F1" w:rsidP="000877F1">
      <w:pPr>
        <w:pStyle w:val="BodyText"/>
      </w:pPr>
    </w:p>
    <w:tbl>
      <w:tblPr>
        <w:tblW w:w="0" w:type="auto"/>
        <w:tblLayout w:type="fixed"/>
        <w:tblCellMar>
          <w:left w:w="62" w:type="dxa"/>
          <w:right w:w="62" w:type="dxa"/>
        </w:tblCellMar>
        <w:tblLook w:val="0000"/>
      </w:tblPr>
      <w:tblGrid>
        <w:gridCol w:w="1890"/>
        <w:gridCol w:w="6570"/>
      </w:tblGrid>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9.1)</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Longitudinal competency development approaches to assessment, such as Profiling, require data to be reliably gathered in a form that can be consistently interpreted over time. This approach is best utilised in Apprenticeship programs and reduces assessment</w:t>
            </w:r>
            <w:r w:rsidRPr="000877F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877F1">
              <w:t>tency in a realistically simulated work environment. It is recognised that, in some circumstances, assessment in part or full can occur outside the workplace. However, it must be in accord with Industry and, Regulatory policy in this regard.</w:t>
            </w:r>
          </w:p>
          <w:p w:rsidR="00000000" w:rsidRPr="000877F1" w:rsidP="000877F1">
            <w:pPr>
              <w:pStyle w:val="BodyText"/>
            </w:pPr>
            <w:r w:rsidRPr="000877F1">
              <w:t>Methods chosen</w:t>
            </w:r>
            <w:r w:rsidRPr="000877F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877F1">
              <w:t>equired and the critical nature of the competencies being assessed.</w:t>
            </w:r>
          </w:p>
          <w:p w:rsidR="00000000" w:rsidRPr="000877F1" w:rsidP="000877F1">
            <w:pPr>
              <w:pStyle w:val="BodyText"/>
            </w:pPr>
            <w:r w:rsidRPr="000877F1">
              <w:t>The critical safety nature of working with electricity, electrical equipment, gas or any other hazardous substance/material carries risk in deeming a person competent. Hence, sources of ev</w:t>
            </w:r>
            <w:r w:rsidRPr="000877F1">
              <w:t>idence need to be ‘rich’ in nature so as to minimise error in judgment.</w:t>
            </w:r>
          </w:p>
          <w:p w:rsidR="00000000" w:rsidRPr="000877F1" w:rsidP="000877F1">
            <w:pPr>
              <w:pStyle w:val="BodyText"/>
            </w:pPr>
            <w:r w:rsidRPr="000877F1">
              <w:t>Activities associated with normal every day work have a bearing on the decision as to how much and how detailed the data gathered will contribute to its ‘richness’. Some skills are mor</w:t>
            </w:r>
            <w:r w:rsidRPr="000877F1">
              <w:t>e critical to safety and operational requirements while the same skills may be more or less frequently practiced. These points are raised for the assessors to consider when choosing an assessment method and developing assessment instruments. Sample assessm</w:t>
            </w:r>
            <w:r w:rsidRPr="000877F1">
              <w:t>ent instruments are included for Assessors in the Assessment Guidelines of this Training Package.</w:t>
            </w:r>
          </w:p>
        </w:tc>
      </w:tr>
    </w:tbl>
    <w:p w:rsidR="00000000" w:rsidRPr="000877F1" w:rsidP="000877F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9.2)</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Before the critical aspects of evidence are considered all prerequisites shall be met.</w:t>
            </w:r>
          </w:p>
          <w:p w:rsidR="00000000" w:rsidRPr="000877F1" w:rsidP="000877F1">
            <w:pPr>
              <w:pStyle w:val="BodyText"/>
            </w:pPr>
            <w:r w:rsidRPr="000877F1">
              <w:t>Evidence for competence in this unit shall be considered holistically. Each element and associated Performance Criteria shall be demonstrated on at least two occasions i</w:t>
            </w:r>
            <w:r w:rsidRPr="000877F1">
              <w:t>n accordance with the “Assessment Guidelines – UET12”. Evidence shall also comprise:</w:t>
            </w:r>
          </w:p>
          <w:p w:rsidR="00000000" w:rsidRPr="000877F1" w:rsidP="000877F1">
            <w:pPr>
              <w:pStyle w:val="ListBullet"/>
            </w:pPr>
            <w:r w:rsidRPr="000877F1">
              <w:t>A representative body of Performance Criteria demonstrated within the timeframes typically expected of the discipline, work function and industrial environment. In partic</w:t>
            </w:r>
            <w:r w:rsidRPr="000877F1">
              <w:t>ular this shall incorporate evidence that shows a candidate is able to:</w:t>
            </w:r>
          </w:p>
          <w:p w:rsidR="00000000" w:rsidRPr="000877F1" w:rsidP="000877F1">
            <w:pPr>
              <w:pStyle w:val="ListBullet2"/>
            </w:pPr>
            <w:r w:rsidRPr="000877F1">
              <w:t>Implement Occupational Health and Safety workplace procedures and practices including the use of risk control measures as specified in the Performance Criteria and range; and</w:t>
            </w:r>
          </w:p>
          <w:p w:rsidR="00000000" w:rsidRPr="000877F1" w:rsidP="000877F1">
            <w:pPr>
              <w:pStyle w:val="ListBullet2"/>
            </w:pPr>
            <w:r w:rsidRPr="000877F1">
              <w:t>Apply su</w:t>
            </w:r>
            <w:r w:rsidRPr="000877F1">
              <w:t>stainable energy principles and practices as specified in the Performance Criteria and range; and</w:t>
            </w:r>
          </w:p>
          <w:p w:rsidR="00000000" w:rsidRPr="000877F1" w:rsidP="000877F1">
            <w:pPr>
              <w:pStyle w:val="ListBullet2"/>
            </w:pPr>
            <w:r w:rsidRPr="000877F1">
              <w:t>Demonstrate an understanding of the essential knowledge and associated skills as described in this unit to such an extent that the learner’s performance outco</w:t>
            </w:r>
            <w:r w:rsidRPr="000877F1">
              <w:t>me is reported in accordance with the preferred approach; namely a percentile graded result, where required by the regulated environment; and</w:t>
            </w:r>
          </w:p>
          <w:p w:rsidR="00000000" w:rsidRPr="000877F1" w:rsidP="000877F1">
            <w:pPr>
              <w:pStyle w:val="ListBullet2"/>
            </w:pPr>
            <w:r w:rsidRPr="000877F1">
              <w:t>Demonstrate an appropriate level of employability skills; and</w:t>
            </w:r>
          </w:p>
          <w:p w:rsidR="00000000" w:rsidRPr="000877F1" w:rsidP="000877F1">
            <w:pPr>
              <w:pStyle w:val="ListBullet"/>
            </w:pPr>
            <w:r w:rsidRPr="000877F1">
              <w:t>Conduct work observing the relevant Anti discrimina</w:t>
            </w:r>
            <w:r w:rsidRPr="000877F1">
              <w:t>tion legislation, regulations, policies and workplace procedures; and</w:t>
            </w:r>
          </w:p>
          <w:p w:rsidR="00000000" w:rsidP="000877F1">
            <w:pPr>
              <w:pStyle w:val="ListBullet2"/>
              <w:rPr>
                <w:lang w:val="en-NZ"/>
              </w:rPr>
            </w:pPr>
            <w:r w:rsidRPr="000877F1">
              <w:t>Demonstrated performance across a representative range of contexts from the prescribed items below:</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877F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rPr>
                <w:rStyle w:val="SpecialBold"/>
              </w:rPr>
              <w:t>Range of tools/equipment/materials/procedures/workplaces/other variables</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877F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7F1" w:rsidP="000877F1">
            <w:pPr>
              <w:pStyle w:val="BodyText"/>
            </w:pPr>
            <w:r w:rsidRPr="000877F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7F1" w:rsidP="000877F1">
            <w:pPr>
              <w:pStyle w:val="BodyText"/>
            </w:pPr>
            <w:r w:rsidRPr="000877F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rPr>
                <w:rStyle w:val="SpecialBold"/>
              </w:rPr>
              <w:t>Item List</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Perform, on at least three (3)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Application of artificial load onto low voltage CT for injection of current to determine correct mete</w:t>
            </w:r>
            <w:r w:rsidRPr="000877F1">
              <w:t>r function testing</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Perform, on at least three (3)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Validation of secondary wiring circuits to determine the correct operation of the metering scheme.</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7F1">
            <w:pPr>
              <w:pStyle w:val="BodyText"/>
              <w:rPr>
                <w:lang w:val="en-NZ"/>
              </w:rPr>
            </w:pPr>
            <w:r w:rsidRPr="000877F1">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7F1" w:rsidP="000877F1">
            <w:pPr>
              <w:pStyle w:val="BodyText"/>
            </w:pPr>
            <w:r w:rsidRPr="000877F1">
              <w:t xml:space="preserve">Dealing with </w:t>
            </w:r>
            <w:r w:rsidRPr="000877F1">
              <w:t>an unplanned event by drawing on essential knowledge and associated skills to provide appropriate solutions incorporated in the holistic assessment with the above listed items.</w:t>
            </w:r>
          </w:p>
        </w:tc>
      </w:tr>
    </w:tbl>
    <w:p w:rsidR="00000000" w:rsidRPr="000877F1" w:rsidP="000877F1">
      <w:pPr>
        <w:pStyle w:val="BodyText"/>
      </w:pPr>
    </w:p>
    <w:tbl>
      <w:tblPr>
        <w:tblW w:w="0" w:type="auto"/>
        <w:tblLayout w:type="fixed"/>
        <w:tblCellMar>
          <w:left w:w="62" w:type="dxa"/>
          <w:right w:w="62" w:type="dxa"/>
        </w:tblCellMar>
        <w:tblLook w:val="0000"/>
      </w:tblPr>
      <w:tblGrid>
        <w:gridCol w:w="1890"/>
        <w:gridCol w:w="6570"/>
      </w:tblGrid>
      <w:tr w:rsidTr="00173E2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9.3)</w:t>
            </w:r>
          </w:p>
        </w:tc>
      </w:tr>
      <w:tr w:rsidTr="00173E2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This unit should be assessed as it relates to normal work practice using procedures, information and resources typical of a workplace. This should include:</w:t>
            </w:r>
          </w:p>
          <w:p w:rsidR="00000000" w:rsidRPr="000877F1" w:rsidP="000877F1">
            <w:pPr>
              <w:pStyle w:val="ListBullet"/>
            </w:pPr>
            <w:r w:rsidRPr="000877F1">
              <w:t>OHS policy and work procedures and instructions.</w:t>
            </w:r>
          </w:p>
          <w:p w:rsidR="00000000" w:rsidRPr="000877F1" w:rsidP="000877F1">
            <w:pPr>
              <w:pStyle w:val="ListBullet"/>
            </w:pPr>
            <w:r w:rsidRPr="000877F1">
              <w:t>Suitable work environment, facilities, equipment a</w:t>
            </w:r>
            <w:r w:rsidRPr="000877F1">
              <w:t>nd materials to undertake actual application of current injection testing using phantom load.</w:t>
            </w:r>
          </w:p>
          <w:p w:rsidR="00000000" w:rsidRPr="000877F1" w:rsidP="000877F1">
            <w:pPr>
              <w:pStyle w:val="ListBullet"/>
            </w:pPr>
            <w:r w:rsidRPr="000877F1">
              <w:t>Operational access to relevant plant, drawings, manufacture’s specifications/manuals and specialised testing equipment.</w:t>
            </w:r>
          </w:p>
          <w:p w:rsidR="00000000" w:rsidRPr="000877F1" w:rsidP="000877F1">
            <w:pPr>
              <w:pStyle w:val="BodyText"/>
            </w:pPr>
            <w:r w:rsidRPr="000877F1">
              <w:t>In addition to the resources listed above,</w:t>
            </w:r>
            <w:r w:rsidRPr="000877F1">
              <w:t xml:space="preserve"> in Context of and specific resources for assessment, evidence should show demonstrated competency working in realistic environment and a variety of conditions.</w:t>
            </w:r>
          </w:p>
        </w:tc>
      </w:tr>
    </w:tbl>
    <w:p w:rsidR="00000000" w:rsidRPr="000877F1" w:rsidP="000877F1">
      <w:pPr>
        <w:pStyle w:val="BodyText"/>
      </w:pPr>
    </w:p>
    <w:tbl>
      <w:tblPr>
        <w:tblW w:w="0" w:type="auto"/>
        <w:tblLayout w:type="fixed"/>
        <w:tblCellMar>
          <w:left w:w="62" w:type="dxa"/>
          <w:right w:w="62" w:type="dxa"/>
        </w:tblCellMar>
        <w:tblLook w:val="0000"/>
      </w:tblPr>
      <w:tblGrid>
        <w:gridCol w:w="1890"/>
        <w:gridCol w:w="6570"/>
      </w:tblGrid>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9.4)</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This Competency Standard Unit shall be assessed by methods given in Volume 1, Part 3 “Assessment Guidelines”.</w:t>
            </w:r>
          </w:p>
          <w:p w:rsidR="00000000" w:rsidRPr="000877F1" w:rsidP="000877F1">
            <w:pPr>
              <w:pStyle w:val="BodyText"/>
            </w:pPr>
            <w:r w:rsidRPr="000877F1">
              <w:t>Note:</w:t>
            </w:r>
          </w:p>
          <w:p w:rsidR="00000000" w:rsidRPr="000877F1" w:rsidP="000877F1">
            <w:pPr>
              <w:pStyle w:val="BodyText"/>
            </w:pPr>
            <w:r w:rsidRPr="000877F1">
              <w:t>Competent performance with inherent safe working practices is expected in the Transmission, Distribution and Rail Traction Industry. This re</w:t>
            </w:r>
            <w:r w:rsidRPr="000877F1">
              <w:t>quires that the specified essential knowledge and associated skills are assessed in a structured environment which is primarily intended for learning/assessment and incorporates all necessary equipment and facilities for learners to develop and demonstrate</w:t>
            </w:r>
            <w:r w:rsidRPr="000877F1">
              <w:t xml:space="preserve"> the essential knowledge and associated skills described in this unit.</w:t>
            </w:r>
          </w:p>
        </w:tc>
      </w:tr>
    </w:tbl>
    <w:p w:rsidR="00000000" w:rsidRPr="000877F1" w:rsidP="000877F1">
      <w:pPr>
        <w:pStyle w:val="BodyText"/>
      </w:pPr>
    </w:p>
    <w:tbl>
      <w:tblPr>
        <w:tblW w:w="0" w:type="auto"/>
        <w:tblLayout w:type="fixed"/>
        <w:tblCellMar>
          <w:left w:w="62" w:type="dxa"/>
          <w:right w:w="62" w:type="dxa"/>
        </w:tblCellMar>
        <w:tblLook w:val="0000"/>
      </w:tblPr>
      <w:tblGrid>
        <w:gridCol w:w="1890"/>
        <w:gridCol w:w="1530"/>
        <w:gridCol w:w="5040"/>
      </w:tblGrid>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9.5)</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For optimisation of training and assessment effort, competence in this unit may be assessed concurrently with the follo</w:t>
            </w:r>
            <w:r w:rsidRPr="000877F1">
              <w:t xml:space="preserve">wing units: </w:t>
            </w:r>
          </w:p>
        </w:tc>
      </w:tr>
      <w:tr w:rsidTr="00173E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t>UEENEEG076A</w:t>
            </w:r>
          </w:p>
        </w:tc>
        <w:tc>
          <w:tcPr>
            <w:tcW w:w="504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Install and replace low voltage current transformer metering</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11" w:name="O_464750"/>
      <w:bookmarkEnd w:id="11"/>
      <w:r w:rsidRPr="000877F1">
        <w:t>Range Statement</w:t>
      </w:r>
    </w:p>
    <w:tbl>
      <w:tblPr>
        <w:tblW w:w="0" w:type="auto"/>
        <w:tblLayout w:type="fixed"/>
        <w:tblCellMar>
          <w:left w:w="62" w:type="dxa"/>
          <w:right w:w="62" w:type="dxa"/>
        </w:tblCellMar>
        <w:tblLook w:val="0000"/>
      </w:tblPr>
      <w:tblGrid>
        <w:gridCol w:w="8460"/>
      </w:tblGrid>
      <w:tr w:rsidTr="00173E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RANGE STATEMENT</w:t>
            </w:r>
          </w:p>
        </w:tc>
      </w:tr>
      <w:tr w:rsidTr="00173E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10)</w:t>
            </w:r>
            <w:r w:rsidRPr="000877F1">
              <w:t xml:space="preserve"> This relates to the unit of competency as a whole providing the range of contexts and conditions </w:t>
            </w:r>
            <w:r w:rsidRPr="000877F1">
              <w:t>to which the Performance Criteria apply. It allows for different work environments and situations that will affect performance.</w:t>
            </w:r>
          </w:p>
          <w:p w:rsidR="00000000" w:rsidRPr="000877F1" w:rsidP="000877F1">
            <w:pPr>
              <w:pStyle w:val="BodyText"/>
            </w:pPr>
            <w:r w:rsidRPr="000877F1">
              <w:t>This Competency Standard Unit shall be demonstrated in relation to the performance of the application of current injection testi</w:t>
            </w:r>
            <w:r w:rsidRPr="000877F1">
              <w:t>ng using phantom load and may include the following:</w:t>
            </w:r>
          </w:p>
          <w:p w:rsidR="00000000" w:rsidRPr="000877F1" w:rsidP="000877F1">
            <w:pPr>
              <w:pStyle w:val="BodyText"/>
            </w:pPr>
            <w:r w:rsidRPr="000877F1">
              <w:t>The use of a device that applies an artificial load to low voltage current transformers to prove the functionality of metering schemes.</w:t>
            </w:r>
          </w:p>
          <w:p w:rsidR="00000000" w:rsidRPr="000877F1" w:rsidP="000877F1">
            <w:pPr>
              <w:pStyle w:val="BodyText"/>
            </w:pPr>
            <w:r w:rsidRPr="000877F1">
              <w:t xml:space="preserve">It includes the application of artificial load onto low voltage CT </w:t>
            </w:r>
            <w:r w:rsidRPr="000877F1">
              <w:t>for injection of current to determine correct meter function testing of metering installations while ensuring testing is conducted in accordance with established procedures.</w:t>
            </w:r>
          </w:p>
          <w:p w:rsidR="00000000" w:rsidRPr="000877F1" w:rsidP="000877F1">
            <w:pPr>
              <w:pStyle w:val="BodyText"/>
            </w:pPr>
            <w:r w:rsidRPr="000877F1">
              <w:t>Inform the meter data provider to follow National Meter Identifier (NMI) data subs</w:t>
            </w:r>
            <w:r w:rsidRPr="000877F1">
              <w:t>titution rules for the period energy was injected.</w:t>
            </w:r>
          </w:p>
          <w:p w:rsidR="00000000" w:rsidRPr="000877F1" w:rsidP="000877F1">
            <w:pPr>
              <w:pStyle w:val="BodyText"/>
            </w:pPr>
            <w:r w:rsidRPr="000877F1">
              <w:t>It also includes the validation of secondary wiring circuits to determine the correct operation of the metering scheme.</w:t>
            </w:r>
          </w:p>
          <w:p w:rsidR="00000000" w:rsidRPr="000877F1" w:rsidP="000877F1">
            <w:pPr>
              <w:pStyle w:val="BodyText"/>
            </w:pPr>
            <w:r w:rsidRPr="000877F1">
              <w:t>The following constants and variables included in the element/Performance Criteria in</w:t>
            </w:r>
            <w:r w:rsidRPr="000877F1">
              <w:t xml:space="preserve"> this unit are fully described in the Definitions Section 1 of this volume and form an integral part of the Range Statement of this unit:</w:t>
            </w:r>
          </w:p>
          <w:p w:rsidR="00000000" w:rsidRPr="000877F1" w:rsidP="000877F1">
            <w:pPr>
              <w:pStyle w:val="ListBullet3"/>
            </w:pPr>
            <w:r w:rsidRPr="000877F1">
              <w:t>Appropriate and relevant persons (see Personnel)</w:t>
            </w:r>
          </w:p>
          <w:p w:rsidR="00000000" w:rsidRPr="000877F1" w:rsidP="000877F1">
            <w:pPr>
              <w:pStyle w:val="ListBullet3"/>
            </w:pPr>
            <w:r w:rsidRPr="000877F1">
              <w:t>Appropriate authorities</w:t>
            </w:r>
          </w:p>
          <w:p w:rsidR="00000000" w:rsidRPr="000877F1" w:rsidP="000877F1">
            <w:pPr>
              <w:pStyle w:val="ListBullet3"/>
            </w:pPr>
            <w:r w:rsidRPr="000877F1">
              <w:t>Appropriate work platform</w:t>
            </w:r>
          </w:p>
          <w:p w:rsidR="00000000" w:rsidRPr="000877F1" w:rsidP="000877F1">
            <w:pPr>
              <w:pStyle w:val="ListBullet3"/>
            </w:pPr>
            <w:r w:rsidRPr="000877F1">
              <w:t>Assessing risk</w:t>
            </w:r>
          </w:p>
          <w:p w:rsidR="00000000" w:rsidRPr="000877F1" w:rsidP="000877F1">
            <w:pPr>
              <w:pStyle w:val="ListBullet3"/>
            </w:pPr>
            <w:r w:rsidRPr="000877F1">
              <w:t>Ass</w:t>
            </w:r>
            <w:r w:rsidRPr="000877F1">
              <w:t>essment</w:t>
            </w:r>
          </w:p>
          <w:p w:rsidR="00000000" w:rsidRPr="000877F1" w:rsidP="000877F1">
            <w:pPr>
              <w:pStyle w:val="ListBullet3"/>
            </w:pPr>
            <w:r w:rsidRPr="000877F1">
              <w:t>Authorisation</w:t>
            </w:r>
          </w:p>
          <w:p w:rsidR="00000000" w:rsidRPr="000877F1" w:rsidP="000877F1">
            <w:pPr>
              <w:pStyle w:val="ListBullet3"/>
            </w:pPr>
            <w:r w:rsidRPr="000877F1">
              <w:t>Confined space</w:t>
            </w:r>
          </w:p>
          <w:p w:rsidR="00000000" w:rsidRPr="000877F1" w:rsidP="000877F1">
            <w:pPr>
              <w:pStyle w:val="ListBullet3"/>
            </w:pPr>
            <w:r w:rsidRPr="000877F1">
              <w:t>Diagnostic, testing and restoration</w:t>
            </w:r>
          </w:p>
          <w:p w:rsidR="00000000" w:rsidRPr="000877F1" w:rsidP="000877F1">
            <w:pPr>
              <w:pStyle w:val="ListBullet3"/>
            </w:pPr>
            <w:r w:rsidRPr="000877F1">
              <w:t>Documenting detail work events, record keeping and or storage of information</w:t>
            </w:r>
          </w:p>
          <w:p w:rsidR="00000000" w:rsidRPr="000877F1" w:rsidP="000877F1">
            <w:pPr>
              <w:pStyle w:val="ListBullet3"/>
            </w:pPr>
            <w:r w:rsidRPr="000877F1">
              <w:t>Drawings and specifications</w:t>
            </w:r>
          </w:p>
          <w:p w:rsidR="00000000" w:rsidRPr="000877F1" w:rsidP="000877F1">
            <w:pPr>
              <w:pStyle w:val="ListBullet3"/>
            </w:pPr>
            <w:r w:rsidRPr="000877F1">
              <w:t>Emergency</w:t>
            </w:r>
          </w:p>
          <w:p w:rsidR="00000000" w:rsidRPr="000877F1" w:rsidP="000877F1">
            <w:pPr>
              <w:pStyle w:val="ListBullet3"/>
            </w:pPr>
            <w:r w:rsidRPr="000877F1">
              <w:t>Environmental and sustainable energy procedures</w:t>
            </w:r>
          </w:p>
          <w:p w:rsidR="00000000" w:rsidRPr="000877F1" w:rsidP="000877F1">
            <w:pPr>
              <w:pStyle w:val="ListBullet3"/>
            </w:pPr>
            <w:r w:rsidRPr="000877F1">
              <w:t>Environmen</w:t>
            </w:r>
            <w:r w:rsidRPr="000877F1">
              <w:t>tal legislation</w:t>
            </w:r>
          </w:p>
          <w:p w:rsidR="00000000" w:rsidRPr="000877F1" w:rsidP="000877F1">
            <w:pPr>
              <w:pStyle w:val="ListBullet3"/>
            </w:pPr>
            <w:r w:rsidRPr="000877F1">
              <w:t>Environmental management documentation</w:t>
            </w:r>
          </w:p>
          <w:p w:rsidR="00000000" w:rsidRPr="000877F1" w:rsidP="000877F1">
            <w:pPr>
              <w:pStyle w:val="ListBullet3"/>
            </w:pPr>
            <w:r w:rsidRPr="000877F1">
              <w:t>Established procedures</w:t>
            </w:r>
          </w:p>
          <w:p w:rsidR="00000000" w:rsidRPr="000877F1" w:rsidP="000877F1">
            <w:pPr>
              <w:pStyle w:val="ListBullet3"/>
            </w:pPr>
            <w:r w:rsidRPr="000877F1">
              <w:t>Fall prevention</w:t>
            </w:r>
          </w:p>
          <w:p w:rsidR="00000000" w:rsidRPr="000877F1" w:rsidP="000877F1">
            <w:pPr>
              <w:pStyle w:val="ListBullet3"/>
            </w:pPr>
            <w:r w:rsidRPr="000877F1">
              <w:t>Hazards</w:t>
            </w:r>
          </w:p>
          <w:p w:rsidR="00000000" w:rsidRPr="000877F1" w:rsidP="000877F1">
            <w:pPr>
              <w:pStyle w:val="ListBullet3"/>
            </w:pPr>
            <w:r w:rsidRPr="000877F1">
              <w:t>Identifying hazards</w:t>
            </w:r>
          </w:p>
          <w:p w:rsidR="00000000" w:rsidRPr="000877F1" w:rsidP="000877F1">
            <w:pPr>
              <w:pStyle w:val="ListBullet3"/>
            </w:pPr>
            <w:r w:rsidRPr="000877F1">
              <w:t>Inspect</w:t>
            </w:r>
          </w:p>
          <w:p w:rsidR="00000000" w:rsidRPr="000877F1" w:rsidP="000877F1">
            <w:pPr>
              <w:pStyle w:val="ListBullet3"/>
            </w:pPr>
            <w:r w:rsidRPr="000877F1">
              <w:t>Legislation</w:t>
            </w:r>
          </w:p>
          <w:p w:rsidR="00000000" w:rsidRPr="000877F1" w:rsidP="000877F1">
            <w:pPr>
              <w:pStyle w:val="ListBullet3"/>
            </w:pPr>
            <w:r w:rsidRPr="000877F1">
              <w:t>MSDS</w:t>
            </w:r>
          </w:p>
          <w:p w:rsidR="00000000" w:rsidRPr="000877F1" w:rsidP="000877F1">
            <w:pPr>
              <w:pStyle w:val="ListBullet3"/>
            </w:pPr>
            <w:r w:rsidRPr="000877F1">
              <w:t>Notification</w:t>
            </w:r>
          </w:p>
          <w:p w:rsidR="00000000" w:rsidRPr="000877F1" w:rsidP="000877F1">
            <w:pPr>
              <w:pStyle w:val="ListBullet3"/>
            </w:pPr>
            <w:r w:rsidRPr="000877F1">
              <w:t>OHS practices</w:t>
            </w:r>
          </w:p>
          <w:p w:rsidR="00000000" w:rsidRPr="000877F1" w:rsidP="000877F1">
            <w:pPr>
              <w:pStyle w:val="ListBullet3"/>
            </w:pPr>
            <w:r w:rsidRPr="000877F1">
              <w:t>OHS issues</w:t>
            </w:r>
          </w:p>
          <w:p w:rsidR="00000000" w:rsidRPr="000877F1" w:rsidP="000877F1">
            <w:pPr>
              <w:pStyle w:val="ListBullet3"/>
            </w:pPr>
            <w:r w:rsidRPr="000877F1">
              <w:t>Permits and/or permits to work</w:t>
            </w:r>
          </w:p>
          <w:p w:rsidR="00000000" w:rsidRPr="000877F1" w:rsidP="000877F1">
            <w:pPr>
              <w:pStyle w:val="ListBullet3"/>
            </w:pPr>
            <w:r w:rsidRPr="000877F1">
              <w:t>Personnel</w:t>
            </w:r>
          </w:p>
          <w:p w:rsidR="00000000" w:rsidRPr="000877F1" w:rsidP="000877F1">
            <w:pPr>
              <w:pStyle w:val="ListBullet3"/>
            </w:pPr>
            <w:r w:rsidRPr="000877F1">
              <w:t>Quality assurance systems</w:t>
            </w:r>
          </w:p>
          <w:p w:rsidR="00000000" w:rsidRPr="000877F1" w:rsidP="000877F1">
            <w:pPr>
              <w:pStyle w:val="ListBullet3"/>
            </w:pPr>
            <w:r w:rsidRPr="000877F1">
              <w:t>Requirements</w:t>
            </w:r>
          </w:p>
          <w:p w:rsidR="00000000" w:rsidRPr="000877F1" w:rsidP="000877F1">
            <w:pPr>
              <w:pStyle w:val="ListBullet3"/>
            </w:pPr>
            <w:r w:rsidRPr="000877F1">
              <w:t>Testing procedures</w:t>
            </w:r>
          </w:p>
          <w:p w:rsidR="00000000" w:rsidRPr="000877F1" w:rsidP="000877F1">
            <w:pPr>
              <w:pStyle w:val="ListBullet3"/>
            </w:pPr>
            <w:r w:rsidRPr="000877F1">
              <w:t>Work clearance systems</w:t>
            </w:r>
          </w:p>
        </w:tc>
      </w:tr>
    </w:tbl>
    <w:p w:rsidR="00000000" w:rsidRPr="000877F1" w:rsidP="000877F1">
      <w:pPr>
        <w:pStyle w:val="BodyText"/>
      </w:pPr>
    </w:p>
    <w:p w:rsidR="00000000" w:rsidRPr="000877F1" w:rsidP="000877F1">
      <w:pPr>
        <w:pStyle w:val="AllowPageBreak"/>
      </w:pPr>
    </w:p>
    <w:p w:rsidR="00000000" w:rsidRPr="000877F1" w:rsidP="000877F1">
      <w:pPr>
        <w:pStyle w:val="Heading1"/>
      </w:pPr>
      <w:bookmarkStart w:id="12" w:name="O_464753"/>
      <w:bookmarkEnd w:id="12"/>
      <w:r w:rsidRPr="000877F1">
        <w:t>Unit Sector(s)</w:t>
      </w:r>
    </w:p>
    <w:p w:rsidR="00000000" w:rsidRPr="000877F1" w:rsidP="000877F1">
      <w:pPr>
        <w:pStyle w:val="BodyText"/>
      </w:pPr>
      <w:r w:rsidRPr="000877F1">
        <w:t>Not applicable.</w:t>
      </w:r>
    </w:p>
    <w:p w:rsidR="00000000" w:rsidRPr="000877F1" w:rsidP="000877F1">
      <w:pPr>
        <w:pStyle w:val="AllowPageBreak"/>
      </w:pPr>
    </w:p>
    <w:p w:rsidR="00000000" w:rsidRPr="000877F1" w:rsidP="000877F1">
      <w:pPr>
        <w:pStyle w:val="Heading1"/>
      </w:pPr>
      <w:bookmarkStart w:id="13" w:name="O_464742"/>
      <w:bookmarkEnd w:id="13"/>
      <w:r w:rsidRPr="000877F1">
        <w:t>Competency Field</w:t>
      </w:r>
    </w:p>
    <w:tbl>
      <w:tblPr>
        <w:tblW w:w="0" w:type="auto"/>
        <w:tblLayout w:type="fixed"/>
        <w:tblCellMar>
          <w:left w:w="62" w:type="dxa"/>
          <w:right w:w="62" w:type="dxa"/>
        </w:tblCellMar>
        <w:tblLook w:val="0000"/>
      </w:tblPr>
      <w:tblGrid>
        <w:gridCol w:w="2700"/>
        <w:gridCol w:w="5760"/>
      </w:tblGrid>
      <w:tr w:rsidTr="00173E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77F1">
            <w:pPr>
              <w:pStyle w:val="BodyText"/>
              <w:rPr>
                <w:lang w:val="en-NZ"/>
              </w:rPr>
            </w:pPr>
            <w:r w:rsidRPr="000877F1">
              <w:rPr>
                <w:rStyle w:val="SpecialBold"/>
              </w:rPr>
              <w:t xml:space="preserve">11) </w:t>
            </w:r>
          </w:p>
        </w:tc>
      </w:tr>
      <w:tr w:rsidTr="00173E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7F1" w:rsidP="000877F1">
            <w:pPr>
              <w:pStyle w:val="BodyText"/>
            </w:pPr>
            <w:r w:rsidRPr="000877F1">
              <w:t>Testing Units</w:t>
            </w:r>
          </w:p>
        </w:tc>
      </w:tr>
    </w:tbl>
    <w:p w:rsidR="00000000" w:rsidRPr="000877F1" w:rsidP="000877F1">
      <w:pPr>
        <w:pStyle w:val="BodyText"/>
      </w:pPr>
    </w:p>
    <w:p w:rsidR="00000000" w:rsidRPr="000877F1" w:rsidP="000877F1"/>
    <w:sectPr w:rsidSect="00087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E22" w:rsidP="00173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rsidP="00087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73E22" w:rsidP="000877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3E22" w:rsidP="000877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E22" w:rsidP="00173E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rsidP="000877F1">
    <w:pPr>
      <w:pStyle w:val="Header"/>
      <w:framePr w:wrap="around"/>
    </w:pPr>
    <w:r>
      <w:fldChar w:fldCharType="begin"/>
    </w:r>
    <w:r>
      <w:instrText xml:space="preserve"> TITLE   \* MERGEFORMAT </w:instrText>
    </w:r>
    <w:r>
      <w:fldChar w:fldCharType="separate"/>
    </w:r>
    <w:r>
      <w:t>UETTDRTS37A Perform current injection testing using phantom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3E22" w:rsidP="000877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E4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06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0B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7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7F1"/>
    <w:pPr>
      <w:spacing w:before="360" w:after="60"/>
      <w:outlineLvl w:val="0"/>
    </w:pPr>
    <w:rPr>
      <w:sz w:val="32"/>
    </w:rPr>
  </w:style>
  <w:style w:type="paragraph" w:styleId="Heading2">
    <w:name w:val="heading 2"/>
    <w:basedOn w:val="HeadingBase"/>
    <w:next w:val="BodyText"/>
    <w:link w:val="Heading2Char"/>
    <w:qFormat/>
    <w:rsid w:val="000877F1"/>
    <w:pPr>
      <w:keepLines/>
      <w:spacing w:before="240" w:after="120"/>
      <w:outlineLvl w:val="1"/>
    </w:pPr>
    <w:rPr>
      <w:sz w:val="28"/>
      <w:szCs w:val="40"/>
    </w:rPr>
  </w:style>
  <w:style w:type="paragraph" w:styleId="Heading3">
    <w:name w:val="heading 3"/>
    <w:basedOn w:val="HeadingBase"/>
    <w:next w:val="BodyText"/>
    <w:link w:val="Heading3Char"/>
    <w:qFormat/>
    <w:rsid w:val="000877F1"/>
    <w:pPr>
      <w:spacing w:before="180" w:after="120"/>
      <w:outlineLvl w:val="2"/>
    </w:pPr>
    <w:rPr>
      <w:spacing w:val="-10"/>
      <w:kern w:val="32"/>
    </w:rPr>
  </w:style>
  <w:style w:type="paragraph" w:styleId="Heading4">
    <w:name w:val="heading 4"/>
    <w:basedOn w:val="HeadingBase"/>
    <w:next w:val="BodyText"/>
    <w:link w:val="Heading4Char"/>
    <w:qFormat/>
    <w:rsid w:val="000877F1"/>
    <w:pPr>
      <w:spacing w:before="160" w:after="120"/>
      <w:outlineLvl w:val="3"/>
    </w:pPr>
    <w:rPr>
      <w:sz w:val="22"/>
    </w:rPr>
  </w:style>
  <w:style w:type="paragraph" w:styleId="Heading5">
    <w:name w:val="heading 5"/>
    <w:basedOn w:val="HeadingBase"/>
    <w:next w:val="Normal"/>
    <w:link w:val="Heading5Char"/>
    <w:qFormat/>
    <w:rsid w:val="000877F1"/>
    <w:pPr>
      <w:spacing w:before="80"/>
      <w:outlineLvl w:val="4"/>
    </w:pPr>
    <w:rPr>
      <w:color w:val="918585"/>
      <w:sz w:val="20"/>
    </w:rPr>
  </w:style>
  <w:style w:type="paragraph" w:styleId="Heading6">
    <w:name w:val="heading 6"/>
    <w:basedOn w:val="HeadingBase"/>
    <w:next w:val="Normal"/>
    <w:link w:val="Heading6Char"/>
    <w:qFormat/>
    <w:rsid w:val="000877F1"/>
    <w:pPr>
      <w:spacing w:before="60"/>
      <w:outlineLvl w:val="5"/>
    </w:pPr>
    <w:rPr>
      <w:color w:val="918585"/>
      <w:sz w:val="20"/>
    </w:rPr>
  </w:style>
  <w:style w:type="paragraph" w:styleId="Heading7">
    <w:name w:val="heading 7"/>
    <w:basedOn w:val="Normal"/>
    <w:next w:val="Normal"/>
    <w:link w:val="Heading7Char"/>
    <w:qFormat/>
    <w:rsid w:val="000877F1"/>
    <w:pPr>
      <w:ind w:left="720"/>
      <w:outlineLvl w:val="6"/>
    </w:pPr>
    <w:rPr>
      <w:i/>
    </w:rPr>
  </w:style>
  <w:style w:type="paragraph" w:styleId="Heading8">
    <w:name w:val="heading 8"/>
    <w:basedOn w:val="Normal"/>
    <w:next w:val="Normal"/>
    <w:link w:val="Heading8Char"/>
    <w:qFormat/>
    <w:rsid w:val="000877F1"/>
    <w:pPr>
      <w:ind w:left="720"/>
      <w:outlineLvl w:val="7"/>
    </w:pPr>
    <w:rPr>
      <w:i/>
    </w:rPr>
  </w:style>
  <w:style w:type="paragraph" w:styleId="Heading9">
    <w:name w:val="heading 9"/>
    <w:basedOn w:val="Normal"/>
    <w:next w:val="Normal"/>
    <w:link w:val="Heading9Char"/>
    <w:qFormat/>
    <w:rsid w:val="000877F1"/>
    <w:pPr>
      <w:ind w:left="720"/>
      <w:outlineLvl w:val="8"/>
    </w:pPr>
    <w:rPr>
      <w:i/>
    </w:rPr>
  </w:style>
  <w:style w:type="character" w:default="1" w:styleId="DefaultParagraphFont">
    <w:name w:val="Default Paragraph Font"/>
    <w:uiPriority w:val="1"/>
    <w:unhideWhenUsed/>
    <w:rsid w:val="00087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7F1"/>
  </w:style>
  <w:style w:type="character" w:customStyle="1" w:styleId="Heading1Char">
    <w:name w:val="Heading 1 Char"/>
    <w:basedOn w:val="DefaultParagraphFont"/>
    <w:link w:val="Heading1"/>
    <w:rsid w:val="000877F1"/>
    <w:rPr>
      <w:rFonts w:ascii="Times New Roman" w:eastAsia="Times New Roman" w:hAnsi="Times New Roman" w:cs="Times New Roman"/>
      <w:b/>
      <w:sz w:val="32"/>
      <w:szCs w:val="20"/>
      <w:lang w:eastAsia="en-US"/>
    </w:rPr>
  </w:style>
  <w:style w:type="paragraph" w:styleId="BodyText">
    <w:name w:val="Body Text"/>
    <w:basedOn w:val="Normal"/>
    <w:link w:val="BodyTextChar"/>
    <w:rsid w:val="00087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7F1"/>
    <w:rPr>
      <w:rFonts w:ascii="Times New Roman" w:eastAsia="Times New Roman" w:hAnsi="Times New Roman" w:cs="Times New Roman"/>
      <w:sz w:val="24"/>
      <w:lang w:val="en-US" w:eastAsia="en-US"/>
    </w:rPr>
  </w:style>
  <w:style w:type="paragraph" w:styleId="Footer">
    <w:name w:val="footer"/>
    <w:basedOn w:val="Normal"/>
    <w:link w:val="FooterChar"/>
    <w:rsid w:val="00087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7F1"/>
    <w:rPr>
      <w:rFonts w:ascii="Times New Roman" w:eastAsia="Times New Roman" w:hAnsi="Times New Roman" w:cs="Times New Roman"/>
      <w:sz w:val="16"/>
      <w:lang w:val="en-US" w:eastAsia="en-US"/>
    </w:rPr>
  </w:style>
  <w:style w:type="paragraph" w:styleId="ListBullet">
    <w:name w:val="List Bullet"/>
    <w:basedOn w:val="List"/>
    <w:rsid w:val="000877F1"/>
    <w:pPr>
      <w:numPr>
        <w:numId w:val="14"/>
      </w:numPr>
      <w:tabs>
        <w:tab w:val="clear" w:pos="340"/>
      </w:tabs>
      <w:spacing w:before="40" w:after="40"/>
    </w:pPr>
  </w:style>
  <w:style w:type="character" w:customStyle="1" w:styleId="SpecialBold">
    <w:name w:val="Special Bold"/>
    <w:basedOn w:val="DefaultParagraphFont"/>
    <w:rsid w:val="000877F1"/>
    <w:rPr>
      <w:b/>
      <w:spacing w:val="0"/>
    </w:rPr>
  </w:style>
  <w:style w:type="paragraph" w:styleId="ListBullet2">
    <w:name w:val="List Bullet 2"/>
    <w:basedOn w:val="List2"/>
    <w:rsid w:val="000877F1"/>
    <w:pPr>
      <w:numPr>
        <w:numId w:val="15"/>
      </w:numPr>
      <w:tabs>
        <w:tab w:val="clear" w:pos="680"/>
      </w:tabs>
    </w:pPr>
  </w:style>
  <w:style w:type="paragraph" w:styleId="Header">
    <w:name w:val="header"/>
    <w:basedOn w:val="Normal"/>
    <w:link w:val="HeaderChar"/>
    <w:rsid w:val="00087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7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7F1"/>
    <w:pPr>
      <w:spacing w:before="240" w:after="120"/>
      <w:outlineLvl w:val="0"/>
    </w:pPr>
    <w:rPr>
      <w:rFonts w:ascii="Times New Roman" w:hAnsi="Times New Roman"/>
      <w:b/>
      <w:sz w:val="28"/>
    </w:rPr>
  </w:style>
  <w:style w:type="paragraph" w:customStyle="1" w:styleId="AllowPageBreak">
    <w:name w:val="AllowPageBreak"/>
    <w:rsid w:val="000877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7F1"/>
    <w:pPr>
      <w:numPr>
        <w:numId w:val="3"/>
      </w:numPr>
      <w:tabs>
        <w:tab w:val="clear" w:pos="1021"/>
      </w:tabs>
      <w:ind w:left="1037" w:hanging="357"/>
    </w:pPr>
  </w:style>
  <w:style w:type="character" w:customStyle="1" w:styleId="Heading2Char">
    <w:name w:val="Heading 2 Char"/>
    <w:basedOn w:val="DefaultParagraphFont"/>
    <w:link w:val="Heading2"/>
    <w:rsid w:val="00087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7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7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7F1"/>
    <w:rPr>
      <w:rFonts w:ascii="Courier New" w:eastAsia="Times New Roman" w:hAnsi="Courier New" w:cs="Times New Roman"/>
      <w:i/>
      <w:szCs w:val="20"/>
      <w:lang w:val="en-US" w:eastAsia="en-US"/>
    </w:rPr>
  </w:style>
  <w:style w:type="paragraph" w:customStyle="1" w:styleId="HeadingBase">
    <w:name w:val="Heading Base"/>
    <w:rsid w:val="00087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7F1"/>
    <w:pPr>
      <w:tabs>
        <w:tab w:val="right" w:leader="dot" w:pos="9072"/>
      </w:tabs>
      <w:ind w:left="567"/>
    </w:pPr>
    <w:rPr>
      <w:szCs w:val="22"/>
    </w:rPr>
  </w:style>
  <w:style w:type="paragraph" w:customStyle="1" w:styleId="TOCBase">
    <w:name w:val="TOC Base"/>
    <w:rsid w:val="00087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7F1"/>
    <w:pPr>
      <w:tabs>
        <w:tab w:val="right" w:leader="dot" w:pos="9072"/>
      </w:tabs>
      <w:spacing w:before="40" w:after="40"/>
      <w:ind w:left="284"/>
    </w:pPr>
    <w:rPr>
      <w:rFonts w:ascii="Times New Roman" w:hAnsi="Times New Roman"/>
    </w:rPr>
  </w:style>
  <w:style w:type="paragraph" w:styleId="TOC1">
    <w:name w:val="toc 1"/>
    <w:basedOn w:val="TOCBase"/>
    <w:next w:val="Normal"/>
    <w:rsid w:val="000877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7F1"/>
    <w:pPr>
      <w:spacing w:before="5040"/>
      <w:jc w:val="center"/>
    </w:pPr>
    <w:rPr>
      <w:sz w:val="48"/>
      <w:szCs w:val="72"/>
      <w:lang w:val="en-US"/>
    </w:rPr>
  </w:style>
  <w:style w:type="character" w:customStyle="1" w:styleId="TitleChar">
    <w:name w:val="Title Char"/>
    <w:basedOn w:val="DefaultParagraphFont"/>
    <w:link w:val="Title"/>
    <w:rsid w:val="00087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7F1"/>
    <w:pPr>
      <w:tabs>
        <w:tab w:val="left" w:pos="3600"/>
        <w:tab w:val="left" w:pos="3958"/>
      </w:tabs>
    </w:pPr>
  </w:style>
  <w:style w:type="paragraph" w:styleId="List">
    <w:name w:val="List"/>
    <w:basedOn w:val="BodyText"/>
    <w:next w:val="BodyText"/>
    <w:rsid w:val="000877F1"/>
    <w:pPr>
      <w:tabs>
        <w:tab w:val="left" w:pos="340"/>
      </w:tabs>
      <w:spacing w:before="60" w:after="60"/>
      <w:ind w:left="340" w:hanging="340"/>
    </w:pPr>
  </w:style>
  <w:style w:type="paragraph" w:customStyle="1" w:styleId="Note">
    <w:name w:val="Note"/>
    <w:basedOn w:val="BodyText"/>
    <w:rsid w:val="00087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7F1"/>
    <w:pPr>
      <w:framePr w:wrap="auto" w:hAnchor="text" w:y="6049"/>
    </w:pPr>
    <w:rPr>
      <w:color w:val="000000"/>
      <w:sz w:val="40"/>
    </w:rPr>
  </w:style>
  <w:style w:type="paragraph" w:customStyle="1" w:styleId="TOCTitle">
    <w:name w:val="TOCTitle"/>
    <w:basedOn w:val="Heading1"/>
    <w:rsid w:val="000877F1"/>
    <w:pPr>
      <w:spacing w:after="240"/>
      <w:jc w:val="center"/>
      <w:outlineLvl w:val="9"/>
    </w:pPr>
    <w:rPr>
      <w:caps/>
    </w:rPr>
  </w:style>
  <w:style w:type="paragraph" w:customStyle="1" w:styleId="Version">
    <w:name w:val="Version"/>
    <w:rsid w:val="000877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7F1"/>
    <w:pPr>
      <w:keepNext w:val="0"/>
      <w:tabs>
        <w:tab w:val="right" w:pos="4176"/>
      </w:tabs>
      <w:ind w:left="198" w:hanging="198"/>
    </w:pPr>
    <w:rPr>
      <w:rFonts w:ascii="Garamond" w:hAnsi="Garamond"/>
    </w:rPr>
  </w:style>
  <w:style w:type="paragraph" w:styleId="IndexHeading">
    <w:name w:val="index heading"/>
    <w:basedOn w:val="Normal"/>
    <w:next w:val="Index1"/>
    <w:semiHidden/>
    <w:rsid w:val="000877F1"/>
    <w:pPr>
      <w:spacing w:before="120" w:after="120"/>
    </w:pPr>
    <w:rPr>
      <w:rFonts w:ascii="Arial" w:hAnsi="Arial"/>
      <w:b/>
      <w:color w:val="918585"/>
      <w:sz w:val="24"/>
    </w:rPr>
  </w:style>
  <w:style w:type="paragraph" w:customStyle="1" w:styleId="Chapter">
    <w:name w:val="Chapter"/>
    <w:basedOn w:val="Normal"/>
    <w:rsid w:val="000877F1"/>
    <w:pPr>
      <w:spacing w:before="240"/>
    </w:pPr>
    <w:rPr>
      <w:rFonts w:ascii="Times New Roman" w:hAnsi="Times New Roman"/>
      <w:smallCaps/>
      <w:spacing w:val="80"/>
      <w:sz w:val="28"/>
    </w:rPr>
  </w:style>
  <w:style w:type="paragraph" w:customStyle="1" w:styleId="InChapter">
    <w:name w:val="InChapter"/>
    <w:basedOn w:val="Heading3"/>
    <w:rsid w:val="000877F1"/>
    <w:pPr>
      <w:spacing w:after="240"/>
      <w:outlineLvl w:val="9"/>
    </w:pPr>
    <w:rPr>
      <w:noProof/>
    </w:rPr>
  </w:style>
  <w:style w:type="paragraph" w:styleId="Index2">
    <w:name w:val="index 2"/>
    <w:basedOn w:val="Normal"/>
    <w:next w:val="Normal"/>
    <w:semiHidden/>
    <w:rsid w:val="000877F1"/>
    <w:pPr>
      <w:tabs>
        <w:tab w:val="right" w:pos="4176"/>
      </w:tabs>
      <w:ind w:left="568" w:hanging="284"/>
    </w:pPr>
    <w:rPr>
      <w:rFonts w:ascii="Garamond" w:hAnsi="Garamond"/>
    </w:rPr>
  </w:style>
  <w:style w:type="paragraph" w:customStyle="1" w:styleId="Byline">
    <w:name w:val="Byline"/>
    <w:rsid w:val="00087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7F1"/>
    <w:pPr>
      <w:tabs>
        <w:tab w:val="clear" w:pos="3600"/>
        <w:tab w:val="clear" w:pos="3958"/>
      </w:tabs>
      <w:jc w:val="right"/>
    </w:pPr>
  </w:style>
  <w:style w:type="character" w:styleId="Emphasis">
    <w:name w:val="Emphasis"/>
    <w:basedOn w:val="DefaultParagraphFont"/>
    <w:qFormat/>
    <w:rsid w:val="000877F1"/>
    <w:rPr>
      <w:i/>
    </w:rPr>
  </w:style>
  <w:style w:type="paragraph" w:styleId="Caption">
    <w:name w:val="caption"/>
    <w:basedOn w:val="BodyText"/>
    <w:next w:val="Normal"/>
    <w:qFormat/>
    <w:rsid w:val="000877F1"/>
    <w:pPr>
      <w:framePr w:w="2268" w:hSpace="181" w:vSpace="181" w:wrap="around" w:vAnchor="text" w:hAnchor="page" w:x="1135" w:y="285" w:anchorLock="1"/>
    </w:pPr>
    <w:rPr>
      <w:i/>
    </w:rPr>
  </w:style>
  <w:style w:type="paragraph" w:customStyle="1" w:styleId="MiniTOCTitle">
    <w:name w:val="MiniTOCTitle"/>
    <w:basedOn w:val="Heading4"/>
    <w:rsid w:val="000877F1"/>
    <w:pPr>
      <w:spacing w:before="240"/>
      <w:outlineLvl w:val="9"/>
    </w:pPr>
    <w:rPr>
      <w:noProof/>
      <w:sz w:val="24"/>
    </w:rPr>
  </w:style>
  <w:style w:type="paragraph" w:customStyle="1" w:styleId="MiniTOCItem">
    <w:name w:val="MiniTOCItem"/>
    <w:basedOn w:val="ListBullet"/>
    <w:rsid w:val="000877F1"/>
    <w:pPr>
      <w:numPr>
        <w:numId w:val="0"/>
      </w:numPr>
      <w:tabs>
        <w:tab w:val="right" w:leader="dot" w:pos="6521"/>
      </w:tabs>
      <w:spacing w:before="0" w:after="0"/>
    </w:pPr>
  </w:style>
  <w:style w:type="paragraph" w:customStyle="1" w:styleId="TOFTitle">
    <w:name w:val="TOFTitle"/>
    <w:basedOn w:val="TOCTitle"/>
    <w:rsid w:val="000877F1"/>
  </w:style>
  <w:style w:type="paragraph" w:styleId="TableofFigures">
    <w:name w:val="table of figures"/>
    <w:basedOn w:val="Normal"/>
    <w:next w:val="Normal"/>
    <w:semiHidden/>
    <w:rsid w:val="000877F1"/>
    <w:pPr>
      <w:tabs>
        <w:tab w:val="right" w:leader="dot" w:pos="9072"/>
      </w:tabs>
      <w:ind w:left="970" w:hanging="403"/>
    </w:pPr>
    <w:rPr>
      <w:rFonts w:ascii="Times New Roman" w:hAnsi="Times New Roman"/>
      <w:b/>
    </w:rPr>
  </w:style>
  <w:style w:type="paragraph" w:styleId="ListNumber">
    <w:name w:val="List Number"/>
    <w:basedOn w:val="List"/>
    <w:rsid w:val="000877F1"/>
    <w:pPr>
      <w:numPr>
        <w:numId w:val="12"/>
      </w:numPr>
    </w:pPr>
  </w:style>
  <w:style w:type="character" w:customStyle="1" w:styleId="WingdingSymbols">
    <w:name w:val="Wingding Symbols"/>
    <w:rsid w:val="000877F1"/>
    <w:rPr>
      <w:rFonts w:ascii="Wingdings" w:hAnsi="Wingdings"/>
    </w:rPr>
  </w:style>
  <w:style w:type="paragraph" w:customStyle="1" w:styleId="TableHeading">
    <w:name w:val="Table Heading"/>
    <w:basedOn w:val="HeadingBase"/>
    <w:rsid w:val="000877F1"/>
    <w:pPr>
      <w:keepLines/>
      <w:pBdr>
        <w:bottom w:val="single" w:sz="6" w:space="1" w:color="918585"/>
      </w:pBdr>
      <w:spacing w:before="240"/>
    </w:pPr>
  </w:style>
  <w:style w:type="character" w:customStyle="1" w:styleId="HotSpot">
    <w:name w:val="HotSpot"/>
    <w:rsid w:val="000877F1"/>
    <w:rPr>
      <w:color w:val="0033CC"/>
      <w:u w:val="none"/>
    </w:rPr>
  </w:style>
  <w:style w:type="paragraph" w:customStyle="1" w:styleId="BodyTextRight">
    <w:name w:val="Body Text Right"/>
    <w:basedOn w:val="BodyText"/>
    <w:rsid w:val="000877F1"/>
    <w:pPr>
      <w:spacing w:before="0" w:after="0"/>
      <w:jc w:val="right"/>
    </w:pPr>
  </w:style>
  <w:style w:type="paragraph" w:styleId="Index3">
    <w:name w:val="index 3"/>
    <w:basedOn w:val="ListNumber2"/>
    <w:next w:val="Normal"/>
    <w:semiHidden/>
    <w:rsid w:val="000877F1"/>
    <w:pPr>
      <w:numPr>
        <w:numId w:val="0"/>
      </w:numPr>
      <w:tabs>
        <w:tab w:val="right" w:leader="dot" w:pos="4176"/>
      </w:tabs>
    </w:pPr>
  </w:style>
  <w:style w:type="paragraph" w:styleId="ListNumber2">
    <w:name w:val="List Number 2"/>
    <w:basedOn w:val="List2"/>
    <w:rsid w:val="000877F1"/>
    <w:pPr>
      <w:numPr>
        <w:numId w:val="11"/>
      </w:numPr>
      <w:tabs>
        <w:tab w:val="clear" w:pos="1060"/>
      </w:tabs>
    </w:pPr>
  </w:style>
  <w:style w:type="paragraph" w:customStyle="1" w:styleId="MarginNote">
    <w:name w:val="Margin Note"/>
    <w:basedOn w:val="BodyText"/>
    <w:rsid w:val="00087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7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7F1"/>
    <w:rPr>
      <w:sz w:val="32"/>
    </w:rPr>
  </w:style>
  <w:style w:type="paragraph" w:customStyle="1" w:styleId="HeadingProcedure">
    <w:name w:val="Heading Procedure"/>
    <w:basedOn w:val="HeadingBase"/>
    <w:next w:val="Normal"/>
    <w:rsid w:val="000877F1"/>
    <w:pPr>
      <w:tabs>
        <w:tab w:val="left" w:pos="0"/>
      </w:tabs>
      <w:spacing w:before="120" w:after="60"/>
    </w:pPr>
    <w:rPr>
      <w:i/>
      <w:color w:val="918585"/>
      <w:sz w:val="22"/>
    </w:rPr>
  </w:style>
  <w:style w:type="paragraph" w:customStyle="1" w:styleId="TableBodyText">
    <w:name w:val="Table Body Text"/>
    <w:basedOn w:val="BodyText"/>
    <w:rsid w:val="000877F1"/>
    <w:pPr>
      <w:spacing w:before="60" w:after="60"/>
    </w:pPr>
  </w:style>
  <w:style w:type="paragraph" w:styleId="ListContinue">
    <w:name w:val="List Continue"/>
    <w:basedOn w:val="List"/>
    <w:rsid w:val="000877F1"/>
    <w:pPr>
      <w:ind w:firstLine="0"/>
    </w:pPr>
  </w:style>
  <w:style w:type="paragraph" w:customStyle="1" w:styleId="ListNote">
    <w:name w:val="List Note"/>
    <w:basedOn w:val="List"/>
    <w:rsid w:val="000877F1"/>
    <w:pPr>
      <w:pBdr>
        <w:top w:val="single" w:sz="6" w:space="2" w:color="918585"/>
        <w:bottom w:val="single" w:sz="6" w:space="2" w:color="918585"/>
      </w:pBdr>
      <w:tabs>
        <w:tab w:val="left" w:pos="1021"/>
      </w:tabs>
      <w:ind w:firstLine="0"/>
    </w:pPr>
  </w:style>
  <w:style w:type="paragraph" w:customStyle="1" w:styleId="Warning">
    <w:name w:val="Warning"/>
    <w:basedOn w:val="BodyText"/>
    <w:rsid w:val="000877F1"/>
    <w:pPr>
      <w:shd w:val="clear" w:color="auto" w:fill="D9D9D9"/>
      <w:tabs>
        <w:tab w:val="left" w:pos="992"/>
      </w:tabs>
      <w:ind w:left="119" w:right="119"/>
    </w:pPr>
    <w:rPr>
      <w:sz w:val="20"/>
    </w:rPr>
  </w:style>
  <w:style w:type="paragraph" w:customStyle="1" w:styleId="MarginIcons">
    <w:name w:val="Margin Icons"/>
    <w:basedOn w:val="BodyText"/>
    <w:rsid w:val="00087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7F1"/>
    <w:rPr>
      <w:rFonts w:ascii="Courier New" w:hAnsi="Courier New"/>
    </w:rPr>
  </w:style>
  <w:style w:type="paragraph" w:customStyle="1" w:styleId="NoteBullet">
    <w:name w:val="Note Bullet"/>
    <w:basedOn w:val="Note"/>
    <w:rsid w:val="000877F1"/>
    <w:pPr>
      <w:tabs>
        <w:tab w:val="clear" w:pos="680"/>
      </w:tabs>
      <w:spacing w:before="60" w:after="60"/>
    </w:pPr>
  </w:style>
  <w:style w:type="paragraph" w:customStyle="1" w:styleId="SubHeading2">
    <w:name w:val="SubHeading2"/>
    <w:basedOn w:val="HeadingBase"/>
    <w:rsid w:val="000877F1"/>
    <w:pPr>
      <w:spacing w:before="240" w:after="60"/>
    </w:pPr>
    <w:rPr>
      <w:sz w:val="20"/>
    </w:rPr>
  </w:style>
  <w:style w:type="paragraph" w:customStyle="1" w:styleId="SubHeading1">
    <w:name w:val="SubHeading1"/>
    <w:basedOn w:val="HeadingBase"/>
    <w:rsid w:val="000877F1"/>
    <w:pPr>
      <w:spacing w:before="240" w:after="60"/>
    </w:pPr>
    <w:rPr>
      <w:color w:val="918585"/>
      <w:sz w:val="22"/>
    </w:rPr>
  </w:style>
  <w:style w:type="paragraph" w:customStyle="1" w:styleId="SideHeading">
    <w:name w:val="Side Heading"/>
    <w:basedOn w:val="HeadingBase"/>
    <w:rsid w:val="00087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7F1"/>
    <w:pPr>
      <w:numPr>
        <w:numId w:val="13"/>
      </w:numPr>
    </w:pPr>
  </w:style>
  <w:style w:type="paragraph" w:styleId="PlainText">
    <w:name w:val="Plain Text"/>
    <w:basedOn w:val="Normal"/>
    <w:link w:val="PlainTextChar"/>
    <w:rsid w:val="000877F1"/>
    <w:rPr>
      <w:sz w:val="20"/>
    </w:rPr>
  </w:style>
  <w:style w:type="character" w:customStyle="1" w:styleId="PlainTextChar">
    <w:name w:val="Plain Text Char"/>
    <w:basedOn w:val="DefaultParagraphFont"/>
    <w:link w:val="PlainText"/>
    <w:rsid w:val="000877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7F1"/>
    <w:rPr>
      <w:b/>
      <w:smallCaps/>
    </w:rPr>
  </w:style>
  <w:style w:type="paragraph" w:customStyle="1" w:styleId="TableListNumber">
    <w:name w:val="Table List Number"/>
    <w:basedOn w:val="ListNumber"/>
    <w:rsid w:val="000877F1"/>
    <w:pPr>
      <w:numPr>
        <w:numId w:val="0"/>
      </w:numPr>
    </w:pPr>
  </w:style>
  <w:style w:type="paragraph" w:styleId="TOC4">
    <w:name w:val="toc 4"/>
    <w:basedOn w:val="TOCBase"/>
    <w:next w:val="Normal"/>
    <w:semiHidden/>
    <w:rsid w:val="000877F1"/>
    <w:pPr>
      <w:tabs>
        <w:tab w:val="right" w:leader="dot" w:pos="9071"/>
      </w:tabs>
      <w:ind w:left="1701"/>
    </w:pPr>
  </w:style>
  <w:style w:type="paragraph" w:customStyle="1" w:styleId="ListAlpha">
    <w:name w:val="List Alpha"/>
    <w:basedOn w:val="List"/>
    <w:rsid w:val="000877F1"/>
    <w:pPr>
      <w:numPr>
        <w:numId w:val="10"/>
      </w:numPr>
    </w:pPr>
  </w:style>
  <w:style w:type="paragraph" w:customStyle="1" w:styleId="ListAlpha2">
    <w:name w:val="List Alpha 2"/>
    <w:basedOn w:val="List2"/>
    <w:rsid w:val="000877F1"/>
    <w:pPr>
      <w:numPr>
        <w:numId w:val="9"/>
      </w:numPr>
    </w:pPr>
  </w:style>
  <w:style w:type="paragraph" w:styleId="List2">
    <w:name w:val="List 2"/>
    <w:basedOn w:val="BodyText"/>
    <w:rsid w:val="000877F1"/>
    <w:pPr>
      <w:tabs>
        <w:tab w:val="left" w:pos="680"/>
      </w:tabs>
      <w:spacing w:before="60" w:after="60"/>
      <w:ind w:left="680" w:hanging="340"/>
    </w:pPr>
  </w:style>
  <w:style w:type="paragraph" w:styleId="List3">
    <w:name w:val="List 3"/>
    <w:basedOn w:val="BodyText"/>
    <w:rsid w:val="000877F1"/>
    <w:pPr>
      <w:tabs>
        <w:tab w:val="left" w:pos="1021"/>
      </w:tabs>
      <w:spacing w:before="60" w:after="60"/>
      <w:ind w:left="1020" w:hanging="340"/>
    </w:pPr>
  </w:style>
  <w:style w:type="paragraph" w:styleId="List4">
    <w:name w:val="List 4"/>
    <w:basedOn w:val="BodyText"/>
    <w:rsid w:val="000877F1"/>
    <w:pPr>
      <w:tabs>
        <w:tab w:val="left" w:pos="1361"/>
      </w:tabs>
      <w:spacing w:before="60" w:after="60"/>
      <w:ind w:left="1361" w:hanging="340"/>
    </w:pPr>
  </w:style>
  <w:style w:type="paragraph" w:styleId="List5">
    <w:name w:val="List 5"/>
    <w:basedOn w:val="BodyText"/>
    <w:rsid w:val="000877F1"/>
    <w:pPr>
      <w:tabs>
        <w:tab w:val="left" w:pos="1701"/>
      </w:tabs>
      <w:spacing w:before="60" w:after="60"/>
      <w:ind w:left="1701" w:hanging="340"/>
    </w:pPr>
  </w:style>
  <w:style w:type="paragraph" w:styleId="ListBullet4">
    <w:name w:val="List Bullet 4"/>
    <w:basedOn w:val="List4"/>
    <w:rsid w:val="000877F1"/>
    <w:pPr>
      <w:numPr>
        <w:numId w:val="4"/>
      </w:numPr>
    </w:pPr>
  </w:style>
  <w:style w:type="paragraph" w:styleId="ListBullet5">
    <w:name w:val="List Bullet 5"/>
    <w:basedOn w:val="List5"/>
    <w:rsid w:val="000877F1"/>
    <w:pPr>
      <w:numPr>
        <w:numId w:val="5"/>
      </w:numPr>
    </w:pPr>
  </w:style>
  <w:style w:type="paragraph" w:styleId="ListContinue2">
    <w:name w:val="List Continue 2"/>
    <w:basedOn w:val="List2"/>
    <w:rsid w:val="000877F1"/>
    <w:pPr>
      <w:ind w:firstLine="0"/>
    </w:pPr>
  </w:style>
  <w:style w:type="paragraph" w:styleId="ListContinue3">
    <w:name w:val="List Continue 3"/>
    <w:basedOn w:val="List3"/>
    <w:rsid w:val="000877F1"/>
    <w:pPr>
      <w:ind w:left="1021" w:firstLine="0"/>
    </w:pPr>
  </w:style>
  <w:style w:type="paragraph" w:styleId="ListContinue4">
    <w:name w:val="List Continue 4"/>
    <w:basedOn w:val="List4"/>
    <w:rsid w:val="000877F1"/>
    <w:pPr>
      <w:ind w:firstLine="0"/>
    </w:pPr>
  </w:style>
  <w:style w:type="paragraph" w:styleId="ListContinue5">
    <w:name w:val="List Continue 5"/>
    <w:basedOn w:val="List5"/>
    <w:rsid w:val="000877F1"/>
    <w:pPr>
      <w:ind w:firstLine="0"/>
    </w:pPr>
  </w:style>
  <w:style w:type="paragraph" w:styleId="ListNumber3">
    <w:name w:val="List Number 3"/>
    <w:basedOn w:val="List3"/>
    <w:rsid w:val="000877F1"/>
    <w:pPr>
      <w:numPr>
        <w:numId w:val="6"/>
      </w:numPr>
    </w:pPr>
  </w:style>
  <w:style w:type="paragraph" w:styleId="ListNumber4">
    <w:name w:val="List Number 4"/>
    <w:basedOn w:val="List4"/>
    <w:rsid w:val="000877F1"/>
    <w:pPr>
      <w:numPr>
        <w:numId w:val="7"/>
      </w:numPr>
    </w:pPr>
  </w:style>
  <w:style w:type="paragraph" w:styleId="ListNumber5">
    <w:name w:val="List Number 5"/>
    <w:basedOn w:val="List5"/>
    <w:rsid w:val="000877F1"/>
    <w:pPr>
      <w:numPr>
        <w:numId w:val="8"/>
      </w:numPr>
    </w:pPr>
  </w:style>
  <w:style w:type="paragraph" w:styleId="BlockText">
    <w:name w:val="Block Text"/>
    <w:basedOn w:val="Normal"/>
    <w:rsid w:val="000877F1"/>
    <w:pPr>
      <w:spacing w:after="120"/>
      <w:ind w:left="1440" w:right="1440"/>
    </w:pPr>
  </w:style>
  <w:style w:type="character" w:customStyle="1" w:styleId="Subscript">
    <w:name w:val="Subscript"/>
    <w:basedOn w:val="DefaultParagraphFont"/>
    <w:rsid w:val="000877F1"/>
    <w:rPr>
      <w:sz w:val="16"/>
      <w:vertAlign w:val="subscript"/>
    </w:rPr>
  </w:style>
  <w:style w:type="character" w:customStyle="1" w:styleId="Superscript">
    <w:name w:val="Superscript"/>
    <w:basedOn w:val="DefaultParagraphFont"/>
    <w:rsid w:val="000877F1"/>
    <w:rPr>
      <w:sz w:val="16"/>
      <w:vertAlign w:val="superscript"/>
    </w:rPr>
  </w:style>
  <w:style w:type="character" w:customStyle="1" w:styleId="Symbols">
    <w:name w:val="Symbols"/>
    <w:basedOn w:val="DefaultParagraphFont"/>
    <w:rsid w:val="000877F1"/>
    <w:rPr>
      <w:rFonts w:ascii="Symbol" w:hAnsi="Symbol"/>
    </w:rPr>
  </w:style>
  <w:style w:type="character" w:customStyle="1" w:styleId="MenuOptions">
    <w:name w:val="Menu Options"/>
    <w:basedOn w:val="DefaultParagraphFont"/>
    <w:rsid w:val="000877F1"/>
    <w:rPr>
      <w:rFonts w:ascii="Arial Narrow" w:hAnsi="Arial Narrow"/>
      <w:smallCaps/>
    </w:rPr>
  </w:style>
  <w:style w:type="character" w:customStyle="1" w:styleId="Buttons">
    <w:name w:val="Buttons"/>
    <w:basedOn w:val="DefaultParagraphFont"/>
    <w:rsid w:val="000877F1"/>
    <w:rPr>
      <w:b/>
    </w:rPr>
  </w:style>
  <w:style w:type="character" w:customStyle="1" w:styleId="Underlined">
    <w:name w:val="Underlined"/>
    <w:basedOn w:val="DefaultParagraphFont"/>
    <w:rsid w:val="000877F1"/>
    <w:rPr>
      <w:u w:val="single"/>
    </w:rPr>
  </w:style>
  <w:style w:type="paragraph" w:customStyle="1" w:styleId="TableBodyTextRight">
    <w:name w:val="Table Body Text Right"/>
    <w:basedOn w:val="TableBodyText"/>
    <w:rsid w:val="000877F1"/>
    <w:pPr>
      <w:widowControl w:val="0"/>
      <w:autoSpaceDE w:val="0"/>
      <w:autoSpaceDN w:val="0"/>
      <w:adjustRightInd w:val="0"/>
      <w:jc w:val="right"/>
    </w:pPr>
    <w:rPr>
      <w:rFonts w:cs="Arial"/>
      <w:szCs w:val="18"/>
    </w:rPr>
  </w:style>
  <w:style w:type="paragraph" w:customStyle="1" w:styleId="CopyrightText">
    <w:name w:val="Copyright Text"/>
    <w:basedOn w:val="BodyText"/>
    <w:rsid w:val="000877F1"/>
    <w:rPr>
      <w:sz w:val="18"/>
    </w:rPr>
  </w:style>
  <w:style w:type="paragraph" w:customStyle="1" w:styleId="BodySmallRight">
    <w:name w:val="Body Small Right"/>
    <w:basedOn w:val="BodyTextRight"/>
    <w:rsid w:val="000877F1"/>
    <w:rPr>
      <w:sz w:val="18"/>
      <w:szCs w:val="18"/>
    </w:rPr>
  </w:style>
  <w:style w:type="paragraph" w:customStyle="1" w:styleId="MarginEdition">
    <w:name w:val="Margin Edition"/>
    <w:basedOn w:val="MarginNote"/>
    <w:rsid w:val="000877F1"/>
    <w:pPr>
      <w:spacing w:before="0" w:after="0"/>
    </w:pPr>
    <w:rPr>
      <w:rFonts w:ascii="Times New Roman" w:hAnsi="Times New Roman"/>
      <w:color w:val="999999"/>
    </w:rPr>
  </w:style>
  <w:style w:type="paragraph" w:customStyle="1" w:styleId="Spacer">
    <w:name w:val="Spacer"/>
    <w:basedOn w:val="Normal"/>
    <w:rsid w:val="000877F1"/>
    <w:rPr>
      <w:sz w:val="2"/>
      <w:szCs w:val="2"/>
    </w:rPr>
  </w:style>
  <w:style w:type="character" w:customStyle="1" w:styleId="Small">
    <w:name w:val="Small"/>
    <w:basedOn w:val="DefaultParagraphFont"/>
    <w:rsid w:val="000877F1"/>
    <w:rPr>
      <w:sz w:val="16"/>
    </w:rPr>
  </w:style>
  <w:style w:type="paragraph" w:customStyle="1" w:styleId="WideTable">
    <w:name w:val="Wide Table"/>
    <w:basedOn w:val="Normal"/>
    <w:rsid w:val="000877F1"/>
    <w:pPr>
      <w:ind w:left="-1418"/>
    </w:pPr>
    <w:rPr>
      <w:sz w:val="2"/>
      <w:szCs w:val="2"/>
    </w:rPr>
  </w:style>
  <w:style w:type="character" w:styleId="PageNumber">
    <w:name w:val="page number"/>
    <w:basedOn w:val="DefaultParagraphFont"/>
    <w:rsid w:val="000877F1"/>
  </w:style>
  <w:style w:type="paragraph" w:styleId="Quote">
    <w:name w:val="Quote"/>
    <w:basedOn w:val="Heading1"/>
    <w:link w:val="QuoteChar"/>
    <w:qFormat/>
    <w:rsid w:val="000877F1"/>
    <w:rPr>
      <w:b w:val="0"/>
      <w:sz w:val="72"/>
      <w:szCs w:val="72"/>
      <w:lang w:val="en-NZ"/>
    </w:rPr>
  </w:style>
  <w:style w:type="character" w:customStyle="1" w:styleId="QuoteChar">
    <w:name w:val="Quote Char"/>
    <w:basedOn w:val="DefaultParagraphFont"/>
    <w:link w:val="Quote"/>
    <w:rsid w:val="00087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7F1"/>
    <w:pPr>
      <w:pageBreakBefore/>
    </w:pPr>
  </w:style>
  <w:style w:type="paragraph" w:customStyle="1" w:styleId="Border">
    <w:name w:val="Border"/>
    <w:basedOn w:val="Normal"/>
    <w:qFormat/>
    <w:rsid w:val="00087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7F1"/>
    <w:rPr>
      <w:b/>
      <w:bCs/>
      <w:i/>
      <w:iCs/>
      <w:color w:val="auto"/>
    </w:rPr>
  </w:style>
  <w:style w:type="paragraph" w:styleId="IntenseQuote">
    <w:name w:val="Intense Quote"/>
    <w:basedOn w:val="Normal"/>
    <w:next w:val="Normal"/>
    <w:link w:val="IntenseQuoteChar"/>
    <w:uiPriority w:val="30"/>
    <w:qFormat/>
    <w:rsid w:val="00087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7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7F1"/>
    <w:rPr>
      <w:smallCaps/>
      <w:color w:val="auto"/>
      <w:u w:val="single"/>
    </w:rPr>
  </w:style>
  <w:style w:type="character" w:styleId="IntenseReference">
    <w:name w:val="Intense Reference"/>
    <w:basedOn w:val="DefaultParagraphFont"/>
    <w:uiPriority w:val="32"/>
    <w:qFormat/>
    <w:rsid w:val="000877F1"/>
    <w:rPr>
      <w:b/>
      <w:bCs/>
      <w:smallCaps/>
      <w:color w:val="auto"/>
      <w:spacing w:val="5"/>
      <w:u w:val="single"/>
    </w:rPr>
  </w:style>
  <w:style w:type="paragraph" w:customStyle="1" w:styleId="2ColumnHeading">
    <w:name w:val="2Column Heading"/>
    <w:basedOn w:val="BodyText"/>
    <w:qFormat/>
    <w:rsid w:val="000877F1"/>
    <w:pPr>
      <w:spacing w:after="60"/>
      <w:ind w:left="-2268"/>
    </w:pPr>
    <w:rPr>
      <w:b/>
    </w:rPr>
  </w:style>
  <w:style w:type="paragraph" w:customStyle="1" w:styleId="Heading1TOC">
    <w:name w:val="Heading1 TOC"/>
    <w:basedOn w:val="Normal"/>
    <w:qFormat/>
    <w:rsid w:val="000877F1"/>
    <w:pPr>
      <w:spacing w:before="240" w:after="120"/>
    </w:pPr>
    <w:rPr>
      <w:rFonts w:ascii="Times New Roman" w:hAnsi="Times New Roman"/>
      <w:b/>
      <w:sz w:val="32"/>
    </w:rPr>
  </w:style>
  <w:style w:type="paragraph" w:customStyle="1" w:styleId="Heading2TOC">
    <w:name w:val="Heading2 TOC"/>
    <w:basedOn w:val="Normal"/>
    <w:qFormat/>
    <w:rsid w:val="000877F1"/>
    <w:pPr>
      <w:spacing w:before="240" w:after="60"/>
    </w:pPr>
    <w:rPr>
      <w:rFonts w:ascii="Times New Roman" w:hAnsi="Times New Roman"/>
      <w:b/>
      <w:sz w:val="28"/>
    </w:rPr>
  </w:style>
  <w:style w:type="character" w:customStyle="1" w:styleId="Underline">
    <w:name w:val="Underline"/>
    <w:basedOn w:val="DefaultParagraphFont"/>
    <w:qFormat/>
    <w:rsid w:val="000877F1"/>
    <w:rPr>
      <w:u w:val="single"/>
    </w:rPr>
  </w:style>
  <w:style w:type="character" w:customStyle="1" w:styleId="BoldandItalics">
    <w:name w:val="Bold and Italics"/>
    <w:qFormat/>
    <w:rsid w:val="000877F1"/>
    <w:rPr>
      <w:b/>
      <w:i/>
      <w:u w:val="none"/>
    </w:rPr>
  </w:style>
  <w:style w:type="paragraph" w:styleId="BalloonText">
    <w:name w:val="Balloon Text"/>
    <w:basedOn w:val="Normal"/>
    <w:link w:val="BalloonTextChar"/>
    <w:rsid w:val="000877F1"/>
    <w:rPr>
      <w:rFonts w:ascii="Tahoma" w:hAnsi="Tahoma" w:cs="Tahoma"/>
      <w:sz w:val="16"/>
      <w:szCs w:val="16"/>
    </w:rPr>
  </w:style>
  <w:style w:type="character" w:customStyle="1" w:styleId="BalloonTextChar">
    <w:name w:val="Balloon Text Char"/>
    <w:basedOn w:val="DefaultParagraphFont"/>
    <w:link w:val="BalloonText"/>
    <w:rsid w:val="000877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7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2724</Words>
  <Characters>16932</Characters>
  <Application>Microsoft Office Word</Application>
  <DocSecurity>0</DocSecurity>
  <Lines>671</Lines>
  <Paragraphs>252</Paragraphs>
  <ScaleCrop>false</ScaleCrop>
  <Company>Author-it Software Corporation Ltd.</Company>
  <LinksUpToDate>false</LinksUpToDate>
  <CharactersWithSpaces>19455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UETTDRTS37A Perform current injection testing using phantom load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2012-05-26T12:27:00Z</dcterms:created>
  <dcterms:modified xsi:type="dcterms:W3CDTF">2012-05-26T12:27:00Z</dcterms:modified>
</cp:coreProperties>
</file>