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CB6" w:rsidP="00D06CB6">
      <w:pPr>
        <w:pStyle w:val="Title"/>
      </w:pPr>
      <w:r>
        <w:fldChar w:fldCharType="begin"/>
      </w:r>
      <w:r>
        <w:instrText xml:space="preserve"> TITLE   \* MERGEFORMAT </w:instrText>
      </w:r>
      <w:r>
        <w:fldChar w:fldCharType="separate"/>
      </w:r>
      <w:r>
        <w:t>UETTDRTS36A Commission complex network protection and control systems</w:t>
      </w:r>
      <w:r>
        <w:fldChar w:fldCharType="end"/>
      </w:r>
    </w:p>
    <w:p w:rsidR="00D06CB6" w:rsidP="00D06CB6">
      <w:pPr>
        <w:pStyle w:val="Version"/>
        <w:sectPr w:rsidSect="00EC2D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DC6" w:rsidP="00EC2DC6">
      <w:pPr>
        <w:pStyle w:val="SuperHeading"/>
      </w:pPr>
      <w:r w:rsidRPr="00EC2DC6">
        <w:t>UETTDRTS36A Commission complex network protection and control systems</w:t>
      </w:r>
    </w:p>
    <w:p w:rsidR="00000000" w:rsidRPr="00EC2DC6" w:rsidP="00EC2DC6">
      <w:pPr>
        <w:pStyle w:val="Heading1"/>
      </w:pPr>
      <w:bookmarkStart w:id="1" w:name="O_464739"/>
      <w:bookmarkEnd w:id="1"/>
      <w:r w:rsidRPr="00EC2DC6">
        <w:t>Modification History</w:t>
      </w:r>
    </w:p>
    <w:p w:rsidR="00000000" w:rsidRPr="00EC2DC6" w:rsidP="00EC2DC6">
      <w:pPr>
        <w:pStyle w:val="BodyText"/>
      </w:pPr>
      <w:r w:rsidRPr="00EC2DC6">
        <w:t>Not applicable.</w:t>
      </w:r>
    </w:p>
    <w:p w:rsidR="00000000" w:rsidRPr="00EC2DC6" w:rsidP="00EC2DC6">
      <w:pPr>
        <w:pStyle w:val="AllowPageBreak"/>
      </w:pPr>
    </w:p>
    <w:p w:rsidR="00000000" w:rsidRPr="00EC2DC6" w:rsidP="00EC2DC6">
      <w:pPr>
        <w:pStyle w:val="Heading1"/>
      </w:pPr>
      <w:bookmarkStart w:id="2" w:name="O_464737"/>
      <w:bookmarkEnd w:id="2"/>
      <w:r w:rsidRPr="00EC2DC6">
        <w:t>Unit Descriptor</w:t>
      </w:r>
    </w:p>
    <w:tbl>
      <w:tblPr>
        <w:tblW w:w="0" w:type="auto"/>
        <w:tblLayout w:type="fixed"/>
        <w:tblCellMar>
          <w:left w:w="62" w:type="dxa"/>
          <w:right w:w="62" w:type="dxa"/>
        </w:tblCellMar>
        <w:tblLook w:val="0000"/>
      </w:tblPr>
      <w:tblGrid>
        <w:gridCol w:w="2700"/>
        <w:gridCol w:w="5760"/>
      </w:tblGrid>
      <w:tr w:rsidTr="00D06C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1)</w:t>
            </w:r>
            <w:r w:rsidRPr="00EC2DC6">
              <w:t xml:space="preserve"> </w:t>
            </w:r>
            <w:r w:rsidRPr="00EC2DC6">
              <w:rPr>
                <w:rStyle w:val="SpecialBold"/>
              </w:rPr>
              <w:t>Scope:</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2DC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1.1) Descriptor</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 xml:space="preserve">This Competency Standard Unit covers the commissioning of network protection and control systems in complex situations and includes isolation, inspection, monitoring, testing, adjustment, and repair, refurbishment and or overhaul and functional checks. It </w:t>
            </w:r>
            <w:r w:rsidRPr="00EC2DC6">
              <w:t>includes schemes from discrete and interdependent and also schemes such as, distance, differential, transformer differential, bus zone, bus overcurrent, revenue metering, current transformer accuracy, SCADA, communications, harmonic control, point on wave,</w:t>
            </w:r>
            <w:r w:rsidRPr="00EC2DC6">
              <w:t xml:space="preserve"> HV plant testing.</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3" w:name="O_464726"/>
      <w:bookmarkEnd w:id="3"/>
      <w:r w:rsidRPr="00EC2DC6">
        <w:t>Application of the Unit</w:t>
      </w:r>
    </w:p>
    <w:tbl>
      <w:tblPr>
        <w:tblW w:w="0" w:type="auto"/>
        <w:tblLayout w:type="fixed"/>
        <w:tblCellMar>
          <w:left w:w="62" w:type="dxa"/>
          <w:right w:w="62" w:type="dxa"/>
        </w:tblCellMar>
        <w:tblLook w:val="0000"/>
      </w:tblPr>
      <w:tblGrid>
        <w:gridCol w:w="2672"/>
        <w:gridCol w:w="5699"/>
      </w:tblGrid>
      <w:tr w:rsidTr="00D06CB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2)</w:t>
            </w:r>
          </w:p>
        </w:tc>
      </w:tr>
      <w:tr w:rsidTr="00D06CB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This competency standards unit is intended to apply to any recognised development program that leads to the acquisition of a formal award at AQF level 6 or higher.</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4" w:name="O_464733"/>
      <w:bookmarkEnd w:id="4"/>
      <w:r w:rsidRPr="00EC2DC6">
        <w:t>Licensing/Regulatory Information</w:t>
      </w:r>
    </w:p>
    <w:tbl>
      <w:tblPr>
        <w:tblW w:w="0" w:type="auto"/>
        <w:tblLayout w:type="fixed"/>
        <w:tblCellMar>
          <w:left w:w="62" w:type="dxa"/>
          <w:right w:w="62" w:type="dxa"/>
        </w:tblCellMar>
        <w:tblLook w:val="0000"/>
      </w:tblPr>
      <w:tblGrid>
        <w:gridCol w:w="2700"/>
        <w:gridCol w:w="5760"/>
      </w:tblGrid>
      <w:tr w:rsidTr="00D06C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 xml:space="preserve">3) </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The skills and knowledge described in this unit may require a licence/registration to practice in the work place subject to regulations for undertaking of electrical work. Practic</w:t>
            </w:r>
            <w:r w:rsidRPr="00EC2DC6">
              <w:t xml:space="preserve">e in workplace and during training is also subject to regulations directly related to Occupational Health and </w:t>
            </w:r>
            <w:r w:rsidRPr="00EC2DC6">
              <w:t>Safety, electricity/telecommunications/gas/water industry safety and compliance, industrial relations, environmental protection, anti discriminati</w:t>
            </w:r>
            <w:r w:rsidRPr="00EC2DC6">
              <w:t>on and training. Commonwealth, State/Territory or Local Government legislation and regulations may exist that limits the age of operating certain equipment.</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5" w:name="O_464734"/>
      <w:bookmarkEnd w:id="5"/>
      <w:r w:rsidRPr="00EC2DC6">
        <w:t>Pre-Requisites</w:t>
      </w:r>
    </w:p>
    <w:tbl>
      <w:tblPr>
        <w:tblW w:w="0" w:type="auto"/>
        <w:tblLayout w:type="fixed"/>
        <w:tblCellMar>
          <w:left w:w="62" w:type="dxa"/>
          <w:right w:w="62" w:type="dxa"/>
        </w:tblCellMar>
        <w:tblLook w:val="0000"/>
      </w:tblPr>
      <w:tblGrid>
        <w:gridCol w:w="2700"/>
        <w:gridCol w:w="2070"/>
        <w:gridCol w:w="3690"/>
      </w:tblGrid>
      <w:tr w:rsidTr="00D06C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 xml:space="preserve">4) </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4.1)</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Granting of competency in this unit shall be made only after competency in the following unit(s) has/have been confirmed.</w:t>
            </w:r>
          </w:p>
          <w:p w:rsidR="00000000" w:rsidRPr="00EC2DC6" w:rsidP="00EC2DC6">
            <w:pPr>
              <w:pStyle w:val="BodyText"/>
            </w:pPr>
            <w:r w:rsidRPr="00EC2DC6">
              <w:t xml:space="preserve">Where pre-requisite pathways have been identified. All competencies in the Common Unit Group must be have been completed plus all the </w:t>
            </w:r>
            <w:r w:rsidRPr="00EC2DC6">
              <w:t>competencies in one (1) of the identified Pathway Unit Group(s):</w:t>
            </w:r>
          </w:p>
          <w:p w:rsidR="00000000" w:rsidP="00EC2DC6">
            <w:pPr>
              <w:pStyle w:val="BodyText"/>
              <w:rPr>
                <w:lang w:val="en-NZ"/>
              </w:rPr>
            </w:pPr>
            <w:r w:rsidRPr="00EC2DC6">
              <w:t>Common Unit Group</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Unit Code</w:t>
            </w:r>
            <w:r w:rsidRPr="00EC2DC6">
              <w:tab/>
            </w:r>
          </w:p>
        </w:tc>
        <w:tc>
          <w:tcPr>
            <w:tcW w:w="3690" w:type="dxa"/>
            <w:tcBorders>
              <w:top w:val="nil"/>
              <w:left w:val="nil"/>
              <w:bottom w:val="nil"/>
              <w:right w:val="nil"/>
            </w:tcBorders>
            <w:tcMar>
              <w:top w:w="0" w:type="dxa"/>
              <w:left w:w="62" w:type="dxa"/>
              <w:bottom w:w="0" w:type="dxa"/>
              <w:right w:w="62" w:type="dxa"/>
            </w:tcMar>
            <w:vAlign w:val="bottom"/>
          </w:tcPr>
          <w:p w:rsidR="00000000" w:rsidP="00EC2DC6">
            <w:pPr>
              <w:pStyle w:val="BodyText"/>
              <w:rPr>
                <w:lang w:val="en-NZ"/>
              </w:rPr>
            </w:pPr>
            <w:r w:rsidRPr="00EC2DC6">
              <w:t>Unit Title</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EC2DC6">
            <w:pPr>
              <w:pStyle w:val="BodyText"/>
              <w:rPr>
                <w:lang w:val="en-NZ"/>
              </w:rPr>
            </w:pPr>
            <w:r w:rsidRPr="00EC2DC6">
              <w:t>Use engineering applications software on personal computers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 xml:space="preserve">Apply Occupational Health and Safety regulations, codes </w:t>
            </w:r>
            <w:r w:rsidRPr="00EC2DC6">
              <w:t>and practices in the workplace</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Fabricate, assemble and dismantle utilities industry components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Solve problems in d.c. Circuits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Use drawings, diagrams, schedules, standards, codes and specifications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UEENEEE124A</w:t>
            </w:r>
          </w:p>
        </w:tc>
        <w:tc>
          <w:tcPr>
            <w:tcW w:w="369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Compile and produce an energy sector detailed report</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 xml:space="preserve">Provide engineering solutions for problems in complex multiple path </w:t>
            </w:r>
            <w:r w:rsidRPr="00EC2DC6">
              <w:t>circuits problems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Provide solutions to basic engineering computational problems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Solve problems in electromagnetic devices and related circuits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Solve problems in electromagnetic devices and related circuits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Provide engineering solutions to problems in complex polyphase power circuits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Apply sust</w:t>
            </w:r>
            <w:r w:rsidRPr="00EC2DC6">
              <w:t>ainable energy and environmental procedures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 xml:space="preserve">Working safely near live electrical apparatus </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Implement and monitor the power system organisational OHS policies, procedures and programs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Implement and monitor the power system environmental and sustainable energy management policies and procedures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UETTDRTS21A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Maintain interdependent network protection and control systems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UETTDRTS22A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Commission interdependent network protection and contr</w:t>
            </w:r>
            <w:r w:rsidRPr="00EC2DC6">
              <w:t>ol systems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UETTDRTS29A</w:t>
            </w:r>
          </w:p>
        </w:tc>
        <w:tc>
          <w:tcPr>
            <w:tcW w:w="369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Develop power systems secondary isolation instructional documents</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EC2DC6">
            <w:pPr>
              <w:pStyle w:val="BodyText"/>
              <w:rPr>
                <w:lang w:val="en-NZ"/>
              </w:rPr>
            </w:pPr>
            <w:r w:rsidRPr="00EC2DC6">
              <w:t>UETTDRTS35A</w:t>
            </w:r>
          </w:p>
        </w:tc>
        <w:tc>
          <w:tcPr>
            <w:tcW w:w="3690" w:type="dxa"/>
            <w:tcBorders>
              <w:top w:val="nil"/>
              <w:left w:val="nil"/>
              <w:bottom w:val="nil"/>
              <w:right w:val="nil"/>
            </w:tcBorders>
            <w:tcMar>
              <w:top w:w="0" w:type="dxa"/>
              <w:left w:w="62" w:type="dxa"/>
              <w:bottom w:w="0" w:type="dxa"/>
              <w:right w:w="62" w:type="dxa"/>
            </w:tcMar>
            <w:vAlign w:val="center"/>
          </w:tcPr>
          <w:p w:rsidR="00000000" w:rsidRPr="00EC2DC6" w:rsidP="00EC2DC6">
            <w:pPr>
              <w:pStyle w:val="BodyText"/>
            </w:pPr>
            <w:r w:rsidRPr="00EC2DC6">
              <w:t>Maintain complex network protection and control systems</w:t>
            </w:r>
          </w:p>
        </w:tc>
      </w:tr>
    </w:tbl>
    <w:p w:rsidR="00000000" w:rsidRPr="00EC2DC6" w:rsidP="00EC2DC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06CB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 xml:space="preserve">4.2) </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 xml:space="preserve">Participants are best equipped to achieve this unit if they have reading, writing and numeracy skills indicated by the </w:t>
            </w:r>
            <w:r w:rsidRPr="00EC2DC6">
              <w:t>following scales. Description of each scale is given in Volume 2, Part 3 “Literacy and Numeracy”</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Reading</w:t>
            </w:r>
          </w:p>
        </w:tc>
        <w:tc>
          <w:tcPr>
            <w:tcW w:w="81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5</w:t>
            </w:r>
          </w:p>
        </w:tc>
        <w:tc>
          <w:tcPr>
            <w:tcW w:w="99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Writing</w:t>
            </w:r>
          </w:p>
        </w:tc>
        <w:tc>
          <w:tcPr>
            <w:tcW w:w="90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5</w:t>
            </w:r>
          </w:p>
        </w:tc>
        <w:tc>
          <w:tcPr>
            <w:tcW w:w="12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Numeracy</w:t>
            </w:r>
          </w:p>
        </w:tc>
        <w:tc>
          <w:tcPr>
            <w:tcW w:w="72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5</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6" w:name="O_464730"/>
      <w:bookmarkEnd w:id="6"/>
      <w:r w:rsidRPr="00EC2DC6">
        <w:t>Employability Skills Information</w:t>
      </w:r>
    </w:p>
    <w:tbl>
      <w:tblPr>
        <w:tblW w:w="0" w:type="auto"/>
        <w:tblLayout w:type="fixed"/>
        <w:tblCellMar>
          <w:left w:w="62" w:type="dxa"/>
          <w:right w:w="62" w:type="dxa"/>
        </w:tblCellMar>
        <w:tblLook w:val="0000"/>
      </w:tblPr>
      <w:tblGrid>
        <w:gridCol w:w="2700"/>
        <w:gridCol w:w="5760"/>
      </w:tblGrid>
      <w:tr w:rsidTr="00D06C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 xml:space="preserve">5) </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 xml:space="preserve">The required outcomes described in this unit of competency contain applicable facets of Employability Skills. The Employability Skills Summary </w:t>
            </w:r>
            <w:r w:rsidRPr="00EC2DC6">
              <w:t>of the qualification in which this unit of competency is packaged will assist in identifying Employability Skill requirements.</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7" w:name="O_464729"/>
      <w:bookmarkEnd w:id="7"/>
      <w:r w:rsidRPr="00EC2DC6">
        <w:t>Elements and Performance Criteria Pre-Content</w:t>
      </w:r>
    </w:p>
    <w:tbl>
      <w:tblPr>
        <w:tblW w:w="0" w:type="auto"/>
        <w:tblLayout w:type="fixed"/>
        <w:tblCellMar>
          <w:left w:w="62" w:type="dxa"/>
          <w:right w:w="62" w:type="dxa"/>
        </w:tblCellMar>
        <w:tblLook w:val="0000"/>
      </w:tblPr>
      <w:tblGrid>
        <w:gridCol w:w="2700"/>
        <w:gridCol w:w="5760"/>
      </w:tblGrid>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6)</w:t>
            </w:r>
            <w:r w:rsidRPr="00EC2DC6">
              <w:t xml:space="preserve"> Elements describe the essential outcomes of a competency stan</w:t>
            </w:r>
            <w:r w:rsidRPr="00EC2DC6">
              <w:t>dard unit</w:t>
            </w:r>
          </w:p>
        </w:tc>
        <w:tc>
          <w:tcPr>
            <w:tcW w:w="576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Performance Criteria describe the required performance needed to demonstrate achievement of the element. Assessment of performance is to be consistent with the Evidence Guide.</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8" w:name="O_464728"/>
      <w:bookmarkEnd w:id="8"/>
      <w:r w:rsidRPr="00EC2DC6">
        <w:t>Elements and Performance Criteria</w:t>
      </w:r>
    </w:p>
    <w:tbl>
      <w:tblPr>
        <w:tblW w:w="0" w:type="auto"/>
        <w:tblLayout w:type="fixed"/>
        <w:tblCellMar>
          <w:left w:w="62" w:type="dxa"/>
          <w:right w:w="62" w:type="dxa"/>
        </w:tblCellMar>
        <w:tblLook w:val="0000"/>
      </w:tblPr>
      <w:tblGrid>
        <w:gridCol w:w="447"/>
        <w:gridCol w:w="2231"/>
        <w:gridCol w:w="22"/>
        <w:gridCol w:w="871"/>
        <w:gridCol w:w="4889"/>
      </w:tblGrid>
      <w:tr w:rsidTr="00D06CB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PERFORMANCE CRITERIA</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w:t>
            </w:r>
          </w:p>
        </w:tc>
        <w:tc>
          <w:tcPr>
            <w:tcW w:w="2231"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Plan for the commissioning of network protection and control systems (complex)</w:t>
            </w: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1.1</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OHS practices/procedures and environmental and sustainable energy procedures, which may influence the commissioning of, network protection and contr</w:t>
            </w:r>
            <w:r w:rsidRPr="00EC2DC6">
              <w:t>ol systems (complex) are reviewed and determined.</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1.2</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Purpose of the commissioning of network protection and control systems (complex) is established after data is analysed and expected outcomes of the work are confirmed with the appropriate personnel.</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1.3</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 xml:space="preserve">Organisational established procedures on policies and specifications for the commissioning of network protection and control systems </w:t>
            </w:r>
            <w:r w:rsidRPr="00EC2DC6">
              <w:t>(complex) are obtained or established with the appropriate personnel.</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1.4</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Testing procedures are discussed with/directed to the appropriate personnel in order to ascertain the project brief.</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1.5</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Testing parameters are established from organisational established procedures on policies and specifications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1.6</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 xml:space="preserve">Equipment/tools </w:t>
            </w:r>
            <w:r w:rsidRPr="00EC2DC6">
              <w:t>and personal protective equipment is selected based on specified Performance Criteria and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1.7</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Work roles and tasks are allocated according to requirements and individuals’ competencies.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1.8</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Work is prioritised and sequenced for the most efficient/effective outcome, completed within an acceptable timeframe to a quality standard and in accordance with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1.9</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Liaison and communication issues with other/authorised personne</w:t>
            </w:r>
            <w:r w:rsidRPr="00EC2DC6">
              <w:t>l, authorities, clients and land owners are resolved and activities coordinated to carry out work.</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1.10</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Risk control measures are identified, prioritised and evaluated against the work schedule.</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1.11</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Relevant work permits are secured to coordinate th</w:t>
            </w:r>
            <w:r w:rsidRPr="00EC2DC6">
              <w:t>e performance of work according to requirements and/or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w:t>
            </w:r>
          </w:p>
        </w:tc>
        <w:tc>
          <w:tcPr>
            <w:tcW w:w="2231" w:type="dxa"/>
            <w:vMerge w:val="restart"/>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Carry out the commissioning of network protection and control systems (complex)</w:t>
            </w: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2.1</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Circuit/systems modelling is used to evaluate alternative proposals as per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2.2</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OHS and sustainable energy principles, functionality and practices to reduce the incidents of accidents and minimise waste are incorporated into the p</w:t>
            </w:r>
            <w:r w:rsidRPr="00EC2DC6">
              <w:t>roject in accordance with requirements and/or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2.3</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 xml:space="preserve">Commissioning of network protection and control systems (complex) decisions are made on the basis of safety and effective outcomes according </w:t>
            </w:r>
            <w:r w:rsidRPr="00EC2DC6">
              <w:t>to requirements and/or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2.4</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Mathematical and/or engineering models of the schemes are used to analyse the effectiveness of the finished project as per requirements and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2.5</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Technical advice is given regar</w:t>
            </w:r>
            <w:r w:rsidRPr="00EC2DC6">
              <w:t>ding potential hazards, safety risks and control measures so that monitoring and preventative action can be undertaken and/or appropriate authorities consulted, where necessary, in accordance with requirements and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2.6</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Essential knowledge and associated skills are applied to analyse specific data and compare it with compliance specifications to ensure completion of the project within an agreed timeframe according to requirements.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2.7</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 xml:space="preserve">Testing of network protection and </w:t>
            </w:r>
            <w:r w:rsidRPr="00EC2DC6">
              <w:t>control systems (complex) is undertaken according to requirements and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2.8</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Work teams/groups are arranged/coordinated/evaluated to ensure planned goals are met according to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2.9</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Solutions to non-routine p</w:t>
            </w:r>
            <w:r w:rsidRPr="00EC2DC6">
              <w:t>roblems are identified and actioned, using acquired essential knowledge and associated skills, according to requirements.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2.10</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Quality of work is monitored against personal performance agreement and/or established organisational and professional standards.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2.11</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Strategic plans are developed incorporating organisation initiatives as per established procedures.</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3</w:t>
            </w:r>
          </w:p>
        </w:tc>
        <w:tc>
          <w:tcPr>
            <w:tcW w:w="2231"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Complete the co</w:t>
            </w:r>
            <w:r w:rsidRPr="00EC2DC6">
              <w:t>mmissioning of network protection and control systems (complex)</w:t>
            </w: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3.1</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Final inspections of the network protection and control systems (complex) are undertaken to ensure they comply with all requirements and include all specifications and documentations neede</w:t>
            </w:r>
            <w:r w:rsidRPr="00EC2DC6">
              <w:t>d to complete the project.</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3.2</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Appropriate personnel are notified of completion and reports and/or completion documents are finalised/commissioned.</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3.3</w:t>
            </w:r>
          </w:p>
        </w:tc>
        <w:tc>
          <w:tcPr>
            <w:tcW w:w="4889"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Reports and/or completion documents are submitted to relevant personnel/organisations for approval</w:t>
            </w:r>
            <w:r w:rsidRPr="00EC2DC6">
              <w:t xml:space="preserve"> and, where applicable, statutory or regulatory approval.</w:t>
            </w:r>
          </w:p>
        </w:tc>
      </w:tr>
      <w:tr w:rsidTr="00D06CB6">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3" w:type="dxa"/>
            <w:gridSpan w:val="2"/>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t>3.4</w:t>
            </w:r>
          </w:p>
        </w:tc>
        <w:tc>
          <w:tcPr>
            <w:tcW w:w="4889"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Approved copies of the commissioning of network protection and control systems (complex) documents are issues and records are updated in accordance with established procedures.</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9" w:name="O_464736"/>
      <w:bookmarkEnd w:id="9"/>
      <w:r w:rsidRPr="00EC2DC6">
        <w:t>Required Skills and Knowledge</w:t>
      </w:r>
    </w:p>
    <w:tbl>
      <w:tblPr>
        <w:tblW w:w="0" w:type="auto"/>
        <w:tblLayout w:type="fixed"/>
        <w:tblCellMar>
          <w:left w:w="62" w:type="dxa"/>
          <w:right w:w="62" w:type="dxa"/>
        </w:tblCellMar>
        <w:tblLook w:val="0000"/>
      </w:tblPr>
      <w:tblGrid>
        <w:gridCol w:w="8460"/>
      </w:tblGrid>
      <w:tr w:rsidTr="00D06C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REQUIRED SKILLS AND KNOWLEDGE</w:t>
            </w:r>
          </w:p>
        </w:tc>
      </w:tr>
      <w:tr w:rsidTr="00D06CB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8)</w:t>
            </w:r>
            <w:r w:rsidRPr="00EC2DC6">
              <w:t xml:space="preserve"> Essential Knowledge and Associated Skills (EKAS): This describes the essential skills and knowledge and their level, required for this unit.</w:t>
            </w:r>
          </w:p>
          <w:p w:rsidR="00000000" w:rsidRPr="00EC2DC6" w:rsidP="00EC2DC6">
            <w:pPr>
              <w:pStyle w:val="BodyText"/>
            </w:pPr>
            <w:r w:rsidRPr="00EC2DC6">
              <w:t>Evidence shall show that knowledge has been</w:t>
            </w:r>
            <w:r w:rsidRPr="00EC2DC6">
              <w:t xml:space="preserve"> acquired of commissioning network protection and control systems (complex).</w:t>
            </w:r>
          </w:p>
          <w:p w:rsidR="00000000" w:rsidRPr="00EC2DC6" w:rsidP="00EC2DC6">
            <w:pPr>
              <w:pStyle w:val="BodyText"/>
            </w:pPr>
            <w:r w:rsidRPr="00EC2DC6">
              <w:t>All knowledge and skills detailed in this unit should be contextualised to current industry practices and technologies.</w:t>
            </w:r>
          </w:p>
          <w:p w:rsidR="00000000" w:rsidRPr="00EC2DC6" w:rsidP="00EC2DC6">
            <w:pPr>
              <w:pStyle w:val="BodyText"/>
            </w:pPr>
            <w:r w:rsidRPr="00EC2DC6">
              <w:t xml:space="preserve">KS01-TTS36A </w:t>
            </w:r>
            <w:r w:rsidRPr="00EC2DC6">
              <w:tab/>
              <w:t>Complex network protection and control systems</w:t>
            </w:r>
            <w:r w:rsidRPr="00EC2DC6">
              <w:t xml:space="preserve"> - commissioning</w:t>
            </w:r>
          </w:p>
          <w:p w:rsidR="00000000" w:rsidRPr="00EC2DC6" w:rsidP="00EC2DC6">
            <w:pPr>
              <w:pStyle w:val="BodyText"/>
            </w:pPr>
            <w:r w:rsidRPr="00EC2DC6">
              <w:t xml:space="preserve">Evidence shall show an understanding of complex network protection and control systems – commissioning to an extent indicated by the following aspects: </w:t>
            </w:r>
          </w:p>
          <w:p w:rsidR="00000000" w:rsidRPr="00EC2DC6" w:rsidP="00EC2DC6">
            <w:pPr>
              <w:pStyle w:val="BodyText"/>
            </w:pPr>
            <w:r w:rsidRPr="00EC2DC6">
              <w:t>T1</w:t>
            </w:r>
            <w:r w:rsidRPr="00EC2DC6">
              <w:tab/>
              <w:t>Principles of Statutory and safety considerations encompassing:</w:t>
            </w:r>
          </w:p>
          <w:p w:rsidR="00000000" w:rsidRPr="00EC2DC6" w:rsidP="00EC2DC6">
            <w:pPr>
              <w:pStyle w:val="ListBullet"/>
            </w:pPr>
            <w:r w:rsidRPr="00EC2DC6">
              <w:t>Commonwealth/State/Territory legislation, standards, codes, supply authority regulations and or enterprise requirements associated with working on High Voltage</w:t>
            </w:r>
          </w:p>
          <w:p w:rsidR="00000000" w:rsidRPr="00EC2DC6" w:rsidP="00EC2DC6">
            <w:pPr>
              <w:pStyle w:val="ListBullet"/>
            </w:pPr>
            <w:r w:rsidRPr="00EC2DC6">
              <w:t>Particular reference to State and Territory regulations regarding - working near energised condu</w:t>
            </w:r>
            <w:r w:rsidRPr="00EC2DC6">
              <w:t>ctors, electrical access, heights, confined space, testing procedures, licensing rules.</w:t>
            </w:r>
          </w:p>
          <w:p w:rsidR="00000000" w:rsidRPr="00EC2DC6" w:rsidP="00EC2DC6">
            <w:pPr>
              <w:pStyle w:val="BodyText"/>
            </w:pPr>
            <w:r w:rsidRPr="00EC2DC6">
              <w:t>T2</w:t>
            </w:r>
            <w:r w:rsidRPr="00EC2DC6">
              <w:tab/>
              <w:t>Electrical equipment associated with protection and control schemes encompassing:</w:t>
            </w:r>
          </w:p>
          <w:p w:rsidR="00000000" w:rsidRPr="00EC2DC6" w:rsidP="00EC2DC6">
            <w:pPr>
              <w:pStyle w:val="ListBullet"/>
            </w:pPr>
            <w:r w:rsidRPr="00EC2DC6">
              <w:t>Types and applications of electrical equipment – characteristics, capabilities (sc</w:t>
            </w:r>
            <w:r w:rsidRPr="00EC2DC6">
              <w:t>hemes: overcurrent, frame leakage, cooling, buchholz, DC supplies, restricted earth, sensitive earth fault, CB fail, reclose, DC frame leakage, CEL Fail, under frequency load shed and earth fault)</w:t>
            </w:r>
          </w:p>
          <w:p w:rsidR="00000000" w:rsidRPr="00EC2DC6" w:rsidP="00EC2DC6">
            <w:pPr>
              <w:pStyle w:val="BodyText"/>
            </w:pPr>
            <w:r w:rsidRPr="00EC2DC6">
              <w:t>T3</w:t>
            </w:r>
            <w:r w:rsidRPr="00EC2DC6">
              <w:tab/>
              <w:t>Principles of isolation and tagging procedures associate</w:t>
            </w:r>
            <w:r w:rsidRPr="00EC2DC6">
              <w:t>d with protection testing encompassing:</w:t>
            </w:r>
          </w:p>
          <w:p w:rsidR="00000000" w:rsidRPr="00EC2DC6" w:rsidP="00EC2DC6">
            <w:pPr>
              <w:pStyle w:val="ListBullet"/>
            </w:pPr>
            <w:r w:rsidRPr="00EC2DC6">
              <w:t>Standards, codes, Commonwealth/State/Territory legislation, supply authority regulations and or enterprise requirements associated with the installation, maintenance, isolation and tagging procedures</w:t>
            </w:r>
          </w:p>
          <w:p w:rsidR="00000000" w:rsidRPr="00EC2DC6" w:rsidP="00EC2DC6">
            <w:pPr>
              <w:pStyle w:val="ListBullet"/>
            </w:pPr>
            <w:r w:rsidRPr="00EC2DC6">
              <w:t>Requirements fo</w:t>
            </w:r>
            <w:r w:rsidRPr="00EC2DC6">
              <w:t>r the use of, isolation and tagging, manuals, system diagrams/plans and drawings</w:t>
            </w:r>
          </w:p>
          <w:p w:rsidR="00000000" w:rsidRPr="00EC2DC6" w:rsidP="00EC2DC6">
            <w:pPr>
              <w:pStyle w:val="ListBullet"/>
            </w:pPr>
            <w:r w:rsidRPr="00EC2DC6">
              <w:t>Techniques in documenting isolations</w:t>
            </w:r>
          </w:p>
          <w:p w:rsidR="00000000" w:rsidRPr="00EC2DC6" w:rsidP="00EC2DC6">
            <w:pPr>
              <w:pStyle w:val="ListBullet"/>
            </w:pPr>
            <w:r w:rsidRPr="00EC2DC6">
              <w:t>Techniques in appropriate isolation and tagging procedures as per Commonwealth/State/Territory legislation, supply authority regulations a</w:t>
            </w:r>
            <w:r w:rsidRPr="00EC2DC6">
              <w:t>nd enterprise standards</w:t>
            </w:r>
          </w:p>
          <w:p w:rsidR="00000000" w:rsidRPr="00EC2DC6" w:rsidP="00EC2DC6">
            <w:pPr>
              <w:pStyle w:val="ListBullet"/>
            </w:pPr>
            <w:r w:rsidRPr="00EC2DC6">
              <w:t>Techniques in the installation and maintenance procedures protection devices as per Commonwealth/State/Territory legislation, supply authority regulations and enterprise standards</w:t>
            </w:r>
          </w:p>
          <w:p w:rsidR="00000000" w:rsidRPr="00EC2DC6" w:rsidP="00EC2DC6">
            <w:pPr>
              <w:pStyle w:val="BodyText"/>
            </w:pPr>
            <w:r w:rsidRPr="00EC2DC6">
              <w:t>T4</w:t>
            </w:r>
            <w:r w:rsidRPr="00EC2DC6">
              <w:tab/>
              <w:t>Maintenance and commissioning procedures associat</w:t>
            </w:r>
            <w:r w:rsidRPr="00EC2DC6">
              <w:t>ed with discrete protection schemes encompassing:</w:t>
            </w:r>
          </w:p>
          <w:p w:rsidR="00000000" w:rsidRPr="00EC2DC6" w:rsidP="00EC2DC6">
            <w:pPr>
              <w:pStyle w:val="ListBullet"/>
            </w:pPr>
            <w:r w:rsidRPr="00EC2DC6">
              <w:t>Standards, codes, Commonwealth/State/Territory legislation, supply authority regulations and or enterprise requirements associated with the maintenance and commissioning procedures</w:t>
            </w:r>
          </w:p>
          <w:p w:rsidR="00000000" w:rsidRPr="00EC2DC6" w:rsidP="00EC2DC6">
            <w:pPr>
              <w:pStyle w:val="ListBullet"/>
            </w:pPr>
            <w:r w:rsidRPr="00EC2DC6">
              <w:t>Requirements for the use</w:t>
            </w:r>
            <w:r w:rsidRPr="00EC2DC6">
              <w:t xml:space="preserve"> of maintenance and commissioning manuals, system diagrams/plans and drawings</w:t>
            </w:r>
          </w:p>
          <w:p w:rsidR="00000000" w:rsidRPr="00EC2DC6" w:rsidP="00EC2DC6">
            <w:pPr>
              <w:pStyle w:val="ListBullet"/>
            </w:pPr>
            <w:r w:rsidRPr="00EC2DC6">
              <w:t>Techniques in maintenance and commissioning procedures – planning, policy, testing techniques</w:t>
            </w:r>
          </w:p>
          <w:p w:rsidR="00000000" w:rsidRPr="00EC2DC6" w:rsidP="00EC2DC6">
            <w:pPr>
              <w:pStyle w:val="ListBullet"/>
            </w:pPr>
            <w:r w:rsidRPr="00EC2DC6">
              <w:t>Close out requirements</w:t>
            </w:r>
          </w:p>
          <w:p w:rsidR="00000000" w:rsidRPr="00EC2DC6" w:rsidP="00EC2DC6">
            <w:pPr>
              <w:pStyle w:val="BodyText"/>
            </w:pPr>
            <w:r w:rsidRPr="00EC2DC6">
              <w:t>T5</w:t>
            </w:r>
            <w:r w:rsidRPr="00EC2DC6">
              <w:tab/>
              <w:t>Relay manufacturer specifications encompassing:</w:t>
            </w:r>
          </w:p>
          <w:p w:rsidR="00000000" w:rsidRPr="00EC2DC6" w:rsidP="00EC2DC6">
            <w:pPr>
              <w:pStyle w:val="ListBullet"/>
            </w:pPr>
            <w:r w:rsidRPr="00EC2DC6">
              <w:t>Standards</w:t>
            </w:r>
            <w:r w:rsidRPr="00EC2DC6">
              <w:t>, codes, Commonwealth, State/Territory and local government legislation, supply authority regulations and or enterprise requirements applicable to the use and application of relay manufacturer specifications</w:t>
            </w:r>
          </w:p>
          <w:p w:rsidR="00000000" w:rsidRPr="00EC2DC6" w:rsidP="00EC2DC6">
            <w:pPr>
              <w:pStyle w:val="ListBullet"/>
            </w:pPr>
            <w:r w:rsidRPr="00EC2DC6">
              <w:t>Requirements for the use of relay manufacturer m</w:t>
            </w:r>
            <w:r w:rsidRPr="00EC2DC6">
              <w:t>anuals, system diagrams/plans and drawings</w:t>
            </w:r>
          </w:p>
          <w:p w:rsidR="00000000" w:rsidRPr="00EC2DC6" w:rsidP="00EC2DC6">
            <w:pPr>
              <w:pStyle w:val="ListBullet"/>
            </w:pPr>
            <w:r w:rsidRPr="00EC2DC6">
              <w:t>Types, function and characteristics of specific relays - differences between specific relays used for the same functionality</w:t>
            </w:r>
          </w:p>
          <w:p w:rsidR="00000000" w:rsidRPr="00EC2DC6" w:rsidP="00EC2DC6">
            <w:pPr>
              <w:pStyle w:val="BodyText"/>
            </w:pPr>
            <w:r w:rsidRPr="00EC2DC6">
              <w:t>T6</w:t>
            </w:r>
            <w:r w:rsidRPr="00EC2DC6">
              <w:tab/>
            </w:r>
            <w:r w:rsidRPr="00EC2DC6">
              <w:t>Safe handling and/or disposing of insulation materials used in power distribution devices, which are potential environmental pollutants encompassing:</w:t>
            </w:r>
          </w:p>
          <w:p w:rsidR="00000000" w:rsidRPr="00EC2DC6" w:rsidP="00EC2DC6">
            <w:pPr>
              <w:pStyle w:val="ListBullet"/>
            </w:pPr>
            <w:r w:rsidRPr="00EC2DC6">
              <w:t>Standards, codes, Commonwealth, State/Territory and local government legislation, supply authority regula</w:t>
            </w:r>
            <w:r w:rsidRPr="00EC2DC6">
              <w:t>tions and or enterprise requirements applicable to the handling and disposing of insulation or heat dissipation materials used in power distribution devices</w:t>
            </w:r>
          </w:p>
          <w:p w:rsidR="00000000" w:rsidRPr="00EC2DC6" w:rsidP="00EC2DC6">
            <w:pPr>
              <w:pStyle w:val="ListBullet"/>
            </w:pPr>
            <w:r w:rsidRPr="00EC2DC6">
              <w:t>Identification of environmental issues associated with the handling and disposing of insulation mat</w:t>
            </w:r>
            <w:r w:rsidRPr="00EC2DC6">
              <w:t>erials</w:t>
            </w:r>
          </w:p>
          <w:p w:rsidR="00000000" w:rsidRPr="00EC2DC6" w:rsidP="00EC2DC6">
            <w:pPr>
              <w:pStyle w:val="ListBullet"/>
            </w:pPr>
            <w:r w:rsidRPr="00EC2DC6">
              <w:t xml:space="preserve">Safety precautions when handling and disposing of heat dissipation materials - safe working practices, Occupational Health and Safety hazards and precautions, identification of hazards, assessing and controlling risks, types, selection, maintenance </w:t>
            </w:r>
            <w:r w:rsidRPr="00EC2DC6">
              <w:t>and uses of personnel protective equipment, permit to work systems and isolation procedures, types and function of specialised equipment, safe working practices when using specialised equipment, emergency response and rescue including First Aid etc.</w:t>
            </w:r>
          </w:p>
          <w:p w:rsidR="00000000" w:rsidRPr="00EC2DC6" w:rsidP="00EC2DC6">
            <w:pPr>
              <w:pStyle w:val="ListBullet"/>
            </w:pPr>
            <w:r w:rsidRPr="00EC2DC6">
              <w:t>Techni</w:t>
            </w:r>
            <w:r w:rsidRPr="00EC2DC6">
              <w:t>ques in the handling and disposing of insulation materials - Polychlorinated Bi-Phenyls (PCB’s), asbestos, insulating Oil, SF6 gas.</w:t>
            </w:r>
          </w:p>
          <w:p w:rsidR="00000000" w:rsidRPr="00EC2DC6" w:rsidP="00EC2DC6">
            <w:pPr>
              <w:pStyle w:val="BodyText"/>
            </w:pPr>
            <w:r w:rsidRPr="00EC2DC6">
              <w:t>T7</w:t>
            </w:r>
            <w:r w:rsidRPr="00EC2DC6">
              <w:tab/>
              <w:t>Procedure to undertake a visual inspection of a scheme encompassing:</w:t>
            </w:r>
          </w:p>
          <w:p w:rsidR="00000000" w:rsidRPr="00EC2DC6" w:rsidP="00EC2DC6">
            <w:pPr>
              <w:pStyle w:val="ListBullet"/>
            </w:pPr>
            <w:r w:rsidRPr="00EC2DC6">
              <w:t>Standards, codes, Commonwealth/State/Territory legi</w:t>
            </w:r>
            <w:r w:rsidRPr="00EC2DC6">
              <w:t>slation, supply authority regulations and or enterprise requirements associated with visual inspection procedures of a scheme</w:t>
            </w:r>
          </w:p>
          <w:p w:rsidR="00000000" w:rsidRPr="00EC2DC6" w:rsidP="00EC2DC6">
            <w:pPr>
              <w:pStyle w:val="ListBullet"/>
            </w:pPr>
            <w:r w:rsidRPr="00EC2DC6">
              <w:t>Requirements for the use of manuals, system diagrams/plans and drawings</w:t>
            </w:r>
          </w:p>
          <w:p w:rsidR="00000000" w:rsidRPr="00EC2DC6" w:rsidP="00EC2DC6">
            <w:pPr>
              <w:pStyle w:val="ListBullet"/>
            </w:pPr>
            <w:r w:rsidRPr="00EC2DC6">
              <w:t>Identify obvious deficiencies in operating to the standard</w:t>
            </w:r>
            <w:r w:rsidRPr="00EC2DC6">
              <w:t xml:space="preserve"> functionality</w:t>
            </w:r>
          </w:p>
          <w:p w:rsidR="00000000" w:rsidRPr="00EC2DC6" w:rsidP="00EC2DC6">
            <w:pPr>
              <w:pStyle w:val="ListBullet"/>
            </w:pPr>
            <w:r w:rsidRPr="00EC2DC6">
              <w:t>Techniques in determining relay malfunction - targeting</w:t>
            </w:r>
          </w:p>
          <w:p w:rsidR="00000000" w:rsidRPr="00EC2DC6" w:rsidP="00EC2DC6">
            <w:pPr>
              <w:pStyle w:val="ListBullet"/>
            </w:pPr>
            <w:r w:rsidRPr="00EC2DC6">
              <w:t>Techniques in determining wiring defects</w:t>
            </w:r>
          </w:p>
          <w:p w:rsidR="00000000" w:rsidRPr="00EC2DC6" w:rsidP="00EC2DC6">
            <w:pPr>
              <w:pStyle w:val="BodyText"/>
            </w:pPr>
            <w:r w:rsidRPr="00EC2DC6">
              <w:t>T8</w:t>
            </w:r>
            <w:r w:rsidRPr="00EC2DC6">
              <w:tab/>
              <w:t>Operation and maintenance procedures associated with discrete protection and control systems encompassing:</w:t>
            </w:r>
          </w:p>
          <w:p w:rsidR="00000000" w:rsidRPr="00EC2DC6" w:rsidP="00EC2DC6">
            <w:pPr>
              <w:pStyle w:val="ListBullet"/>
            </w:pPr>
            <w:r w:rsidRPr="00EC2DC6">
              <w:t>Standards, codes, Commonwealth/St</w:t>
            </w:r>
            <w:r w:rsidRPr="00EC2DC6">
              <w:t>ate/Territory legislation, supply authority regulations and or enterprise requirements associated with operating procedures</w:t>
            </w:r>
          </w:p>
          <w:p w:rsidR="00000000" w:rsidRPr="00EC2DC6" w:rsidP="00EC2DC6">
            <w:pPr>
              <w:pStyle w:val="ListBullet"/>
            </w:pPr>
            <w:r w:rsidRPr="00EC2DC6">
              <w:t>Requirements for the use of operating manuals, system diagrams/plans and drawings</w:t>
            </w:r>
          </w:p>
          <w:p w:rsidR="00000000" w:rsidRPr="00EC2DC6" w:rsidP="00EC2DC6">
            <w:pPr>
              <w:pStyle w:val="ListBullet"/>
            </w:pPr>
            <w:r w:rsidRPr="00EC2DC6">
              <w:t>Techniques - gas collection and analysis, bleeding</w:t>
            </w:r>
            <w:r w:rsidRPr="00EC2DC6">
              <w:t xml:space="preserve"> and resetting, calibration, operational and sensitivity checks, trip and alarm checks</w:t>
            </w:r>
          </w:p>
          <w:p w:rsidR="00000000" w:rsidRPr="00EC2DC6" w:rsidP="00EC2DC6">
            <w:pPr>
              <w:pStyle w:val="ListBullet"/>
            </w:pPr>
            <w:r w:rsidRPr="00EC2DC6">
              <w:t>Surge relay types and uses, including transformer main tanks, diverter switch chambers</w:t>
            </w:r>
          </w:p>
          <w:p w:rsidR="00000000" w:rsidRPr="00EC2DC6" w:rsidP="00EC2DC6">
            <w:pPr>
              <w:pStyle w:val="BodyText"/>
            </w:pPr>
            <w:r w:rsidRPr="00EC2DC6">
              <w:t>T9</w:t>
            </w:r>
            <w:r w:rsidRPr="00EC2DC6">
              <w:tab/>
              <w:t>Commissioning procedures associated with discrete protection and control system</w:t>
            </w:r>
            <w:r w:rsidRPr="00EC2DC6">
              <w:t>s encompassing:</w:t>
            </w:r>
          </w:p>
          <w:p w:rsidR="00000000" w:rsidRPr="00EC2DC6" w:rsidP="00EC2DC6">
            <w:pPr>
              <w:pStyle w:val="ListBullet"/>
            </w:pPr>
            <w:r w:rsidRPr="00EC2DC6">
              <w:t>Standards, codes, Commonwealth/State/Territory legislation, supply authority regulations and or enterprise requirements associated with the commissioning procedures</w:t>
            </w:r>
          </w:p>
          <w:p w:rsidR="00000000" w:rsidRPr="00EC2DC6" w:rsidP="00EC2DC6">
            <w:pPr>
              <w:pStyle w:val="ListBullet"/>
            </w:pPr>
            <w:r w:rsidRPr="00EC2DC6">
              <w:t>Requirements for the use of commissioning manuals, system diagrams/plans a</w:t>
            </w:r>
            <w:r w:rsidRPr="00EC2DC6">
              <w:t>nd drawings</w:t>
            </w:r>
          </w:p>
          <w:p w:rsidR="00000000" w:rsidRPr="00EC2DC6" w:rsidP="00EC2DC6">
            <w:pPr>
              <w:pStyle w:val="ListBullet"/>
            </w:pPr>
            <w:r w:rsidRPr="00EC2DC6">
              <w:t>Techniques in commissioning procedures – planning, policy, testing techniques, close out requirements.</w:t>
            </w:r>
          </w:p>
          <w:p w:rsidR="00000000" w:rsidRPr="00EC2DC6" w:rsidP="00EC2DC6">
            <w:pPr>
              <w:pStyle w:val="BodyText"/>
            </w:pPr>
            <w:r w:rsidRPr="00EC2DC6">
              <w:t>T10</w:t>
            </w:r>
            <w:r w:rsidRPr="00EC2DC6">
              <w:tab/>
              <w:t>Measurements and the interpretation and analysis of those measurements related to the plant and/or equipment type encompassing:</w:t>
            </w:r>
          </w:p>
          <w:p w:rsidR="00000000" w:rsidRPr="00EC2DC6" w:rsidP="00EC2DC6">
            <w:pPr>
              <w:pStyle w:val="ListBullet"/>
            </w:pPr>
            <w:r w:rsidRPr="00EC2DC6">
              <w:t>Type of measurements - timing, current, voltage, capacitance, inductance, impedance, phase angle, phase shift, resistance, dielectric dissipation factor, frequency, polarisation index, ratio, vector group, temperature</w:t>
            </w:r>
          </w:p>
          <w:p w:rsidR="00000000" w:rsidRPr="00EC2DC6" w:rsidP="00EC2DC6">
            <w:pPr>
              <w:pStyle w:val="ListBullet"/>
            </w:pPr>
            <w:r w:rsidRPr="00EC2DC6">
              <w:t>Interpretation and analysis the use of</w:t>
            </w:r>
            <w:r w:rsidRPr="00EC2DC6">
              <w:t xml:space="preserve"> techniques - digital comparison of data, extrapolation, use of graphs and charts, statistics and tables, mathematical calculation of expected values and comparison with manufacturers data and measurements</w:t>
            </w:r>
          </w:p>
          <w:p w:rsidR="00000000" w:rsidRPr="00EC2DC6" w:rsidP="00EC2DC6">
            <w:pPr>
              <w:pStyle w:val="ListBullet"/>
            </w:pPr>
            <w:r w:rsidRPr="00EC2DC6">
              <w:t xml:space="preserve">Techniques in the processes involved in follow-up </w:t>
            </w:r>
            <w:r w:rsidRPr="00EC2DC6">
              <w:t>actions and recommendations resulting from analysis and interpretation of results and measurements.</w:t>
            </w:r>
          </w:p>
          <w:p w:rsidR="00000000" w:rsidRPr="00EC2DC6" w:rsidP="00EC2DC6">
            <w:pPr>
              <w:pStyle w:val="BodyText"/>
            </w:pPr>
            <w:r w:rsidRPr="00EC2DC6">
              <w:t>T11</w:t>
            </w:r>
            <w:r w:rsidRPr="00EC2DC6">
              <w:tab/>
              <w:t>Principles of power transformer construction and operations encompassing:</w:t>
            </w:r>
          </w:p>
          <w:p w:rsidR="00000000" w:rsidRPr="00EC2DC6" w:rsidP="00EC2DC6">
            <w:pPr>
              <w:pStyle w:val="ListBullet"/>
            </w:pPr>
            <w:r w:rsidRPr="00EC2DC6">
              <w:t>Applications of static reactive plant in high voltage networks, including vol</w:t>
            </w:r>
            <w:r w:rsidRPr="00EC2DC6">
              <w:t>tage control, VAR control, transient response capacity</w:t>
            </w:r>
          </w:p>
          <w:p w:rsidR="00000000" w:rsidRPr="00EC2DC6" w:rsidP="00EC2DC6">
            <w:pPr>
              <w:pStyle w:val="ListBullet"/>
            </w:pPr>
            <w:r w:rsidRPr="00EC2DC6">
              <w:t>Types of static reactive plant including high voltage capacitors, high voltage reactors, static VAR compensators and combinations of these</w:t>
            </w:r>
          </w:p>
          <w:p w:rsidR="00000000" w:rsidRPr="00EC2DC6" w:rsidP="00EC2DC6">
            <w:pPr>
              <w:pStyle w:val="ListBullet"/>
            </w:pPr>
            <w:r w:rsidRPr="00EC2DC6">
              <w:t>Operating characteristics and operational constraints includin</w:t>
            </w:r>
            <w:r w:rsidRPr="00EC2DC6">
              <w:t>g point on wave switching issues</w:t>
            </w:r>
          </w:p>
          <w:p w:rsidR="00000000" w:rsidRPr="00EC2DC6" w:rsidP="00EC2DC6">
            <w:pPr>
              <w:pStyle w:val="ListBullet"/>
            </w:pPr>
            <w:r w:rsidRPr="00EC2DC6">
              <w:t>Ratings, cooling systems and control systems and ancillary equipment used</w:t>
            </w:r>
          </w:p>
          <w:p w:rsidR="00000000" w:rsidRPr="00EC2DC6" w:rsidP="00EC2DC6">
            <w:pPr>
              <w:pStyle w:val="ListBullet"/>
            </w:pPr>
            <w:r w:rsidRPr="00EC2DC6">
              <w:t>Configurations and system layout including single star, double star, bridge type</w:t>
            </w:r>
          </w:p>
          <w:p w:rsidR="00000000" w:rsidRPr="00EC2DC6" w:rsidP="00EC2DC6">
            <w:pPr>
              <w:pStyle w:val="ListBullet"/>
            </w:pPr>
            <w:r w:rsidRPr="00EC2DC6">
              <w:t>Typical protection systems used including neutral unbalance current,</w:t>
            </w:r>
            <w:r w:rsidRPr="00EC2DC6">
              <w:t xml:space="preserve"> neutral unbalance voltage</w:t>
            </w:r>
          </w:p>
          <w:p w:rsidR="00000000" w:rsidRPr="00EC2DC6" w:rsidP="00EC2DC6">
            <w:pPr>
              <w:pStyle w:val="ListBullet"/>
            </w:pPr>
            <w:r w:rsidRPr="00EC2DC6">
              <w:t>Techniques used when balancing elements within static reactive plant</w:t>
            </w:r>
          </w:p>
          <w:p w:rsidR="00000000" w:rsidRPr="00EC2DC6" w:rsidP="00EC2DC6">
            <w:pPr>
              <w:pStyle w:val="ListBullet"/>
            </w:pPr>
            <w:r w:rsidRPr="00EC2DC6">
              <w:t>Safety precautions when testing and maintaining high voltage static reactive plant - safe working practices and procedures, identification of hazards, assessmen</w:t>
            </w:r>
            <w:r w:rsidRPr="00EC2DC6">
              <w:t>t and control of OHS risks, types, selection, maintenance and use of personal protective equipment.</w:t>
            </w:r>
          </w:p>
          <w:p w:rsidR="00000000" w:rsidRPr="00EC2DC6" w:rsidP="00EC2DC6">
            <w:pPr>
              <w:pStyle w:val="BodyText"/>
            </w:pPr>
            <w:r w:rsidRPr="00EC2DC6">
              <w:t>T12</w:t>
            </w:r>
            <w:r w:rsidRPr="00EC2DC6">
              <w:tab/>
              <w:t>Types and applications of test equipment encompassing:</w:t>
            </w:r>
          </w:p>
          <w:p w:rsidR="00000000" w:rsidRPr="00EC2DC6" w:rsidP="00EC2DC6">
            <w:pPr>
              <w:pStyle w:val="ListBullet"/>
            </w:pPr>
            <w:r w:rsidRPr="00EC2DC6">
              <w:t>Standards, codes, Commonwealth, State/Territory and local government legislation, supply authori</w:t>
            </w:r>
            <w:r w:rsidRPr="00EC2DC6">
              <w:t>ty regulations and or enterprise requirements applicable to the use and application of electrical and/or electronic test equipment</w:t>
            </w:r>
          </w:p>
          <w:p w:rsidR="00000000" w:rsidRPr="00EC2DC6" w:rsidP="00EC2DC6">
            <w:pPr>
              <w:pStyle w:val="ListBullet"/>
            </w:pPr>
            <w:r w:rsidRPr="00EC2DC6">
              <w:t>Types and applications of test equipment used on discrete protection scheme</w:t>
            </w:r>
          </w:p>
          <w:p w:rsidR="00000000" w:rsidRPr="00EC2DC6" w:rsidP="00EC2DC6">
            <w:pPr>
              <w:pStyle w:val="ListBullet"/>
            </w:pPr>
            <w:r w:rsidRPr="00EC2DC6">
              <w:t>Techniques in the use of test equipment - electro</w:t>
            </w:r>
            <w:r w:rsidRPr="00EC2DC6">
              <w:t>nic test equipment (Doble, Ohmnicrome), gas injection equipment, manufactures test equipment, multimeters, phase angle meters, meggers</w:t>
            </w:r>
          </w:p>
          <w:p w:rsidR="00000000" w:rsidRPr="00EC2DC6" w:rsidP="00EC2DC6">
            <w:pPr>
              <w:pStyle w:val="BodyText"/>
            </w:pPr>
            <w:r w:rsidRPr="00EC2DC6">
              <w:t>T13</w:t>
            </w:r>
            <w:r w:rsidRPr="00EC2DC6">
              <w:tab/>
              <w:t>Detailed operation and setting of discrete protection systems encompassing:</w:t>
            </w:r>
          </w:p>
          <w:p w:rsidR="00000000" w:rsidRPr="00EC2DC6" w:rsidP="00EC2DC6">
            <w:pPr>
              <w:pStyle w:val="ListBullet"/>
            </w:pPr>
            <w:r w:rsidRPr="00EC2DC6">
              <w:t>Earth fault protection - master earth le</w:t>
            </w:r>
            <w:r w:rsidRPr="00EC2DC6">
              <w:t>akage schemes, sensitive earth fault relays and schemes, residual earth fault scheme, core balance earth fault scheme, frame/structure earth leakage scheme, time graded discrimination, backup protection</w:t>
            </w:r>
          </w:p>
          <w:p w:rsidR="00000000" w:rsidRPr="00EC2DC6" w:rsidP="00EC2DC6">
            <w:pPr>
              <w:pStyle w:val="ListBullet"/>
            </w:pPr>
            <w:r w:rsidRPr="00EC2DC6">
              <w:t>Overcurrent protection - feeder overcurrent protection, instantaneous overcurrent schemes, inverse timed overcurrent schemes, types and location of components of an overcurrent scheme, CT summation, time graded discrimination, backup protection</w:t>
            </w:r>
          </w:p>
          <w:p w:rsidR="00000000" w:rsidRPr="00EC2DC6" w:rsidP="00EC2DC6">
            <w:pPr>
              <w:pStyle w:val="ListBullet"/>
            </w:pPr>
            <w:r w:rsidRPr="00EC2DC6">
              <w:t xml:space="preserve">Alarms and </w:t>
            </w:r>
            <w:r w:rsidRPr="00EC2DC6">
              <w:t>controls - auxiliary relays, voltage regulating relays, line drop compensation, gas relay types, gas relay scheme operation and setting, over temperature schemes</w:t>
            </w:r>
          </w:p>
          <w:p w:rsidR="00000000" w:rsidRPr="00EC2DC6" w:rsidP="00EC2DC6">
            <w:pPr>
              <w:pStyle w:val="BodyText"/>
            </w:pPr>
            <w:r w:rsidRPr="00EC2DC6">
              <w:t>T14</w:t>
            </w:r>
            <w:r w:rsidRPr="00EC2DC6">
              <w:tab/>
              <w:t>Detailed operation of interdependent protection systems encompassing:</w:t>
            </w:r>
          </w:p>
          <w:p w:rsidR="00000000" w:rsidRPr="00EC2DC6" w:rsidP="00EC2DC6">
            <w:pPr>
              <w:pStyle w:val="ListBullet"/>
            </w:pPr>
            <w:r w:rsidRPr="00EC2DC6">
              <w:t>Overcurrent and ear</w:t>
            </w:r>
            <w:r w:rsidRPr="00EC2DC6">
              <w:t>th leakage schemes including intertripping, interlocking and blocking - logic mapping, master control, electromechanical, electronic, shading coils</w:t>
            </w:r>
          </w:p>
          <w:p w:rsidR="00000000" w:rsidRPr="00EC2DC6" w:rsidP="00EC2DC6">
            <w:pPr>
              <w:pStyle w:val="ListBullet"/>
            </w:pPr>
            <w:r w:rsidRPr="00EC2DC6">
              <w:t xml:space="preserve">Pilot wire, phase comparison - opposed voltage schemes, circulating current schemes, location of components </w:t>
            </w:r>
            <w:r w:rsidRPr="00EC2DC6">
              <w:t xml:space="preserve">of a scheme, pilot supervisory techniques, </w:t>
            </w:r>
          </w:p>
          <w:p w:rsidR="00000000" w:rsidRPr="00EC2DC6" w:rsidP="00EC2DC6">
            <w:pPr>
              <w:pStyle w:val="ListBullet"/>
            </w:pPr>
            <w:r w:rsidRPr="00EC2DC6">
              <w:t>Load shedding, voltage control, parallel operation, load rejection</w:t>
            </w:r>
          </w:p>
          <w:p w:rsidR="00000000" w:rsidRPr="00EC2DC6" w:rsidP="00EC2DC6">
            <w:pPr>
              <w:pStyle w:val="ListBullet"/>
            </w:pPr>
            <w:r w:rsidRPr="00EC2DC6">
              <w:t>Busbar Protection and CB failure protection</w:t>
            </w:r>
          </w:p>
          <w:p w:rsidR="00000000" w:rsidRPr="00EC2DC6" w:rsidP="00EC2DC6">
            <w:pPr>
              <w:pStyle w:val="ListBullet"/>
            </w:pPr>
            <w:r w:rsidRPr="00EC2DC6">
              <w:t>Reclose systems - applications, single shot, multishot, blocking schemes, synchronisation checking.</w:t>
            </w:r>
          </w:p>
          <w:p w:rsidR="00000000" w:rsidRPr="00EC2DC6" w:rsidP="00EC2DC6">
            <w:pPr>
              <w:pStyle w:val="BodyText"/>
            </w:pPr>
            <w:r w:rsidRPr="00EC2DC6">
              <w:t>T</w:t>
            </w:r>
            <w:r w:rsidRPr="00EC2DC6">
              <w:t>15</w:t>
            </w:r>
            <w:r w:rsidRPr="00EC2DC6">
              <w:tab/>
              <w:t>Detailed operation of complex protection systems encompassing:</w:t>
            </w:r>
          </w:p>
          <w:p w:rsidR="00000000" w:rsidRPr="00EC2DC6" w:rsidP="00EC2DC6">
            <w:pPr>
              <w:pStyle w:val="ListBullet"/>
            </w:pPr>
            <w:r w:rsidRPr="00EC2DC6">
              <w:t>Distance - characteristics, electromechanical, electronic, impedance, mho, offset mho, switched schemes, non-switched schemes, blocking schemes, bus zone</w:t>
            </w:r>
          </w:p>
          <w:p w:rsidR="00000000" w:rsidRPr="00EC2DC6" w:rsidP="00EC2DC6">
            <w:pPr>
              <w:pStyle w:val="ListBullet"/>
            </w:pPr>
            <w:r w:rsidRPr="00EC2DC6">
              <w:t>Differential, transformer different</w:t>
            </w:r>
            <w:r w:rsidRPr="00EC2DC6">
              <w:t>ial, bus overcurrent - principles, feeder protection, transformer protection, bias systems, harmonic restraint, CT connections, bus protection, low impedance schemes, high impedance schemes, bus overcurrent schemes, generator protection, CT connections, sp</w:t>
            </w:r>
            <w:r w:rsidRPr="00EC2DC6">
              <w:t>ecial considerations, digital systems</w:t>
            </w:r>
          </w:p>
          <w:p w:rsidR="00000000" w:rsidRPr="00EC2DC6" w:rsidP="00EC2DC6">
            <w:pPr>
              <w:pStyle w:val="ListBullet"/>
            </w:pPr>
            <w:r w:rsidRPr="00EC2DC6">
              <w:t>Types of revenue metering</w:t>
            </w:r>
          </w:p>
          <w:p w:rsidR="00000000" w:rsidRPr="00EC2DC6" w:rsidP="00EC2DC6">
            <w:pPr>
              <w:pStyle w:val="ListBullet"/>
            </w:pPr>
            <w:r w:rsidRPr="00EC2DC6">
              <w:t>Applications of SCADA</w:t>
            </w:r>
          </w:p>
          <w:p w:rsidR="00000000" w:rsidRPr="00EC2DC6" w:rsidP="00EC2DC6">
            <w:pPr>
              <w:pStyle w:val="ListBullet"/>
            </w:pPr>
            <w:r w:rsidRPr="00EC2DC6">
              <w:t>Complex protection systems for communications</w:t>
            </w:r>
          </w:p>
          <w:p w:rsidR="00000000" w:rsidRPr="00EC2DC6" w:rsidP="00EC2DC6">
            <w:pPr>
              <w:pStyle w:val="ListBullet"/>
            </w:pPr>
            <w:r w:rsidRPr="00EC2DC6">
              <w:t>Harmonic control</w:t>
            </w:r>
          </w:p>
          <w:p w:rsidR="00000000" w:rsidRPr="00EC2DC6" w:rsidP="00EC2DC6">
            <w:pPr>
              <w:pStyle w:val="ListBullet"/>
            </w:pPr>
            <w:r w:rsidRPr="00EC2DC6">
              <w:t>Point on wave switching.</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10" w:name="O_464731"/>
      <w:bookmarkEnd w:id="10"/>
      <w:r w:rsidRPr="00EC2DC6">
        <w:t>Evidence Guide</w:t>
      </w:r>
    </w:p>
    <w:tbl>
      <w:tblPr>
        <w:tblW w:w="0" w:type="auto"/>
        <w:tblLayout w:type="fixed"/>
        <w:tblCellMar>
          <w:left w:w="62" w:type="dxa"/>
          <w:right w:w="62" w:type="dxa"/>
        </w:tblCellMar>
        <w:tblLook w:val="0000"/>
      </w:tblPr>
      <w:tblGrid>
        <w:gridCol w:w="8460"/>
      </w:tblGrid>
      <w:tr w:rsidTr="00D06C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EVIDENCE GUIDE</w:t>
            </w:r>
          </w:p>
        </w:tc>
      </w:tr>
      <w:tr w:rsidTr="00D06C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9)</w:t>
            </w:r>
            <w:r w:rsidRPr="00EC2DC6">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EC2DC6" w:rsidP="00EC2DC6">
            <w:pPr>
              <w:pStyle w:val="BodyText"/>
            </w:pPr>
            <w:r w:rsidRPr="00EC2DC6">
              <w:t>The Evidence Guide form</w:t>
            </w:r>
            <w:r w:rsidRPr="00EC2DC6">
              <w:t>s an integral part of this Competency Standard Unit and shall be used in conjunction with all component parts of this unit and, performed in accordance with the Assessment Guidelines of this Training Package.</w:t>
            </w:r>
          </w:p>
        </w:tc>
      </w:tr>
    </w:tbl>
    <w:p w:rsidR="00000000" w:rsidRPr="00EC2DC6" w:rsidP="00EC2DC6">
      <w:pPr>
        <w:pStyle w:val="BodyText"/>
      </w:pPr>
    </w:p>
    <w:tbl>
      <w:tblPr>
        <w:tblW w:w="0" w:type="auto"/>
        <w:tblLayout w:type="fixed"/>
        <w:tblCellMar>
          <w:left w:w="62" w:type="dxa"/>
          <w:right w:w="62" w:type="dxa"/>
        </w:tblCellMar>
        <w:tblLook w:val="0000"/>
      </w:tblPr>
      <w:tblGrid>
        <w:gridCol w:w="1890"/>
        <w:gridCol w:w="6570"/>
      </w:tblGrid>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9.1)</w:t>
            </w:r>
          </w:p>
        </w:tc>
      </w:tr>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Longitudinal competency development approaches to assessment, such as Profiling, require data to be reliably gathered in a form that can be consistently interpreted over time. This approach is best utilised in Apprenticeship programs and reduces assessment</w:t>
            </w:r>
            <w:r w:rsidRPr="00EC2DC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C2DC6">
              <w:t>tency in a realistically simulated work environment. It is recognised that, in some circumstances, assessment in part or full can occur outside the workplace. However, it must be in accord with Industry and, Regulatory policy in this regard.</w:t>
            </w:r>
          </w:p>
          <w:p w:rsidR="00000000" w:rsidRPr="00EC2DC6" w:rsidP="00EC2DC6">
            <w:pPr>
              <w:pStyle w:val="BodyText"/>
            </w:pPr>
            <w:r w:rsidRPr="00EC2DC6">
              <w:t>Methods chosen</w:t>
            </w:r>
            <w:r w:rsidRPr="00EC2DC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C2DC6">
              <w:t>equired and the critical nature of the competencies being assessed.</w:t>
            </w:r>
          </w:p>
          <w:p w:rsidR="00000000" w:rsidRPr="00EC2DC6" w:rsidP="00EC2DC6">
            <w:pPr>
              <w:pStyle w:val="BodyText"/>
            </w:pPr>
            <w:r w:rsidRPr="00EC2DC6">
              <w:t>The critical safety nature of working with electricity, electrical equipment, gas or any other hazardous substance/material carries risk in deeming a person competent. Hence, sources of ev</w:t>
            </w:r>
            <w:r w:rsidRPr="00EC2DC6">
              <w:t>idence need to be ‘rich’ in nature so as to minimise error in judgment.</w:t>
            </w:r>
          </w:p>
          <w:p w:rsidR="00000000" w:rsidRPr="00EC2DC6" w:rsidP="00EC2DC6">
            <w:pPr>
              <w:pStyle w:val="BodyText"/>
            </w:pPr>
            <w:r w:rsidRPr="00EC2DC6">
              <w:t>Activities associated with normal every day work have a bearing on the decision as to how much and how detailed the data gathered will contribute to its ‘richness’. Some skills are mor</w:t>
            </w:r>
            <w:r w:rsidRPr="00EC2DC6">
              <w:t>e critical to safety and operational requirements while the same skills may be more or less frequently practiced. These points are raised for the assessors to consider when choosing an assessment method and developing assessment instruments. Sample assessm</w:t>
            </w:r>
            <w:r w:rsidRPr="00EC2DC6">
              <w:t>ent instruments are included for Assessors in the Assessment Guidelines of this Training Package.</w:t>
            </w:r>
          </w:p>
        </w:tc>
      </w:tr>
    </w:tbl>
    <w:p w:rsidR="00000000" w:rsidRPr="00EC2DC6" w:rsidP="00EC2DC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06CB6">
        <w:tblPrEx>
          <w:tblW w:w="0" w:type="auto"/>
          <w:tblLayout w:type="fixed"/>
          <w:tblCellMar>
            <w:left w:w="62" w:type="dxa"/>
            <w:right w:w="62" w:type="dxa"/>
          </w:tblCellMar>
          <w:tblLook w:val="0000"/>
        </w:tblPrEx>
        <w:trPr>
          <w:trHeight w:val="1145"/>
        </w:trPr>
        <w:tc>
          <w:tcPr>
            <w:tcW w:w="189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9.2)</w:t>
            </w:r>
          </w:p>
        </w:tc>
      </w:tr>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Before the critical aspects of evidence are considered all prerequisites shall be met.</w:t>
            </w:r>
          </w:p>
          <w:p w:rsidR="00000000" w:rsidRPr="00EC2DC6" w:rsidP="00EC2DC6">
            <w:pPr>
              <w:pStyle w:val="BodyText"/>
            </w:pPr>
            <w:r w:rsidRPr="00EC2DC6">
              <w:t>Evidence for competence in this unit shall be considered holistically. Each element and associated Performance Criteria shall be demonstrated on at least two occasions i</w:t>
            </w:r>
            <w:r w:rsidRPr="00EC2DC6">
              <w:t>n accordance with the “Assessment Guidelines – UET12”. Evidence shall also comprise:</w:t>
            </w:r>
          </w:p>
          <w:p w:rsidR="00000000" w:rsidRPr="00EC2DC6" w:rsidP="00EC2DC6">
            <w:pPr>
              <w:pStyle w:val="ListBullet"/>
            </w:pPr>
            <w:r w:rsidRPr="00EC2DC6">
              <w:t>A representative body of Performance Criteria demonstrated within the timeframes typically expected of the discipline, work function and industrial environment. In partic</w:t>
            </w:r>
            <w:r w:rsidRPr="00EC2DC6">
              <w:t>ular this shall incorporate evidence that shows a candidate is able to:</w:t>
            </w:r>
          </w:p>
          <w:p w:rsidR="00000000" w:rsidRPr="00EC2DC6" w:rsidP="00EC2DC6">
            <w:pPr>
              <w:pStyle w:val="ListBullet2"/>
            </w:pPr>
            <w:r w:rsidRPr="00EC2DC6">
              <w:t>Implement Occupational Health and Safety workplace procedures and practices including the use of risk control measures as specified in the Performance Criteria and range; and</w:t>
            </w:r>
          </w:p>
          <w:p w:rsidR="00000000" w:rsidRPr="00EC2DC6" w:rsidP="00EC2DC6">
            <w:pPr>
              <w:pStyle w:val="ListBullet2"/>
            </w:pPr>
            <w:r w:rsidRPr="00EC2DC6">
              <w:t>Apply su</w:t>
            </w:r>
            <w:r w:rsidRPr="00EC2DC6">
              <w:t>stainable energy principles and practices as specified in the Performance Criteria and range; and</w:t>
            </w:r>
          </w:p>
          <w:p w:rsidR="00000000" w:rsidRPr="00EC2DC6" w:rsidP="00EC2DC6">
            <w:pPr>
              <w:pStyle w:val="ListBullet2"/>
            </w:pPr>
            <w:r w:rsidRPr="00EC2DC6">
              <w:t>Demonstrate an understanding of the essential knowledge and associated skills as described in this unit to such an extent that the learner’s performance outco</w:t>
            </w:r>
            <w:r w:rsidRPr="00EC2DC6">
              <w:t>me is reported in accordance with the preferred approach; namely a percentile graded result, where required by the regulated environment; and</w:t>
            </w:r>
          </w:p>
          <w:p w:rsidR="00000000" w:rsidRPr="00EC2DC6" w:rsidP="00EC2DC6">
            <w:pPr>
              <w:pStyle w:val="ListBullet2"/>
            </w:pPr>
            <w:r w:rsidRPr="00EC2DC6">
              <w:t>Demonstrate an appropriate level of employability skills; and</w:t>
            </w:r>
          </w:p>
          <w:p w:rsidR="00000000" w:rsidRPr="00EC2DC6" w:rsidP="00EC2DC6">
            <w:pPr>
              <w:pStyle w:val="ListBullet"/>
            </w:pPr>
            <w:r w:rsidRPr="00EC2DC6">
              <w:t>Conduct work observing the relevant Anti discrimina</w:t>
            </w:r>
            <w:r w:rsidRPr="00EC2DC6">
              <w:t>tion legislation, regulations, policies and workplace procedures; and</w:t>
            </w:r>
          </w:p>
          <w:p w:rsidR="00000000" w:rsidP="00EC2DC6">
            <w:pPr>
              <w:pStyle w:val="ListBullet2"/>
              <w:rPr>
                <w:lang w:val="en-NZ"/>
              </w:rPr>
            </w:pPr>
            <w:r w:rsidRPr="00EC2DC6">
              <w:t>Demonstrated performance across a representative range of contexts from the prescribed items below:</w:t>
            </w:r>
          </w:p>
        </w:tc>
      </w:tr>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C2DC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C6">
            <w:pPr>
              <w:pStyle w:val="BodyText"/>
              <w:rPr>
                <w:lang w:val="en-NZ"/>
              </w:rPr>
            </w:pPr>
            <w:r w:rsidRPr="00EC2DC6">
              <w:rPr>
                <w:rStyle w:val="SpecialBold"/>
              </w:rPr>
              <w:t>Range of tools/equipment/materials/procedures/workplaces/other variables</w:t>
            </w:r>
          </w:p>
        </w:tc>
      </w:tr>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C2DC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C6" w:rsidP="00EC2DC6">
            <w:pPr>
              <w:pStyle w:val="BodyText"/>
            </w:pPr>
            <w:r w:rsidRPr="00EC2DC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C6" w:rsidP="00EC2DC6">
            <w:pPr>
              <w:pStyle w:val="BodyText"/>
            </w:pPr>
            <w:r w:rsidRPr="00EC2DC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C6">
            <w:pPr>
              <w:pStyle w:val="BodyText"/>
              <w:rPr>
                <w:lang w:val="en-NZ"/>
              </w:rPr>
            </w:pPr>
            <w:r w:rsidRPr="00EC2DC6">
              <w:rPr>
                <w:rStyle w:val="SpecialBold"/>
              </w:rPr>
              <w:t>Item List</w:t>
            </w:r>
          </w:p>
        </w:tc>
      </w:tr>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C6">
            <w:pPr>
              <w:pStyle w:val="BodyText"/>
              <w:rPr>
                <w:lang w:val="en-NZ"/>
              </w:rPr>
            </w:pPr>
            <w:r w:rsidRPr="00EC2DC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C6" w:rsidP="00EC2DC6">
            <w:pPr>
              <w:pStyle w:val="BodyText"/>
            </w:pPr>
            <w:r w:rsidRPr="00EC2DC6">
              <w:t>Do all of the following:</w:t>
            </w:r>
          </w:p>
          <w:p w:rsidR="00000000" w:rsidRPr="00EC2DC6" w:rsidP="00EC2DC6">
            <w:pPr>
              <w:pStyle w:val="BodyText"/>
            </w:pPr>
          </w:p>
          <w:p w:rsidR="00000000" w:rsidP="00EC2DC6">
            <w:pPr>
              <w:pStyle w:val="BodyText"/>
              <w:rPr>
                <w:lang w:val="en-NZ"/>
              </w:rPr>
            </w:pPr>
            <w:r w:rsidRPr="00EC2DC6">
              <w:t>Note: Utilise different schemes from within the complex schemes in the Range Statement of this unit.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C6">
            <w:pPr>
              <w:pStyle w:val="BodyText"/>
              <w:rPr>
                <w:lang w:val="en-NZ"/>
              </w:rPr>
            </w:pPr>
            <w:r w:rsidRPr="00EC2DC6">
              <w:t>Commissioning of a protection and control system involving five (5) complex schemes</w:t>
            </w:r>
          </w:p>
        </w:tc>
      </w:tr>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C6">
            <w:pPr>
              <w:pStyle w:val="BodyText"/>
              <w:rPr>
                <w:lang w:val="en-NZ"/>
              </w:rPr>
            </w:pPr>
            <w:r w:rsidRPr="00EC2DC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C6">
            <w:pPr>
              <w:pStyle w:val="BodyText"/>
              <w:rPr>
                <w:lang w:val="en-NZ"/>
              </w:rPr>
            </w:pPr>
            <w:r w:rsidRPr="00EC2DC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C6" w:rsidP="00EC2DC6">
            <w:pPr>
              <w:pStyle w:val="BodyText"/>
            </w:pPr>
            <w:r w:rsidRPr="00EC2DC6">
              <w:t>Dealing with an unplanned event by drawing on essential knowledge and associated skills to provide appropriate solutions incorporated in the holi</w:t>
            </w:r>
            <w:r w:rsidRPr="00EC2DC6">
              <w:t>stic assessment with the above listed items.</w:t>
            </w:r>
          </w:p>
        </w:tc>
      </w:tr>
    </w:tbl>
    <w:p w:rsidR="00000000" w:rsidRPr="00EC2DC6" w:rsidP="00EC2DC6">
      <w:pPr>
        <w:pStyle w:val="BodyText"/>
      </w:pPr>
    </w:p>
    <w:tbl>
      <w:tblPr>
        <w:tblW w:w="0" w:type="auto"/>
        <w:tblLayout w:type="fixed"/>
        <w:tblCellMar>
          <w:left w:w="62" w:type="dxa"/>
          <w:right w:w="62" w:type="dxa"/>
        </w:tblCellMar>
        <w:tblLook w:val="0000"/>
      </w:tblPr>
      <w:tblGrid>
        <w:gridCol w:w="1890"/>
        <w:gridCol w:w="6570"/>
      </w:tblGrid>
      <w:tr w:rsidTr="00D06CB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9.3)</w:t>
            </w:r>
          </w:p>
        </w:tc>
      </w:tr>
      <w:tr w:rsidTr="00D06CB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 xml:space="preserve">This unit should be assessed as it relates to normal work practice using procedures, information and resources typical of a workplace. This </w:t>
            </w:r>
            <w:r w:rsidRPr="00EC2DC6">
              <w:t>should include:</w:t>
            </w:r>
          </w:p>
          <w:p w:rsidR="00000000" w:rsidRPr="00EC2DC6" w:rsidP="00EC2DC6">
            <w:pPr>
              <w:pStyle w:val="ListBullet"/>
            </w:pPr>
            <w:r w:rsidRPr="00EC2DC6">
              <w:t>OHS policy and work procedures and instructions.</w:t>
            </w:r>
          </w:p>
          <w:p w:rsidR="00000000" w:rsidRPr="00EC2DC6" w:rsidP="00EC2DC6">
            <w:pPr>
              <w:pStyle w:val="ListBullet"/>
            </w:pPr>
            <w:r w:rsidRPr="00EC2DC6">
              <w:t>Suitable work environment, facilities, equipment and materials to undertake actual commissioning of network protection and control systems (complex).</w:t>
            </w:r>
          </w:p>
          <w:p w:rsidR="00000000" w:rsidRPr="00EC2DC6" w:rsidP="00EC2DC6">
            <w:pPr>
              <w:pStyle w:val="BodyText"/>
            </w:pPr>
            <w:r w:rsidRPr="00EC2DC6">
              <w:t>In addition to the resources listed abov</w:t>
            </w:r>
            <w:r w:rsidRPr="00EC2DC6">
              <w:t>e, in Context of and specific resources for assessment, evidence should show demonstrated competency working in realistic environment and a variety of conditions.</w:t>
            </w:r>
          </w:p>
        </w:tc>
      </w:tr>
    </w:tbl>
    <w:p w:rsidR="00000000" w:rsidRPr="00EC2DC6" w:rsidP="00EC2DC6">
      <w:pPr>
        <w:pStyle w:val="BodyText"/>
      </w:pPr>
    </w:p>
    <w:tbl>
      <w:tblPr>
        <w:tblW w:w="0" w:type="auto"/>
        <w:tblLayout w:type="fixed"/>
        <w:tblCellMar>
          <w:left w:w="62" w:type="dxa"/>
          <w:right w:w="62" w:type="dxa"/>
        </w:tblCellMar>
        <w:tblLook w:val="0000"/>
      </w:tblPr>
      <w:tblGrid>
        <w:gridCol w:w="1890"/>
        <w:gridCol w:w="6570"/>
      </w:tblGrid>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9.4)</w:t>
            </w:r>
          </w:p>
        </w:tc>
      </w:tr>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This Competency Standard Unit shall be assessed by methods given in Volume 1, Part 3 “Assessment Guidelines”.</w:t>
            </w:r>
          </w:p>
          <w:p w:rsidR="00000000" w:rsidRPr="00EC2DC6" w:rsidP="00EC2DC6">
            <w:pPr>
              <w:pStyle w:val="BodyText"/>
            </w:pPr>
            <w:r w:rsidRPr="00EC2DC6">
              <w:t>Note:</w:t>
            </w:r>
          </w:p>
          <w:p w:rsidR="00000000" w:rsidRPr="00EC2DC6" w:rsidP="00EC2DC6">
            <w:pPr>
              <w:pStyle w:val="BodyText"/>
            </w:pPr>
            <w:r w:rsidRPr="00EC2DC6">
              <w:t>Competent performance with inherent safe working practices is expected in the Transmission, Distribution and Rail Traction Industry. This re</w:t>
            </w:r>
            <w:r w:rsidRPr="00EC2DC6">
              <w:t>quires that the specified essential knowledge and associated skills are assessed in a structured environment which is primarily intended for learning/assessment and incorporates all necessary equipment and facilities for learners to develop and demonstrate</w:t>
            </w:r>
            <w:r w:rsidRPr="00EC2DC6">
              <w:t xml:space="preserve"> the essential knowledge and associated skills described in this unit.</w:t>
            </w:r>
          </w:p>
        </w:tc>
      </w:tr>
    </w:tbl>
    <w:p w:rsidR="00000000" w:rsidRPr="00EC2DC6" w:rsidP="00EC2DC6">
      <w:pPr>
        <w:pStyle w:val="BodyText"/>
      </w:pPr>
    </w:p>
    <w:tbl>
      <w:tblPr>
        <w:tblW w:w="0" w:type="auto"/>
        <w:tblLayout w:type="fixed"/>
        <w:tblCellMar>
          <w:left w:w="62" w:type="dxa"/>
          <w:right w:w="62" w:type="dxa"/>
        </w:tblCellMar>
        <w:tblLook w:val="0000"/>
      </w:tblPr>
      <w:tblGrid>
        <w:gridCol w:w="1890"/>
        <w:gridCol w:w="6570"/>
      </w:tblGrid>
      <w:tr w:rsidTr="00D06C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9.5)</w:t>
            </w:r>
          </w:p>
        </w:tc>
      </w:tr>
      <w:tr w:rsidTr="00D06CB6">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There are no concurrent assessment recommendations for this unit.</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11" w:name="O_464735"/>
      <w:bookmarkEnd w:id="11"/>
      <w:r w:rsidRPr="00EC2DC6">
        <w:t>Range Statement</w:t>
      </w:r>
    </w:p>
    <w:tbl>
      <w:tblPr>
        <w:tblW w:w="0" w:type="auto"/>
        <w:tblLayout w:type="fixed"/>
        <w:tblCellMar>
          <w:left w:w="62" w:type="dxa"/>
          <w:right w:w="62" w:type="dxa"/>
        </w:tblCellMar>
        <w:tblLook w:val="0000"/>
      </w:tblPr>
      <w:tblGrid>
        <w:gridCol w:w="8460"/>
      </w:tblGrid>
      <w:tr w:rsidTr="00D06C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RANGE STATEMENT</w:t>
            </w:r>
          </w:p>
        </w:tc>
      </w:tr>
      <w:tr w:rsidTr="00D06C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10</w:t>
            </w:r>
            <w:r w:rsidRPr="00EC2DC6">
              <w:rPr>
                <w:rStyle w:val="SpecialBold"/>
              </w:rPr>
              <w:t>)</w:t>
            </w:r>
            <w:r w:rsidRPr="00EC2DC6">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EC2DC6" w:rsidP="00EC2DC6">
            <w:pPr>
              <w:pStyle w:val="BodyText"/>
            </w:pPr>
            <w:r w:rsidRPr="00EC2DC6">
              <w:t>This Competency Standard Unit</w:t>
            </w:r>
            <w:r w:rsidRPr="00EC2DC6">
              <w:t xml:space="preserve"> shall be demonstrated in relation to the commissioning of network protection and control systems (complex) and may include the following: </w:t>
            </w:r>
          </w:p>
          <w:p w:rsidR="00000000" w:rsidRPr="00EC2DC6" w:rsidP="00EC2DC6">
            <w:pPr>
              <w:pStyle w:val="BodyText"/>
            </w:pPr>
            <w:r w:rsidRPr="00EC2DC6">
              <w:t>Discrete: overcurrent, earth fault, frame leakage, cooling, buccholz, DC supplies, restricted earth, sensitive earth</w:t>
            </w:r>
            <w:r w:rsidRPr="00EC2DC6">
              <w:t xml:space="preserve"> fault, CB fail, reclose, DC frame leakage, CEL fail, under frequency load shed; </w:t>
            </w:r>
          </w:p>
          <w:p w:rsidR="00000000" w:rsidRPr="00EC2DC6" w:rsidP="00EC2DC6">
            <w:pPr>
              <w:pStyle w:val="BodyText"/>
            </w:pPr>
            <w:r w:rsidRPr="00EC2DC6">
              <w:t>Interdependent: instrument transformers, trip/control circuits, alarms, DC supplies, CB fail protection, master controlled earth fault, intertripping, blocking, synchronising</w:t>
            </w:r>
            <w:r w:rsidRPr="00EC2DC6">
              <w:t>, pilot wire, phase comparison, load shedding, voltage control, parallel operation, load rejection, circuit isolations and restorations, mechanical adjustments, calibration, function tests, reporting, signals, thermals, contraphase, backup, reverse current</w:t>
            </w:r>
            <w:r w:rsidRPr="00EC2DC6">
              <w:t>;</w:t>
            </w:r>
          </w:p>
          <w:p w:rsidR="00000000" w:rsidRPr="00EC2DC6" w:rsidP="00EC2DC6">
            <w:pPr>
              <w:pStyle w:val="BodyText"/>
            </w:pPr>
            <w:r w:rsidRPr="00EC2DC6">
              <w:t>Complex: distance, differential, transformer differential, bus zone, bus overcurrent, revenue metering, current transformer accuracy, SCADA, communications, harmonic control, point on wave, HV plant testing.</w:t>
            </w:r>
          </w:p>
          <w:p w:rsidR="00000000" w:rsidRPr="00EC2DC6" w:rsidP="00EC2DC6">
            <w:pPr>
              <w:pStyle w:val="BodyText"/>
            </w:pPr>
            <w:r w:rsidRPr="00EC2DC6">
              <w:t>The following constants and variables included</w:t>
            </w:r>
            <w:r w:rsidRPr="00EC2DC6">
              <w:t xml:space="preserve"> in the element/Performance Criteria in this unit are fully described in the Definitions Section 1 of this volume and form an integral part of the Range Statement of this unit:</w:t>
            </w:r>
          </w:p>
          <w:p w:rsidR="00000000" w:rsidRPr="00EC2DC6" w:rsidP="00EC2DC6">
            <w:pPr>
              <w:pStyle w:val="ListBullet3"/>
            </w:pPr>
            <w:r w:rsidRPr="00EC2DC6">
              <w:t>Appropriate and relevant persons (see Personnel)</w:t>
            </w:r>
          </w:p>
          <w:p w:rsidR="00000000" w:rsidRPr="00EC2DC6" w:rsidP="00EC2DC6">
            <w:pPr>
              <w:pStyle w:val="ListBullet3"/>
            </w:pPr>
            <w:r w:rsidRPr="00EC2DC6">
              <w:t>Appropriate authorities</w:t>
            </w:r>
          </w:p>
          <w:p w:rsidR="00000000" w:rsidRPr="00EC2DC6" w:rsidP="00EC2DC6">
            <w:pPr>
              <w:pStyle w:val="ListBullet3"/>
            </w:pPr>
            <w:r w:rsidRPr="00EC2DC6">
              <w:t>Appro</w:t>
            </w:r>
            <w:r w:rsidRPr="00EC2DC6">
              <w:t>priate work platform</w:t>
            </w:r>
          </w:p>
          <w:p w:rsidR="00000000" w:rsidRPr="00EC2DC6" w:rsidP="00EC2DC6">
            <w:pPr>
              <w:pStyle w:val="ListBullet3"/>
            </w:pPr>
            <w:r w:rsidRPr="00EC2DC6">
              <w:t>Assessing risk</w:t>
            </w:r>
          </w:p>
          <w:p w:rsidR="00000000" w:rsidRPr="00EC2DC6" w:rsidP="00EC2DC6">
            <w:pPr>
              <w:pStyle w:val="ListBullet3"/>
            </w:pPr>
            <w:r w:rsidRPr="00EC2DC6">
              <w:t>Assessment</w:t>
            </w:r>
          </w:p>
          <w:p w:rsidR="00000000" w:rsidRPr="00EC2DC6" w:rsidP="00EC2DC6">
            <w:pPr>
              <w:pStyle w:val="ListBullet3"/>
            </w:pPr>
            <w:r w:rsidRPr="00EC2DC6">
              <w:t>Authorisation</w:t>
            </w:r>
          </w:p>
          <w:p w:rsidR="00000000" w:rsidRPr="00EC2DC6" w:rsidP="00EC2DC6">
            <w:pPr>
              <w:pStyle w:val="ListBullet3"/>
            </w:pPr>
            <w:r w:rsidRPr="00EC2DC6">
              <w:t>Confined space</w:t>
            </w:r>
          </w:p>
          <w:p w:rsidR="00000000" w:rsidRPr="00EC2DC6" w:rsidP="00EC2DC6">
            <w:pPr>
              <w:pStyle w:val="ListBullet3"/>
            </w:pPr>
            <w:r w:rsidRPr="00EC2DC6">
              <w:t>Diagnostic, testing and restoration</w:t>
            </w:r>
          </w:p>
          <w:p w:rsidR="00000000" w:rsidRPr="00EC2DC6" w:rsidP="00EC2DC6">
            <w:pPr>
              <w:pStyle w:val="ListBullet3"/>
            </w:pPr>
            <w:r w:rsidRPr="00EC2DC6">
              <w:t>Documenting detail work events, record keeping and or storage of information</w:t>
            </w:r>
          </w:p>
          <w:p w:rsidR="00000000" w:rsidRPr="00EC2DC6" w:rsidP="00EC2DC6">
            <w:pPr>
              <w:pStyle w:val="ListBullet3"/>
            </w:pPr>
            <w:r w:rsidRPr="00EC2DC6">
              <w:t>Drawings and specifications</w:t>
            </w:r>
          </w:p>
          <w:p w:rsidR="00000000" w:rsidRPr="00EC2DC6" w:rsidP="00EC2DC6">
            <w:pPr>
              <w:pStyle w:val="ListBullet3"/>
            </w:pPr>
            <w:r w:rsidRPr="00EC2DC6">
              <w:t>Emergency</w:t>
            </w:r>
          </w:p>
          <w:p w:rsidR="00000000" w:rsidRPr="00EC2DC6" w:rsidP="00EC2DC6">
            <w:pPr>
              <w:pStyle w:val="ListBullet3"/>
            </w:pPr>
            <w:r w:rsidRPr="00EC2DC6">
              <w:t>Environmental and sustainable energy procedures</w:t>
            </w:r>
          </w:p>
          <w:p w:rsidR="00000000" w:rsidRPr="00EC2DC6" w:rsidP="00EC2DC6">
            <w:pPr>
              <w:pStyle w:val="ListBullet3"/>
            </w:pPr>
            <w:r w:rsidRPr="00EC2DC6">
              <w:t>Environmental legislation</w:t>
            </w:r>
          </w:p>
          <w:p w:rsidR="00000000" w:rsidRPr="00EC2DC6" w:rsidP="00EC2DC6">
            <w:pPr>
              <w:pStyle w:val="ListBullet3"/>
            </w:pPr>
            <w:r w:rsidRPr="00EC2DC6">
              <w:t>Environmental management documentation</w:t>
            </w:r>
          </w:p>
          <w:p w:rsidR="00000000" w:rsidRPr="00EC2DC6" w:rsidP="00EC2DC6">
            <w:pPr>
              <w:pStyle w:val="ListBullet3"/>
            </w:pPr>
            <w:r w:rsidRPr="00EC2DC6">
              <w:t>Established procedures</w:t>
            </w:r>
          </w:p>
          <w:p w:rsidR="00000000" w:rsidRPr="00EC2DC6" w:rsidP="00EC2DC6">
            <w:pPr>
              <w:pStyle w:val="ListBullet3"/>
            </w:pPr>
            <w:r w:rsidRPr="00EC2DC6">
              <w:t>Fall prevention</w:t>
            </w:r>
          </w:p>
          <w:p w:rsidR="00000000" w:rsidRPr="00EC2DC6" w:rsidP="00EC2DC6">
            <w:pPr>
              <w:pStyle w:val="ListBullet3"/>
            </w:pPr>
            <w:r w:rsidRPr="00EC2DC6">
              <w:t>Hazards</w:t>
            </w:r>
          </w:p>
          <w:p w:rsidR="00000000" w:rsidRPr="00EC2DC6" w:rsidP="00EC2DC6">
            <w:pPr>
              <w:pStyle w:val="ListBullet3"/>
            </w:pPr>
            <w:r w:rsidRPr="00EC2DC6">
              <w:t>Identifying hazards</w:t>
            </w:r>
          </w:p>
          <w:p w:rsidR="00000000" w:rsidRPr="00EC2DC6" w:rsidP="00EC2DC6">
            <w:pPr>
              <w:pStyle w:val="ListBullet3"/>
            </w:pPr>
            <w:r w:rsidRPr="00EC2DC6">
              <w:t>Inspect</w:t>
            </w:r>
          </w:p>
          <w:p w:rsidR="00000000" w:rsidRPr="00EC2DC6" w:rsidP="00EC2DC6">
            <w:pPr>
              <w:pStyle w:val="ListBullet3"/>
            </w:pPr>
            <w:r w:rsidRPr="00EC2DC6">
              <w:t>Legislation</w:t>
            </w:r>
          </w:p>
          <w:p w:rsidR="00000000" w:rsidRPr="00EC2DC6" w:rsidP="00EC2DC6">
            <w:pPr>
              <w:pStyle w:val="ListBullet3"/>
            </w:pPr>
            <w:r w:rsidRPr="00EC2DC6">
              <w:t>MSDS</w:t>
            </w:r>
          </w:p>
          <w:p w:rsidR="00000000" w:rsidRPr="00EC2DC6" w:rsidP="00EC2DC6">
            <w:pPr>
              <w:pStyle w:val="ListBullet3"/>
            </w:pPr>
            <w:r w:rsidRPr="00EC2DC6">
              <w:t>Notification</w:t>
            </w:r>
          </w:p>
          <w:p w:rsidR="00000000" w:rsidRPr="00EC2DC6" w:rsidP="00EC2DC6">
            <w:pPr>
              <w:pStyle w:val="ListBullet3"/>
            </w:pPr>
            <w:r w:rsidRPr="00EC2DC6">
              <w:t>OHS practices</w:t>
            </w:r>
          </w:p>
          <w:p w:rsidR="00000000" w:rsidRPr="00EC2DC6" w:rsidP="00EC2DC6">
            <w:pPr>
              <w:pStyle w:val="ListBullet3"/>
            </w:pPr>
            <w:r w:rsidRPr="00EC2DC6">
              <w:t>OHS issues</w:t>
            </w:r>
          </w:p>
          <w:p w:rsidR="00000000" w:rsidRPr="00EC2DC6" w:rsidP="00EC2DC6">
            <w:pPr>
              <w:pStyle w:val="ListBullet3"/>
            </w:pPr>
            <w:r w:rsidRPr="00EC2DC6">
              <w:t>Permits and/or permits to work</w:t>
            </w:r>
          </w:p>
          <w:p w:rsidR="00000000" w:rsidRPr="00EC2DC6" w:rsidP="00EC2DC6">
            <w:pPr>
              <w:pStyle w:val="ListBullet3"/>
            </w:pPr>
            <w:r w:rsidRPr="00EC2DC6">
              <w:t>Personnel</w:t>
            </w:r>
          </w:p>
          <w:p w:rsidR="00000000" w:rsidRPr="00EC2DC6" w:rsidP="00EC2DC6">
            <w:pPr>
              <w:pStyle w:val="ListBullet3"/>
            </w:pPr>
            <w:r w:rsidRPr="00EC2DC6">
              <w:t>Quality assurance systems</w:t>
            </w:r>
          </w:p>
          <w:p w:rsidR="00000000" w:rsidRPr="00EC2DC6" w:rsidP="00EC2DC6">
            <w:pPr>
              <w:pStyle w:val="ListBullet3"/>
            </w:pPr>
            <w:r w:rsidRPr="00EC2DC6">
              <w:t>Requirements</w:t>
            </w:r>
          </w:p>
          <w:p w:rsidR="00000000" w:rsidRPr="00EC2DC6" w:rsidP="00EC2DC6">
            <w:pPr>
              <w:pStyle w:val="ListBullet3"/>
            </w:pPr>
            <w:r w:rsidRPr="00EC2DC6">
              <w:t>Testing procedures</w:t>
            </w:r>
          </w:p>
          <w:p w:rsidR="00000000" w:rsidRPr="00EC2DC6" w:rsidP="00EC2DC6">
            <w:pPr>
              <w:pStyle w:val="ListBullet3"/>
            </w:pPr>
            <w:r w:rsidRPr="00EC2DC6">
              <w:t>Work clearance systems</w:t>
            </w:r>
          </w:p>
        </w:tc>
      </w:tr>
    </w:tbl>
    <w:p w:rsidR="00000000" w:rsidRPr="00EC2DC6" w:rsidP="00EC2DC6">
      <w:pPr>
        <w:pStyle w:val="BodyText"/>
      </w:pPr>
    </w:p>
    <w:p w:rsidR="00000000" w:rsidRPr="00EC2DC6" w:rsidP="00EC2DC6">
      <w:pPr>
        <w:pStyle w:val="AllowPageBreak"/>
      </w:pPr>
    </w:p>
    <w:p w:rsidR="00000000" w:rsidRPr="00EC2DC6" w:rsidP="00EC2DC6">
      <w:pPr>
        <w:pStyle w:val="Heading1"/>
      </w:pPr>
      <w:bookmarkStart w:id="12" w:name="O_464738"/>
      <w:bookmarkEnd w:id="12"/>
      <w:r w:rsidRPr="00EC2DC6">
        <w:t>Unit Sector(s)</w:t>
      </w:r>
    </w:p>
    <w:p w:rsidR="00000000" w:rsidRPr="00EC2DC6" w:rsidP="00EC2DC6">
      <w:pPr>
        <w:pStyle w:val="BodyText"/>
      </w:pPr>
      <w:r w:rsidRPr="00EC2DC6">
        <w:t>Not applicable.</w:t>
      </w:r>
    </w:p>
    <w:p w:rsidR="00000000" w:rsidRPr="00EC2DC6" w:rsidP="00EC2DC6">
      <w:pPr>
        <w:pStyle w:val="AllowPageBreak"/>
      </w:pPr>
    </w:p>
    <w:p w:rsidR="00000000" w:rsidRPr="00EC2DC6" w:rsidP="00EC2DC6">
      <w:pPr>
        <w:pStyle w:val="Heading1"/>
      </w:pPr>
      <w:bookmarkStart w:id="13" w:name="O_464727"/>
      <w:bookmarkEnd w:id="13"/>
      <w:r w:rsidRPr="00EC2DC6">
        <w:t>Competency Field</w:t>
      </w:r>
    </w:p>
    <w:tbl>
      <w:tblPr>
        <w:tblW w:w="0" w:type="auto"/>
        <w:tblLayout w:type="fixed"/>
        <w:tblCellMar>
          <w:left w:w="62" w:type="dxa"/>
          <w:right w:w="62" w:type="dxa"/>
        </w:tblCellMar>
        <w:tblLook w:val="0000"/>
      </w:tblPr>
      <w:tblGrid>
        <w:gridCol w:w="2700"/>
        <w:gridCol w:w="5760"/>
      </w:tblGrid>
      <w:tr w:rsidTr="00D06C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2DC6">
            <w:pPr>
              <w:pStyle w:val="BodyText"/>
              <w:rPr>
                <w:lang w:val="en-NZ"/>
              </w:rPr>
            </w:pPr>
            <w:r w:rsidRPr="00EC2DC6">
              <w:rPr>
                <w:rStyle w:val="SpecialBold"/>
              </w:rPr>
              <w:t xml:space="preserve">11) </w:t>
            </w:r>
          </w:p>
        </w:tc>
      </w:tr>
      <w:tr w:rsidTr="00D06C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2DC6" w:rsidP="00EC2DC6">
            <w:pPr>
              <w:pStyle w:val="BodyText"/>
            </w:pPr>
            <w:r w:rsidRPr="00EC2DC6">
              <w:t>Testing Units</w:t>
            </w:r>
          </w:p>
        </w:tc>
      </w:tr>
    </w:tbl>
    <w:p w:rsidR="00000000" w:rsidRPr="00EC2DC6" w:rsidP="00EC2DC6">
      <w:pPr>
        <w:pStyle w:val="BodyText"/>
      </w:pPr>
    </w:p>
    <w:p w:rsidR="00000000" w:rsidRPr="00EC2DC6" w:rsidP="00EC2DC6"/>
    <w:sectPr w:rsidSect="00EC2D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CB6" w:rsidP="00D06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B6" w:rsidP="00EC2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06CB6" w:rsidP="00EC2D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06CB6" w:rsidP="00EC2D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CB6" w:rsidP="00D06C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B6" w:rsidP="00EC2DC6">
    <w:pPr>
      <w:pStyle w:val="Header"/>
      <w:framePr w:wrap="around"/>
    </w:pPr>
    <w:r>
      <w:fldChar w:fldCharType="begin"/>
    </w:r>
    <w:r>
      <w:instrText xml:space="preserve"> TITLE   \* MERGEFORMAT </w:instrText>
    </w:r>
    <w:r>
      <w:fldChar w:fldCharType="separate"/>
    </w:r>
    <w:r>
      <w:t>UETTDRTS36A Commission complex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6CB6" w:rsidP="00EC2D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768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38E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8E1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D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2DC6"/>
    <w:pPr>
      <w:spacing w:before="360" w:after="60"/>
      <w:outlineLvl w:val="0"/>
    </w:pPr>
    <w:rPr>
      <w:sz w:val="32"/>
    </w:rPr>
  </w:style>
  <w:style w:type="paragraph" w:styleId="Heading2">
    <w:name w:val="heading 2"/>
    <w:basedOn w:val="HeadingBase"/>
    <w:next w:val="BodyText"/>
    <w:link w:val="Heading2Char"/>
    <w:qFormat/>
    <w:rsid w:val="00EC2DC6"/>
    <w:pPr>
      <w:keepLines/>
      <w:spacing w:before="240" w:after="120"/>
      <w:outlineLvl w:val="1"/>
    </w:pPr>
    <w:rPr>
      <w:sz w:val="28"/>
      <w:szCs w:val="40"/>
    </w:rPr>
  </w:style>
  <w:style w:type="paragraph" w:styleId="Heading3">
    <w:name w:val="heading 3"/>
    <w:basedOn w:val="HeadingBase"/>
    <w:next w:val="BodyText"/>
    <w:link w:val="Heading3Char"/>
    <w:qFormat/>
    <w:rsid w:val="00EC2DC6"/>
    <w:pPr>
      <w:spacing w:before="180" w:after="120"/>
      <w:outlineLvl w:val="2"/>
    </w:pPr>
    <w:rPr>
      <w:spacing w:val="-10"/>
      <w:kern w:val="32"/>
    </w:rPr>
  </w:style>
  <w:style w:type="paragraph" w:styleId="Heading4">
    <w:name w:val="heading 4"/>
    <w:basedOn w:val="HeadingBase"/>
    <w:next w:val="BodyText"/>
    <w:link w:val="Heading4Char"/>
    <w:qFormat/>
    <w:rsid w:val="00EC2DC6"/>
    <w:pPr>
      <w:spacing w:before="160" w:after="120"/>
      <w:outlineLvl w:val="3"/>
    </w:pPr>
    <w:rPr>
      <w:sz w:val="22"/>
    </w:rPr>
  </w:style>
  <w:style w:type="paragraph" w:styleId="Heading5">
    <w:name w:val="heading 5"/>
    <w:basedOn w:val="HeadingBase"/>
    <w:next w:val="Normal"/>
    <w:link w:val="Heading5Char"/>
    <w:qFormat/>
    <w:rsid w:val="00EC2DC6"/>
    <w:pPr>
      <w:spacing w:before="80"/>
      <w:outlineLvl w:val="4"/>
    </w:pPr>
    <w:rPr>
      <w:color w:val="918585"/>
      <w:sz w:val="20"/>
    </w:rPr>
  </w:style>
  <w:style w:type="paragraph" w:styleId="Heading6">
    <w:name w:val="heading 6"/>
    <w:basedOn w:val="HeadingBase"/>
    <w:next w:val="Normal"/>
    <w:link w:val="Heading6Char"/>
    <w:qFormat/>
    <w:rsid w:val="00EC2DC6"/>
    <w:pPr>
      <w:spacing w:before="60"/>
      <w:outlineLvl w:val="5"/>
    </w:pPr>
    <w:rPr>
      <w:color w:val="918585"/>
      <w:sz w:val="20"/>
    </w:rPr>
  </w:style>
  <w:style w:type="paragraph" w:styleId="Heading7">
    <w:name w:val="heading 7"/>
    <w:basedOn w:val="Normal"/>
    <w:next w:val="Normal"/>
    <w:link w:val="Heading7Char"/>
    <w:qFormat/>
    <w:rsid w:val="00EC2DC6"/>
    <w:pPr>
      <w:ind w:left="720"/>
      <w:outlineLvl w:val="6"/>
    </w:pPr>
    <w:rPr>
      <w:i/>
    </w:rPr>
  </w:style>
  <w:style w:type="paragraph" w:styleId="Heading8">
    <w:name w:val="heading 8"/>
    <w:basedOn w:val="Normal"/>
    <w:next w:val="Normal"/>
    <w:link w:val="Heading8Char"/>
    <w:qFormat/>
    <w:rsid w:val="00EC2DC6"/>
    <w:pPr>
      <w:ind w:left="720"/>
      <w:outlineLvl w:val="7"/>
    </w:pPr>
    <w:rPr>
      <w:i/>
    </w:rPr>
  </w:style>
  <w:style w:type="paragraph" w:styleId="Heading9">
    <w:name w:val="heading 9"/>
    <w:basedOn w:val="Normal"/>
    <w:next w:val="Normal"/>
    <w:link w:val="Heading9Char"/>
    <w:qFormat/>
    <w:rsid w:val="00EC2DC6"/>
    <w:pPr>
      <w:ind w:left="720"/>
      <w:outlineLvl w:val="8"/>
    </w:pPr>
    <w:rPr>
      <w:i/>
    </w:rPr>
  </w:style>
  <w:style w:type="character" w:default="1" w:styleId="DefaultParagraphFont">
    <w:name w:val="Default Paragraph Font"/>
    <w:uiPriority w:val="1"/>
    <w:unhideWhenUsed/>
    <w:rsid w:val="00EC2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DC6"/>
  </w:style>
  <w:style w:type="character" w:customStyle="1" w:styleId="Heading1Char">
    <w:name w:val="Heading 1 Char"/>
    <w:basedOn w:val="DefaultParagraphFont"/>
    <w:link w:val="Heading1"/>
    <w:rsid w:val="00EC2DC6"/>
    <w:rPr>
      <w:rFonts w:ascii="Times New Roman" w:eastAsia="Times New Roman" w:hAnsi="Times New Roman" w:cs="Times New Roman"/>
      <w:b/>
      <w:sz w:val="32"/>
      <w:szCs w:val="20"/>
      <w:lang w:eastAsia="en-US"/>
    </w:rPr>
  </w:style>
  <w:style w:type="paragraph" w:styleId="BodyText">
    <w:name w:val="Body Text"/>
    <w:basedOn w:val="Normal"/>
    <w:link w:val="BodyTextChar"/>
    <w:rsid w:val="00EC2D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DC6"/>
    <w:rPr>
      <w:rFonts w:ascii="Times New Roman" w:eastAsia="Times New Roman" w:hAnsi="Times New Roman" w:cs="Times New Roman"/>
      <w:sz w:val="24"/>
      <w:lang w:val="en-US" w:eastAsia="en-US"/>
    </w:rPr>
  </w:style>
  <w:style w:type="paragraph" w:styleId="Footer">
    <w:name w:val="footer"/>
    <w:basedOn w:val="Normal"/>
    <w:link w:val="FooterChar"/>
    <w:rsid w:val="00EC2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DC6"/>
    <w:rPr>
      <w:rFonts w:ascii="Times New Roman" w:eastAsia="Times New Roman" w:hAnsi="Times New Roman" w:cs="Times New Roman"/>
      <w:sz w:val="16"/>
      <w:lang w:val="en-US" w:eastAsia="en-US"/>
    </w:rPr>
  </w:style>
  <w:style w:type="paragraph" w:styleId="ListBullet">
    <w:name w:val="List Bullet"/>
    <w:basedOn w:val="List"/>
    <w:rsid w:val="00EC2DC6"/>
    <w:pPr>
      <w:numPr>
        <w:numId w:val="14"/>
      </w:numPr>
      <w:tabs>
        <w:tab w:val="clear" w:pos="340"/>
      </w:tabs>
      <w:spacing w:before="40" w:after="40"/>
    </w:pPr>
  </w:style>
  <w:style w:type="character" w:customStyle="1" w:styleId="SpecialBold">
    <w:name w:val="Special Bold"/>
    <w:basedOn w:val="DefaultParagraphFont"/>
    <w:rsid w:val="00EC2DC6"/>
    <w:rPr>
      <w:b/>
      <w:spacing w:val="0"/>
    </w:rPr>
  </w:style>
  <w:style w:type="paragraph" w:styleId="ListBullet2">
    <w:name w:val="List Bullet 2"/>
    <w:basedOn w:val="List2"/>
    <w:rsid w:val="00EC2DC6"/>
    <w:pPr>
      <w:numPr>
        <w:numId w:val="15"/>
      </w:numPr>
      <w:tabs>
        <w:tab w:val="clear" w:pos="680"/>
      </w:tabs>
    </w:pPr>
  </w:style>
  <w:style w:type="paragraph" w:styleId="Header">
    <w:name w:val="header"/>
    <w:basedOn w:val="Normal"/>
    <w:link w:val="HeaderChar"/>
    <w:rsid w:val="00EC2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D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2DC6"/>
    <w:pPr>
      <w:spacing w:before="240" w:after="120"/>
      <w:outlineLvl w:val="0"/>
    </w:pPr>
    <w:rPr>
      <w:rFonts w:ascii="Times New Roman" w:hAnsi="Times New Roman"/>
      <w:b/>
      <w:sz w:val="28"/>
    </w:rPr>
  </w:style>
  <w:style w:type="paragraph" w:customStyle="1" w:styleId="AllowPageBreak">
    <w:name w:val="AllowPageBreak"/>
    <w:rsid w:val="00EC2D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2DC6"/>
    <w:pPr>
      <w:numPr>
        <w:numId w:val="3"/>
      </w:numPr>
      <w:tabs>
        <w:tab w:val="clear" w:pos="1021"/>
      </w:tabs>
      <w:ind w:left="1037" w:hanging="357"/>
    </w:pPr>
  </w:style>
  <w:style w:type="character" w:customStyle="1" w:styleId="Heading2Char">
    <w:name w:val="Heading 2 Char"/>
    <w:basedOn w:val="DefaultParagraphFont"/>
    <w:link w:val="Heading2"/>
    <w:rsid w:val="00EC2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D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2D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2DC6"/>
    <w:rPr>
      <w:rFonts w:ascii="Courier New" w:eastAsia="Times New Roman" w:hAnsi="Courier New" w:cs="Times New Roman"/>
      <w:i/>
      <w:szCs w:val="20"/>
      <w:lang w:val="en-US" w:eastAsia="en-US"/>
    </w:rPr>
  </w:style>
  <w:style w:type="paragraph" w:customStyle="1" w:styleId="HeadingBase">
    <w:name w:val="Heading Base"/>
    <w:rsid w:val="00EC2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DC6"/>
    <w:pPr>
      <w:tabs>
        <w:tab w:val="right" w:leader="dot" w:pos="9072"/>
      </w:tabs>
      <w:ind w:left="567"/>
    </w:pPr>
    <w:rPr>
      <w:szCs w:val="22"/>
    </w:rPr>
  </w:style>
  <w:style w:type="paragraph" w:customStyle="1" w:styleId="TOCBase">
    <w:name w:val="TOC Base"/>
    <w:rsid w:val="00EC2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DC6"/>
    <w:pPr>
      <w:tabs>
        <w:tab w:val="right" w:leader="dot" w:pos="9072"/>
      </w:tabs>
      <w:spacing w:before="40" w:after="40"/>
      <w:ind w:left="284"/>
    </w:pPr>
    <w:rPr>
      <w:rFonts w:ascii="Times New Roman" w:hAnsi="Times New Roman"/>
    </w:rPr>
  </w:style>
  <w:style w:type="paragraph" w:styleId="TOC1">
    <w:name w:val="toc 1"/>
    <w:basedOn w:val="TOCBase"/>
    <w:next w:val="Normal"/>
    <w:rsid w:val="00EC2D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2DC6"/>
    <w:pPr>
      <w:spacing w:before="5040"/>
      <w:jc w:val="center"/>
    </w:pPr>
    <w:rPr>
      <w:sz w:val="48"/>
      <w:szCs w:val="72"/>
      <w:lang w:val="en-US"/>
    </w:rPr>
  </w:style>
  <w:style w:type="character" w:customStyle="1" w:styleId="TitleChar">
    <w:name w:val="Title Char"/>
    <w:basedOn w:val="DefaultParagraphFont"/>
    <w:link w:val="Title"/>
    <w:rsid w:val="00EC2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DC6"/>
    <w:pPr>
      <w:tabs>
        <w:tab w:val="left" w:pos="3600"/>
        <w:tab w:val="left" w:pos="3958"/>
      </w:tabs>
    </w:pPr>
  </w:style>
  <w:style w:type="paragraph" w:styleId="List">
    <w:name w:val="List"/>
    <w:basedOn w:val="BodyText"/>
    <w:next w:val="BodyText"/>
    <w:rsid w:val="00EC2DC6"/>
    <w:pPr>
      <w:tabs>
        <w:tab w:val="left" w:pos="340"/>
      </w:tabs>
      <w:spacing w:before="60" w:after="60"/>
      <w:ind w:left="340" w:hanging="340"/>
    </w:pPr>
  </w:style>
  <w:style w:type="paragraph" w:customStyle="1" w:styleId="Note">
    <w:name w:val="Note"/>
    <w:basedOn w:val="BodyText"/>
    <w:rsid w:val="00EC2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DC6"/>
    <w:pPr>
      <w:framePr w:wrap="auto" w:hAnchor="text" w:y="6049"/>
    </w:pPr>
    <w:rPr>
      <w:color w:val="000000"/>
      <w:sz w:val="40"/>
    </w:rPr>
  </w:style>
  <w:style w:type="paragraph" w:customStyle="1" w:styleId="TOCTitle">
    <w:name w:val="TOCTitle"/>
    <w:basedOn w:val="Heading1"/>
    <w:rsid w:val="00EC2DC6"/>
    <w:pPr>
      <w:spacing w:after="240"/>
      <w:jc w:val="center"/>
      <w:outlineLvl w:val="9"/>
    </w:pPr>
    <w:rPr>
      <w:caps/>
    </w:rPr>
  </w:style>
  <w:style w:type="paragraph" w:customStyle="1" w:styleId="Version">
    <w:name w:val="Version"/>
    <w:rsid w:val="00EC2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DC6"/>
    <w:pPr>
      <w:keepNext w:val="0"/>
      <w:tabs>
        <w:tab w:val="right" w:pos="4176"/>
      </w:tabs>
      <w:ind w:left="198" w:hanging="198"/>
    </w:pPr>
    <w:rPr>
      <w:rFonts w:ascii="Garamond" w:hAnsi="Garamond"/>
    </w:rPr>
  </w:style>
  <w:style w:type="paragraph" w:styleId="IndexHeading">
    <w:name w:val="index heading"/>
    <w:basedOn w:val="Normal"/>
    <w:next w:val="Index1"/>
    <w:semiHidden/>
    <w:rsid w:val="00EC2DC6"/>
    <w:pPr>
      <w:spacing w:before="120" w:after="120"/>
    </w:pPr>
    <w:rPr>
      <w:rFonts w:ascii="Arial" w:hAnsi="Arial"/>
      <w:b/>
      <w:color w:val="918585"/>
      <w:sz w:val="24"/>
    </w:rPr>
  </w:style>
  <w:style w:type="paragraph" w:customStyle="1" w:styleId="Chapter">
    <w:name w:val="Chapter"/>
    <w:basedOn w:val="Normal"/>
    <w:rsid w:val="00EC2DC6"/>
    <w:pPr>
      <w:spacing w:before="240"/>
    </w:pPr>
    <w:rPr>
      <w:rFonts w:ascii="Times New Roman" w:hAnsi="Times New Roman"/>
      <w:smallCaps/>
      <w:spacing w:val="80"/>
      <w:sz w:val="28"/>
    </w:rPr>
  </w:style>
  <w:style w:type="paragraph" w:customStyle="1" w:styleId="InChapter">
    <w:name w:val="InChapter"/>
    <w:basedOn w:val="Heading3"/>
    <w:rsid w:val="00EC2DC6"/>
    <w:pPr>
      <w:spacing w:after="240"/>
      <w:outlineLvl w:val="9"/>
    </w:pPr>
    <w:rPr>
      <w:noProof/>
    </w:rPr>
  </w:style>
  <w:style w:type="paragraph" w:styleId="Index2">
    <w:name w:val="index 2"/>
    <w:basedOn w:val="Normal"/>
    <w:next w:val="Normal"/>
    <w:semiHidden/>
    <w:rsid w:val="00EC2DC6"/>
    <w:pPr>
      <w:tabs>
        <w:tab w:val="right" w:pos="4176"/>
      </w:tabs>
      <w:ind w:left="568" w:hanging="284"/>
    </w:pPr>
    <w:rPr>
      <w:rFonts w:ascii="Garamond" w:hAnsi="Garamond"/>
    </w:rPr>
  </w:style>
  <w:style w:type="paragraph" w:customStyle="1" w:styleId="Byline">
    <w:name w:val="Byline"/>
    <w:rsid w:val="00EC2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DC6"/>
    <w:pPr>
      <w:tabs>
        <w:tab w:val="clear" w:pos="3600"/>
        <w:tab w:val="clear" w:pos="3958"/>
      </w:tabs>
      <w:jc w:val="right"/>
    </w:pPr>
  </w:style>
  <w:style w:type="character" w:styleId="Emphasis">
    <w:name w:val="Emphasis"/>
    <w:basedOn w:val="DefaultParagraphFont"/>
    <w:qFormat/>
    <w:rsid w:val="00EC2DC6"/>
    <w:rPr>
      <w:i/>
    </w:rPr>
  </w:style>
  <w:style w:type="paragraph" w:styleId="Caption">
    <w:name w:val="caption"/>
    <w:basedOn w:val="BodyText"/>
    <w:next w:val="Normal"/>
    <w:qFormat/>
    <w:rsid w:val="00EC2DC6"/>
    <w:pPr>
      <w:framePr w:w="2268" w:hSpace="181" w:vSpace="181" w:wrap="around" w:vAnchor="text" w:hAnchor="page" w:x="1135" w:y="285" w:anchorLock="1"/>
    </w:pPr>
    <w:rPr>
      <w:i/>
    </w:rPr>
  </w:style>
  <w:style w:type="paragraph" w:customStyle="1" w:styleId="MiniTOCTitle">
    <w:name w:val="MiniTOCTitle"/>
    <w:basedOn w:val="Heading4"/>
    <w:rsid w:val="00EC2DC6"/>
    <w:pPr>
      <w:spacing w:before="240"/>
      <w:outlineLvl w:val="9"/>
    </w:pPr>
    <w:rPr>
      <w:noProof/>
      <w:sz w:val="24"/>
    </w:rPr>
  </w:style>
  <w:style w:type="paragraph" w:customStyle="1" w:styleId="MiniTOCItem">
    <w:name w:val="MiniTOCItem"/>
    <w:basedOn w:val="ListBullet"/>
    <w:rsid w:val="00EC2DC6"/>
    <w:pPr>
      <w:numPr>
        <w:numId w:val="0"/>
      </w:numPr>
      <w:tabs>
        <w:tab w:val="right" w:leader="dot" w:pos="6521"/>
      </w:tabs>
      <w:spacing w:before="0" w:after="0"/>
    </w:pPr>
  </w:style>
  <w:style w:type="paragraph" w:customStyle="1" w:styleId="TOFTitle">
    <w:name w:val="TOFTitle"/>
    <w:basedOn w:val="TOCTitle"/>
    <w:rsid w:val="00EC2DC6"/>
  </w:style>
  <w:style w:type="paragraph" w:styleId="TableofFigures">
    <w:name w:val="table of figures"/>
    <w:basedOn w:val="Normal"/>
    <w:next w:val="Normal"/>
    <w:semiHidden/>
    <w:rsid w:val="00EC2DC6"/>
    <w:pPr>
      <w:tabs>
        <w:tab w:val="right" w:leader="dot" w:pos="9072"/>
      </w:tabs>
      <w:ind w:left="970" w:hanging="403"/>
    </w:pPr>
    <w:rPr>
      <w:rFonts w:ascii="Times New Roman" w:hAnsi="Times New Roman"/>
      <w:b/>
    </w:rPr>
  </w:style>
  <w:style w:type="paragraph" w:styleId="ListNumber">
    <w:name w:val="List Number"/>
    <w:basedOn w:val="List"/>
    <w:rsid w:val="00EC2DC6"/>
    <w:pPr>
      <w:numPr>
        <w:numId w:val="12"/>
      </w:numPr>
    </w:pPr>
  </w:style>
  <w:style w:type="character" w:customStyle="1" w:styleId="WingdingSymbols">
    <w:name w:val="Wingding Symbols"/>
    <w:rsid w:val="00EC2DC6"/>
    <w:rPr>
      <w:rFonts w:ascii="Wingdings" w:hAnsi="Wingdings"/>
    </w:rPr>
  </w:style>
  <w:style w:type="paragraph" w:customStyle="1" w:styleId="TableHeading">
    <w:name w:val="Table Heading"/>
    <w:basedOn w:val="HeadingBase"/>
    <w:rsid w:val="00EC2DC6"/>
    <w:pPr>
      <w:keepLines/>
      <w:pBdr>
        <w:bottom w:val="single" w:sz="6" w:space="1" w:color="918585"/>
      </w:pBdr>
      <w:spacing w:before="240"/>
    </w:pPr>
  </w:style>
  <w:style w:type="character" w:customStyle="1" w:styleId="HotSpot">
    <w:name w:val="HotSpot"/>
    <w:rsid w:val="00EC2DC6"/>
    <w:rPr>
      <w:color w:val="0033CC"/>
      <w:u w:val="none"/>
    </w:rPr>
  </w:style>
  <w:style w:type="paragraph" w:customStyle="1" w:styleId="BodyTextRight">
    <w:name w:val="Body Text Right"/>
    <w:basedOn w:val="BodyText"/>
    <w:rsid w:val="00EC2DC6"/>
    <w:pPr>
      <w:spacing w:before="0" w:after="0"/>
      <w:jc w:val="right"/>
    </w:pPr>
  </w:style>
  <w:style w:type="paragraph" w:styleId="Index3">
    <w:name w:val="index 3"/>
    <w:basedOn w:val="ListNumber2"/>
    <w:next w:val="Normal"/>
    <w:semiHidden/>
    <w:rsid w:val="00EC2DC6"/>
    <w:pPr>
      <w:numPr>
        <w:numId w:val="0"/>
      </w:numPr>
      <w:tabs>
        <w:tab w:val="right" w:leader="dot" w:pos="4176"/>
      </w:tabs>
    </w:pPr>
  </w:style>
  <w:style w:type="paragraph" w:styleId="ListNumber2">
    <w:name w:val="List Number 2"/>
    <w:basedOn w:val="List2"/>
    <w:rsid w:val="00EC2DC6"/>
    <w:pPr>
      <w:numPr>
        <w:numId w:val="11"/>
      </w:numPr>
      <w:tabs>
        <w:tab w:val="clear" w:pos="1060"/>
      </w:tabs>
    </w:pPr>
  </w:style>
  <w:style w:type="paragraph" w:customStyle="1" w:styleId="MarginNote">
    <w:name w:val="Margin Note"/>
    <w:basedOn w:val="BodyText"/>
    <w:rsid w:val="00EC2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D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2DC6"/>
    <w:rPr>
      <w:sz w:val="32"/>
    </w:rPr>
  </w:style>
  <w:style w:type="paragraph" w:customStyle="1" w:styleId="HeadingProcedure">
    <w:name w:val="Heading Procedure"/>
    <w:basedOn w:val="HeadingBase"/>
    <w:next w:val="Normal"/>
    <w:rsid w:val="00EC2DC6"/>
    <w:pPr>
      <w:tabs>
        <w:tab w:val="left" w:pos="0"/>
      </w:tabs>
      <w:spacing w:before="120" w:after="60"/>
    </w:pPr>
    <w:rPr>
      <w:i/>
      <w:color w:val="918585"/>
      <w:sz w:val="22"/>
    </w:rPr>
  </w:style>
  <w:style w:type="paragraph" w:customStyle="1" w:styleId="TableBodyText">
    <w:name w:val="Table Body Text"/>
    <w:basedOn w:val="BodyText"/>
    <w:rsid w:val="00EC2DC6"/>
    <w:pPr>
      <w:spacing w:before="60" w:after="60"/>
    </w:pPr>
  </w:style>
  <w:style w:type="paragraph" w:styleId="ListContinue">
    <w:name w:val="List Continue"/>
    <w:basedOn w:val="List"/>
    <w:rsid w:val="00EC2DC6"/>
    <w:pPr>
      <w:ind w:firstLine="0"/>
    </w:pPr>
  </w:style>
  <w:style w:type="paragraph" w:customStyle="1" w:styleId="ListNote">
    <w:name w:val="List Note"/>
    <w:basedOn w:val="List"/>
    <w:rsid w:val="00EC2DC6"/>
    <w:pPr>
      <w:pBdr>
        <w:top w:val="single" w:sz="6" w:space="2" w:color="918585"/>
        <w:bottom w:val="single" w:sz="6" w:space="2" w:color="918585"/>
      </w:pBdr>
      <w:tabs>
        <w:tab w:val="left" w:pos="1021"/>
      </w:tabs>
      <w:ind w:firstLine="0"/>
    </w:pPr>
  </w:style>
  <w:style w:type="paragraph" w:customStyle="1" w:styleId="Warning">
    <w:name w:val="Warning"/>
    <w:basedOn w:val="BodyText"/>
    <w:rsid w:val="00EC2DC6"/>
    <w:pPr>
      <w:shd w:val="clear" w:color="auto" w:fill="D9D9D9"/>
      <w:tabs>
        <w:tab w:val="left" w:pos="992"/>
      </w:tabs>
      <w:ind w:left="119" w:right="119"/>
    </w:pPr>
    <w:rPr>
      <w:sz w:val="20"/>
    </w:rPr>
  </w:style>
  <w:style w:type="paragraph" w:customStyle="1" w:styleId="MarginIcons">
    <w:name w:val="Margin Icons"/>
    <w:basedOn w:val="BodyText"/>
    <w:rsid w:val="00EC2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DC6"/>
    <w:rPr>
      <w:rFonts w:ascii="Courier New" w:hAnsi="Courier New"/>
    </w:rPr>
  </w:style>
  <w:style w:type="paragraph" w:customStyle="1" w:styleId="NoteBullet">
    <w:name w:val="Note Bullet"/>
    <w:basedOn w:val="Note"/>
    <w:rsid w:val="00EC2DC6"/>
    <w:pPr>
      <w:tabs>
        <w:tab w:val="clear" w:pos="680"/>
      </w:tabs>
      <w:spacing w:before="60" w:after="60"/>
    </w:pPr>
  </w:style>
  <w:style w:type="paragraph" w:customStyle="1" w:styleId="SubHeading2">
    <w:name w:val="SubHeading2"/>
    <w:basedOn w:val="HeadingBase"/>
    <w:rsid w:val="00EC2DC6"/>
    <w:pPr>
      <w:spacing w:before="240" w:after="60"/>
    </w:pPr>
    <w:rPr>
      <w:sz w:val="20"/>
    </w:rPr>
  </w:style>
  <w:style w:type="paragraph" w:customStyle="1" w:styleId="SubHeading1">
    <w:name w:val="SubHeading1"/>
    <w:basedOn w:val="HeadingBase"/>
    <w:rsid w:val="00EC2DC6"/>
    <w:pPr>
      <w:spacing w:before="240" w:after="60"/>
    </w:pPr>
    <w:rPr>
      <w:color w:val="918585"/>
      <w:sz w:val="22"/>
    </w:rPr>
  </w:style>
  <w:style w:type="paragraph" w:customStyle="1" w:styleId="SideHeading">
    <w:name w:val="Side Heading"/>
    <w:basedOn w:val="HeadingBase"/>
    <w:rsid w:val="00EC2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DC6"/>
    <w:pPr>
      <w:numPr>
        <w:numId w:val="13"/>
      </w:numPr>
    </w:pPr>
  </w:style>
  <w:style w:type="paragraph" w:styleId="PlainText">
    <w:name w:val="Plain Text"/>
    <w:basedOn w:val="Normal"/>
    <w:link w:val="PlainTextChar"/>
    <w:rsid w:val="00EC2DC6"/>
    <w:rPr>
      <w:sz w:val="20"/>
    </w:rPr>
  </w:style>
  <w:style w:type="character" w:customStyle="1" w:styleId="PlainTextChar">
    <w:name w:val="Plain Text Char"/>
    <w:basedOn w:val="DefaultParagraphFont"/>
    <w:link w:val="PlainText"/>
    <w:rsid w:val="00EC2D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2DC6"/>
    <w:rPr>
      <w:b/>
      <w:smallCaps/>
    </w:rPr>
  </w:style>
  <w:style w:type="paragraph" w:customStyle="1" w:styleId="TableListNumber">
    <w:name w:val="Table List Number"/>
    <w:basedOn w:val="ListNumber"/>
    <w:rsid w:val="00EC2DC6"/>
    <w:pPr>
      <w:numPr>
        <w:numId w:val="0"/>
      </w:numPr>
    </w:pPr>
  </w:style>
  <w:style w:type="paragraph" w:styleId="TOC4">
    <w:name w:val="toc 4"/>
    <w:basedOn w:val="TOCBase"/>
    <w:next w:val="Normal"/>
    <w:semiHidden/>
    <w:rsid w:val="00EC2DC6"/>
    <w:pPr>
      <w:tabs>
        <w:tab w:val="right" w:leader="dot" w:pos="9071"/>
      </w:tabs>
      <w:ind w:left="1701"/>
    </w:pPr>
  </w:style>
  <w:style w:type="paragraph" w:customStyle="1" w:styleId="ListAlpha">
    <w:name w:val="List Alpha"/>
    <w:basedOn w:val="List"/>
    <w:rsid w:val="00EC2DC6"/>
    <w:pPr>
      <w:numPr>
        <w:numId w:val="10"/>
      </w:numPr>
    </w:pPr>
  </w:style>
  <w:style w:type="paragraph" w:customStyle="1" w:styleId="ListAlpha2">
    <w:name w:val="List Alpha 2"/>
    <w:basedOn w:val="List2"/>
    <w:rsid w:val="00EC2DC6"/>
    <w:pPr>
      <w:numPr>
        <w:numId w:val="9"/>
      </w:numPr>
    </w:pPr>
  </w:style>
  <w:style w:type="paragraph" w:styleId="List2">
    <w:name w:val="List 2"/>
    <w:basedOn w:val="BodyText"/>
    <w:rsid w:val="00EC2DC6"/>
    <w:pPr>
      <w:tabs>
        <w:tab w:val="left" w:pos="680"/>
      </w:tabs>
      <w:spacing w:before="60" w:after="60"/>
      <w:ind w:left="680" w:hanging="340"/>
    </w:pPr>
  </w:style>
  <w:style w:type="paragraph" w:styleId="List3">
    <w:name w:val="List 3"/>
    <w:basedOn w:val="BodyText"/>
    <w:rsid w:val="00EC2DC6"/>
    <w:pPr>
      <w:tabs>
        <w:tab w:val="left" w:pos="1021"/>
      </w:tabs>
      <w:spacing w:before="60" w:after="60"/>
      <w:ind w:left="1020" w:hanging="340"/>
    </w:pPr>
  </w:style>
  <w:style w:type="paragraph" w:styleId="List4">
    <w:name w:val="List 4"/>
    <w:basedOn w:val="BodyText"/>
    <w:rsid w:val="00EC2DC6"/>
    <w:pPr>
      <w:tabs>
        <w:tab w:val="left" w:pos="1361"/>
      </w:tabs>
      <w:spacing w:before="60" w:after="60"/>
      <w:ind w:left="1361" w:hanging="340"/>
    </w:pPr>
  </w:style>
  <w:style w:type="paragraph" w:styleId="List5">
    <w:name w:val="List 5"/>
    <w:basedOn w:val="BodyText"/>
    <w:rsid w:val="00EC2DC6"/>
    <w:pPr>
      <w:tabs>
        <w:tab w:val="left" w:pos="1701"/>
      </w:tabs>
      <w:spacing w:before="60" w:after="60"/>
      <w:ind w:left="1701" w:hanging="340"/>
    </w:pPr>
  </w:style>
  <w:style w:type="paragraph" w:styleId="ListBullet4">
    <w:name w:val="List Bullet 4"/>
    <w:basedOn w:val="List4"/>
    <w:rsid w:val="00EC2DC6"/>
    <w:pPr>
      <w:numPr>
        <w:numId w:val="4"/>
      </w:numPr>
    </w:pPr>
  </w:style>
  <w:style w:type="paragraph" w:styleId="ListBullet5">
    <w:name w:val="List Bullet 5"/>
    <w:basedOn w:val="List5"/>
    <w:rsid w:val="00EC2DC6"/>
    <w:pPr>
      <w:numPr>
        <w:numId w:val="5"/>
      </w:numPr>
    </w:pPr>
  </w:style>
  <w:style w:type="paragraph" w:styleId="ListContinue2">
    <w:name w:val="List Continue 2"/>
    <w:basedOn w:val="List2"/>
    <w:rsid w:val="00EC2DC6"/>
    <w:pPr>
      <w:ind w:firstLine="0"/>
    </w:pPr>
  </w:style>
  <w:style w:type="paragraph" w:styleId="ListContinue3">
    <w:name w:val="List Continue 3"/>
    <w:basedOn w:val="List3"/>
    <w:rsid w:val="00EC2DC6"/>
    <w:pPr>
      <w:ind w:left="1021" w:firstLine="0"/>
    </w:pPr>
  </w:style>
  <w:style w:type="paragraph" w:styleId="ListContinue4">
    <w:name w:val="List Continue 4"/>
    <w:basedOn w:val="List4"/>
    <w:rsid w:val="00EC2DC6"/>
    <w:pPr>
      <w:ind w:firstLine="0"/>
    </w:pPr>
  </w:style>
  <w:style w:type="paragraph" w:styleId="ListContinue5">
    <w:name w:val="List Continue 5"/>
    <w:basedOn w:val="List5"/>
    <w:rsid w:val="00EC2DC6"/>
    <w:pPr>
      <w:ind w:firstLine="0"/>
    </w:pPr>
  </w:style>
  <w:style w:type="paragraph" w:styleId="ListNumber3">
    <w:name w:val="List Number 3"/>
    <w:basedOn w:val="List3"/>
    <w:rsid w:val="00EC2DC6"/>
    <w:pPr>
      <w:numPr>
        <w:numId w:val="6"/>
      </w:numPr>
    </w:pPr>
  </w:style>
  <w:style w:type="paragraph" w:styleId="ListNumber4">
    <w:name w:val="List Number 4"/>
    <w:basedOn w:val="List4"/>
    <w:rsid w:val="00EC2DC6"/>
    <w:pPr>
      <w:numPr>
        <w:numId w:val="7"/>
      </w:numPr>
    </w:pPr>
  </w:style>
  <w:style w:type="paragraph" w:styleId="ListNumber5">
    <w:name w:val="List Number 5"/>
    <w:basedOn w:val="List5"/>
    <w:rsid w:val="00EC2DC6"/>
    <w:pPr>
      <w:numPr>
        <w:numId w:val="8"/>
      </w:numPr>
    </w:pPr>
  </w:style>
  <w:style w:type="paragraph" w:styleId="BlockText">
    <w:name w:val="Block Text"/>
    <w:basedOn w:val="Normal"/>
    <w:rsid w:val="00EC2DC6"/>
    <w:pPr>
      <w:spacing w:after="120"/>
      <w:ind w:left="1440" w:right="1440"/>
    </w:pPr>
  </w:style>
  <w:style w:type="character" w:customStyle="1" w:styleId="Subscript">
    <w:name w:val="Subscript"/>
    <w:basedOn w:val="DefaultParagraphFont"/>
    <w:rsid w:val="00EC2DC6"/>
    <w:rPr>
      <w:sz w:val="16"/>
      <w:vertAlign w:val="subscript"/>
    </w:rPr>
  </w:style>
  <w:style w:type="character" w:customStyle="1" w:styleId="Superscript">
    <w:name w:val="Superscript"/>
    <w:basedOn w:val="DefaultParagraphFont"/>
    <w:rsid w:val="00EC2DC6"/>
    <w:rPr>
      <w:sz w:val="16"/>
      <w:vertAlign w:val="superscript"/>
    </w:rPr>
  </w:style>
  <w:style w:type="character" w:customStyle="1" w:styleId="Symbols">
    <w:name w:val="Symbols"/>
    <w:basedOn w:val="DefaultParagraphFont"/>
    <w:rsid w:val="00EC2DC6"/>
    <w:rPr>
      <w:rFonts w:ascii="Symbol" w:hAnsi="Symbol"/>
    </w:rPr>
  </w:style>
  <w:style w:type="character" w:customStyle="1" w:styleId="MenuOptions">
    <w:name w:val="Menu Options"/>
    <w:basedOn w:val="DefaultParagraphFont"/>
    <w:rsid w:val="00EC2DC6"/>
    <w:rPr>
      <w:rFonts w:ascii="Arial Narrow" w:hAnsi="Arial Narrow"/>
      <w:smallCaps/>
    </w:rPr>
  </w:style>
  <w:style w:type="character" w:customStyle="1" w:styleId="Buttons">
    <w:name w:val="Buttons"/>
    <w:basedOn w:val="DefaultParagraphFont"/>
    <w:rsid w:val="00EC2DC6"/>
    <w:rPr>
      <w:b/>
    </w:rPr>
  </w:style>
  <w:style w:type="character" w:customStyle="1" w:styleId="Underlined">
    <w:name w:val="Underlined"/>
    <w:basedOn w:val="DefaultParagraphFont"/>
    <w:rsid w:val="00EC2DC6"/>
    <w:rPr>
      <w:u w:val="single"/>
    </w:rPr>
  </w:style>
  <w:style w:type="paragraph" w:customStyle="1" w:styleId="TableBodyTextRight">
    <w:name w:val="Table Body Text Right"/>
    <w:basedOn w:val="TableBodyText"/>
    <w:rsid w:val="00EC2DC6"/>
    <w:pPr>
      <w:widowControl w:val="0"/>
      <w:autoSpaceDE w:val="0"/>
      <w:autoSpaceDN w:val="0"/>
      <w:adjustRightInd w:val="0"/>
      <w:jc w:val="right"/>
    </w:pPr>
    <w:rPr>
      <w:rFonts w:cs="Arial"/>
      <w:szCs w:val="18"/>
    </w:rPr>
  </w:style>
  <w:style w:type="paragraph" w:customStyle="1" w:styleId="CopyrightText">
    <w:name w:val="Copyright Text"/>
    <w:basedOn w:val="BodyText"/>
    <w:rsid w:val="00EC2DC6"/>
    <w:rPr>
      <w:sz w:val="18"/>
    </w:rPr>
  </w:style>
  <w:style w:type="paragraph" w:customStyle="1" w:styleId="BodySmallRight">
    <w:name w:val="Body Small Right"/>
    <w:basedOn w:val="BodyTextRight"/>
    <w:rsid w:val="00EC2DC6"/>
    <w:rPr>
      <w:sz w:val="18"/>
      <w:szCs w:val="18"/>
    </w:rPr>
  </w:style>
  <w:style w:type="paragraph" w:customStyle="1" w:styleId="MarginEdition">
    <w:name w:val="Margin Edition"/>
    <w:basedOn w:val="MarginNote"/>
    <w:rsid w:val="00EC2DC6"/>
    <w:pPr>
      <w:spacing w:before="0" w:after="0"/>
    </w:pPr>
    <w:rPr>
      <w:rFonts w:ascii="Times New Roman" w:hAnsi="Times New Roman"/>
      <w:color w:val="999999"/>
    </w:rPr>
  </w:style>
  <w:style w:type="paragraph" w:customStyle="1" w:styleId="Spacer">
    <w:name w:val="Spacer"/>
    <w:basedOn w:val="Normal"/>
    <w:rsid w:val="00EC2DC6"/>
    <w:rPr>
      <w:sz w:val="2"/>
      <w:szCs w:val="2"/>
    </w:rPr>
  </w:style>
  <w:style w:type="character" w:customStyle="1" w:styleId="Small">
    <w:name w:val="Small"/>
    <w:basedOn w:val="DefaultParagraphFont"/>
    <w:rsid w:val="00EC2DC6"/>
    <w:rPr>
      <w:sz w:val="16"/>
    </w:rPr>
  </w:style>
  <w:style w:type="paragraph" w:customStyle="1" w:styleId="WideTable">
    <w:name w:val="Wide Table"/>
    <w:basedOn w:val="Normal"/>
    <w:rsid w:val="00EC2DC6"/>
    <w:pPr>
      <w:ind w:left="-1418"/>
    </w:pPr>
    <w:rPr>
      <w:sz w:val="2"/>
      <w:szCs w:val="2"/>
    </w:rPr>
  </w:style>
  <w:style w:type="character" w:styleId="PageNumber">
    <w:name w:val="page number"/>
    <w:basedOn w:val="DefaultParagraphFont"/>
    <w:rsid w:val="00EC2DC6"/>
  </w:style>
  <w:style w:type="paragraph" w:styleId="Quote">
    <w:name w:val="Quote"/>
    <w:basedOn w:val="Heading1"/>
    <w:link w:val="QuoteChar"/>
    <w:qFormat/>
    <w:rsid w:val="00EC2DC6"/>
    <w:rPr>
      <w:b w:val="0"/>
      <w:sz w:val="72"/>
      <w:szCs w:val="72"/>
      <w:lang w:val="en-NZ"/>
    </w:rPr>
  </w:style>
  <w:style w:type="character" w:customStyle="1" w:styleId="QuoteChar">
    <w:name w:val="Quote Char"/>
    <w:basedOn w:val="DefaultParagraphFont"/>
    <w:link w:val="Quote"/>
    <w:rsid w:val="00EC2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DC6"/>
    <w:pPr>
      <w:pageBreakBefore/>
    </w:pPr>
  </w:style>
  <w:style w:type="paragraph" w:customStyle="1" w:styleId="Border">
    <w:name w:val="Border"/>
    <w:basedOn w:val="Normal"/>
    <w:qFormat/>
    <w:rsid w:val="00EC2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DC6"/>
    <w:rPr>
      <w:b/>
      <w:bCs/>
      <w:i/>
      <w:iCs/>
      <w:color w:val="auto"/>
    </w:rPr>
  </w:style>
  <w:style w:type="paragraph" w:styleId="IntenseQuote">
    <w:name w:val="Intense Quote"/>
    <w:basedOn w:val="Normal"/>
    <w:next w:val="Normal"/>
    <w:link w:val="IntenseQuoteChar"/>
    <w:uiPriority w:val="30"/>
    <w:qFormat/>
    <w:rsid w:val="00EC2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D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2DC6"/>
    <w:rPr>
      <w:smallCaps/>
      <w:color w:val="auto"/>
      <w:u w:val="single"/>
    </w:rPr>
  </w:style>
  <w:style w:type="character" w:styleId="IntenseReference">
    <w:name w:val="Intense Reference"/>
    <w:basedOn w:val="DefaultParagraphFont"/>
    <w:uiPriority w:val="32"/>
    <w:qFormat/>
    <w:rsid w:val="00EC2DC6"/>
    <w:rPr>
      <w:b/>
      <w:bCs/>
      <w:smallCaps/>
      <w:color w:val="auto"/>
      <w:spacing w:val="5"/>
      <w:u w:val="single"/>
    </w:rPr>
  </w:style>
  <w:style w:type="paragraph" w:customStyle="1" w:styleId="2ColumnHeading">
    <w:name w:val="2Column Heading"/>
    <w:basedOn w:val="BodyText"/>
    <w:qFormat/>
    <w:rsid w:val="00EC2DC6"/>
    <w:pPr>
      <w:spacing w:after="60"/>
      <w:ind w:left="-2268"/>
    </w:pPr>
    <w:rPr>
      <w:b/>
    </w:rPr>
  </w:style>
  <w:style w:type="paragraph" w:customStyle="1" w:styleId="Heading1TOC">
    <w:name w:val="Heading1 TOC"/>
    <w:basedOn w:val="Normal"/>
    <w:qFormat/>
    <w:rsid w:val="00EC2DC6"/>
    <w:pPr>
      <w:spacing w:before="240" w:after="120"/>
    </w:pPr>
    <w:rPr>
      <w:rFonts w:ascii="Times New Roman" w:hAnsi="Times New Roman"/>
      <w:b/>
      <w:sz w:val="32"/>
    </w:rPr>
  </w:style>
  <w:style w:type="paragraph" w:customStyle="1" w:styleId="Heading2TOC">
    <w:name w:val="Heading2 TOC"/>
    <w:basedOn w:val="Normal"/>
    <w:qFormat/>
    <w:rsid w:val="00EC2DC6"/>
    <w:pPr>
      <w:spacing w:before="240" w:after="60"/>
    </w:pPr>
    <w:rPr>
      <w:rFonts w:ascii="Times New Roman" w:hAnsi="Times New Roman"/>
      <w:b/>
      <w:sz w:val="28"/>
    </w:rPr>
  </w:style>
  <w:style w:type="character" w:customStyle="1" w:styleId="Underline">
    <w:name w:val="Underline"/>
    <w:basedOn w:val="DefaultParagraphFont"/>
    <w:qFormat/>
    <w:rsid w:val="00EC2DC6"/>
    <w:rPr>
      <w:u w:val="single"/>
    </w:rPr>
  </w:style>
  <w:style w:type="character" w:customStyle="1" w:styleId="BoldandItalics">
    <w:name w:val="Bold and Italics"/>
    <w:qFormat/>
    <w:rsid w:val="00EC2DC6"/>
    <w:rPr>
      <w:b/>
      <w:i/>
      <w:u w:val="none"/>
    </w:rPr>
  </w:style>
  <w:style w:type="paragraph" w:styleId="BalloonText">
    <w:name w:val="Balloon Text"/>
    <w:basedOn w:val="Normal"/>
    <w:link w:val="BalloonTextChar"/>
    <w:rsid w:val="00EC2DC6"/>
    <w:rPr>
      <w:rFonts w:ascii="Tahoma" w:hAnsi="Tahoma" w:cs="Tahoma"/>
      <w:sz w:val="16"/>
      <w:szCs w:val="16"/>
    </w:rPr>
  </w:style>
  <w:style w:type="character" w:customStyle="1" w:styleId="BalloonTextChar">
    <w:name w:val="Balloon Text Char"/>
    <w:basedOn w:val="DefaultParagraphFont"/>
    <w:link w:val="BalloonText"/>
    <w:rsid w:val="00EC2D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2D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D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3560</Words>
  <Characters>23814</Characters>
  <Application>Microsoft Office Word</Application>
  <DocSecurity>0</DocSecurity>
  <Lines>793</Lines>
  <Paragraphs>315</Paragraphs>
  <ScaleCrop>false</ScaleCrop>
  <Company>Author-it Software Corporation Ltd.</Company>
  <LinksUpToDate>false</LinksUpToDate>
  <CharactersWithSpaces>27174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UETTDRTS36A Commission complex network protection and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2012-05-26T12:27:00Z</dcterms:created>
  <dcterms:modified xsi:type="dcterms:W3CDTF">2012-05-26T12:27:00Z</dcterms:modified>
</cp:coreProperties>
</file>