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729" w:rsidP="00B03729">
      <w:pPr>
        <w:pStyle w:val="Title"/>
      </w:pPr>
      <w:r>
        <w:fldChar w:fldCharType="begin"/>
      </w:r>
      <w:r>
        <w:instrText xml:space="preserve"> TITLE   \* MERGEFORMAT </w:instrText>
      </w:r>
      <w:r>
        <w:fldChar w:fldCharType="separate"/>
      </w:r>
      <w:r>
        <w:t>UETTDRTS35A Maintain complex network protection and control systems</w:t>
      </w:r>
      <w:r>
        <w:fldChar w:fldCharType="end"/>
      </w:r>
    </w:p>
    <w:p w:rsidR="00B03729" w:rsidP="00B03729">
      <w:pPr>
        <w:pStyle w:val="Version"/>
        <w:sectPr w:rsidSect="004A6C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C17" w:rsidP="004A6C17">
      <w:pPr>
        <w:pStyle w:val="SuperHeading"/>
      </w:pPr>
      <w:r w:rsidRPr="004A6C17">
        <w:t>UETTDRTS35A Maintain complex network protection and control systems</w:t>
      </w:r>
    </w:p>
    <w:p w:rsidR="00000000" w:rsidRPr="004A6C17" w:rsidP="004A6C17">
      <w:pPr>
        <w:pStyle w:val="Heading1"/>
      </w:pPr>
      <w:bookmarkStart w:id="1" w:name="O_464724"/>
      <w:bookmarkEnd w:id="1"/>
      <w:r w:rsidRPr="004A6C17">
        <w:t>Modification History</w:t>
      </w:r>
    </w:p>
    <w:p w:rsidR="00000000" w:rsidRPr="004A6C17" w:rsidP="004A6C17">
      <w:pPr>
        <w:pStyle w:val="BodyText"/>
      </w:pPr>
      <w:r w:rsidRPr="004A6C17">
        <w:t>Not applicable.</w:t>
      </w:r>
    </w:p>
    <w:p w:rsidR="00000000" w:rsidRPr="004A6C17" w:rsidP="004A6C17">
      <w:pPr>
        <w:pStyle w:val="AllowPageBreak"/>
      </w:pPr>
    </w:p>
    <w:p w:rsidR="00000000" w:rsidRPr="004A6C17" w:rsidP="004A6C17">
      <w:pPr>
        <w:pStyle w:val="Heading1"/>
      </w:pPr>
      <w:bookmarkStart w:id="2" w:name="O_464722"/>
      <w:bookmarkEnd w:id="2"/>
      <w:r w:rsidRPr="004A6C17">
        <w:t>Unit Descriptor</w:t>
      </w:r>
    </w:p>
    <w:tbl>
      <w:tblPr>
        <w:tblW w:w="0" w:type="auto"/>
        <w:tblLayout w:type="fixed"/>
        <w:tblCellMar>
          <w:left w:w="62" w:type="dxa"/>
          <w:right w:w="62" w:type="dxa"/>
        </w:tblCellMar>
        <w:tblLook w:val="0000"/>
      </w:tblPr>
      <w:tblGrid>
        <w:gridCol w:w="2700"/>
        <w:gridCol w:w="5760"/>
      </w:tblGrid>
      <w:tr w:rsidTr="00B037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1)</w:t>
            </w:r>
            <w:r w:rsidRPr="004A6C17">
              <w:t xml:space="preserve"> </w:t>
            </w:r>
            <w:r w:rsidRPr="004A6C17">
              <w:rPr>
                <w:rStyle w:val="SpecialBold"/>
              </w:rPr>
              <w:t>Scope:</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6C1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1.1) Descriptor</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t>This Competency Standard Unit covers the maintenance of network protection and control systems in complex situations and includes isolation, inspection, monitoring, testing, adjustment, and repair, refurbishment and or overhaul and functional checks. It in</w:t>
            </w:r>
            <w:r w:rsidRPr="004A6C17">
              <w:t>cludes schemes from discrete and interdependent and also schemes such as, distance, differential, transformer differential, bus zone, bus overcurrent, revenue metering, SCADA, communications, harmonic control, point on wave.</w:t>
            </w:r>
          </w:p>
        </w:tc>
      </w:tr>
    </w:tbl>
    <w:p w:rsidR="00000000" w:rsidRPr="004A6C17" w:rsidP="004A6C17">
      <w:pPr>
        <w:pStyle w:val="BodyText"/>
      </w:pPr>
    </w:p>
    <w:p w:rsidR="00000000" w:rsidRPr="004A6C17" w:rsidP="004A6C17">
      <w:pPr>
        <w:pStyle w:val="AllowPageBreak"/>
      </w:pPr>
    </w:p>
    <w:p w:rsidR="00000000" w:rsidRPr="004A6C17" w:rsidP="004A6C17">
      <w:pPr>
        <w:pStyle w:val="Heading1"/>
      </w:pPr>
      <w:bookmarkStart w:id="3" w:name="O_464711"/>
      <w:bookmarkEnd w:id="3"/>
      <w:r w:rsidRPr="004A6C17">
        <w:t xml:space="preserve">Application </w:t>
      </w:r>
      <w:r w:rsidRPr="004A6C17">
        <w:t>of the Unit</w:t>
      </w:r>
    </w:p>
    <w:tbl>
      <w:tblPr>
        <w:tblW w:w="0" w:type="auto"/>
        <w:tblLayout w:type="fixed"/>
        <w:tblCellMar>
          <w:left w:w="62" w:type="dxa"/>
          <w:right w:w="62" w:type="dxa"/>
        </w:tblCellMar>
        <w:tblLook w:val="0000"/>
      </w:tblPr>
      <w:tblGrid>
        <w:gridCol w:w="2672"/>
        <w:gridCol w:w="5699"/>
      </w:tblGrid>
      <w:tr w:rsidTr="00B0372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2)</w:t>
            </w:r>
          </w:p>
        </w:tc>
      </w:tr>
      <w:tr w:rsidTr="00B0372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t>This competency standards unit is intended to apply to any recognised development program that leads to the acquisition of a formal award at AQF level 6 or higher.</w:t>
            </w:r>
          </w:p>
        </w:tc>
      </w:tr>
    </w:tbl>
    <w:p w:rsidR="00000000" w:rsidRPr="004A6C17" w:rsidP="004A6C17">
      <w:pPr>
        <w:pStyle w:val="BodyText"/>
      </w:pPr>
    </w:p>
    <w:p w:rsidR="00000000" w:rsidRPr="004A6C17" w:rsidP="004A6C17">
      <w:pPr>
        <w:pStyle w:val="AllowPageBreak"/>
      </w:pPr>
    </w:p>
    <w:p w:rsidR="00000000" w:rsidRPr="004A6C17" w:rsidP="004A6C17">
      <w:pPr>
        <w:pStyle w:val="Heading1"/>
      </w:pPr>
      <w:bookmarkStart w:id="4" w:name="O_464718"/>
      <w:bookmarkEnd w:id="4"/>
      <w:r w:rsidRPr="004A6C17">
        <w:t>Licensing/Regulatory Information</w:t>
      </w:r>
    </w:p>
    <w:tbl>
      <w:tblPr>
        <w:tblW w:w="0" w:type="auto"/>
        <w:tblLayout w:type="fixed"/>
        <w:tblCellMar>
          <w:left w:w="62" w:type="dxa"/>
          <w:right w:w="62" w:type="dxa"/>
        </w:tblCellMar>
        <w:tblLook w:val="0000"/>
      </w:tblPr>
      <w:tblGrid>
        <w:gridCol w:w="2700"/>
        <w:gridCol w:w="5760"/>
      </w:tblGrid>
      <w:tr w:rsidTr="00B037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 xml:space="preserve">3) </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t>The skills and knowledge described in this unit may require a licence/registration to practice in the work place subject to regulations for undertaking of electrical work. Practice in workplace and during training is also subject</w:t>
            </w:r>
            <w:r w:rsidRPr="004A6C17">
              <w:t xml:space="preserve"> to regulations directly related to Occupational Health and Safety, electricity/telecommunications/gas/water industry safety and compliance, industrial relations, environmental </w:t>
            </w:r>
            <w:r w:rsidRPr="004A6C17">
              <w:t xml:space="preserve">protection, anti discrimination and training. Commonwealth, State/Territory or </w:t>
            </w:r>
            <w:r w:rsidRPr="004A6C17">
              <w:t>Local Government legislation and regulations may exist that limits the age of operating certain equipment.</w:t>
            </w:r>
          </w:p>
        </w:tc>
      </w:tr>
    </w:tbl>
    <w:p w:rsidR="00000000" w:rsidRPr="004A6C17" w:rsidP="004A6C17">
      <w:pPr>
        <w:pStyle w:val="BodyText"/>
      </w:pPr>
    </w:p>
    <w:p w:rsidR="00000000" w:rsidRPr="004A6C17" w:rsidP="004A6C17">
      <w:pPr>
        <w:pStyle w:val="AllowPageBreak"/>
      </w:pPr>
    </w:p>
    <w:p w:rsidR="00000000" w:rsidRPr="004A6C17" w:rsidP="004A6C17">
      <w:pPr>
        <w:pStyle w:val="Heading1"/>
      </w:pPr>
      <w:bookmarkStart w:id="5" w:name="O_464719"/>
      <w:bookmarkEnd w:id="5"/>
      <w:r w:rsidRPr="004A6C17">
        <w:t>Pre-Requisites</w:t>
      </w:r>
    </w:p>
    <w:tbl>
      <w:tblPr>
        <w:tblW w:w="0" w:type="auto"/>
        <w:tblLayout w:type="fixed"/>
        <w:tblCellMar>
          <w:left w:w="62" w:type="dxa"/>
          <w:right w:w="62" w:type="dxa"/>
        </w:tblCellMar>
        <w:tblLook w:val="0000"/>
      </w:tblPr>
      <w:tblGrid>
        <w:gridCol w:w="2700"/>
        <w:gridCol w:w="1980"/>
        <w:gridCol w:w="3780"/>
      </w:tblGrid>
      <w:tr w:rsidTr="00B037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 xml:space="preserve">4) </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4.1)</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t>Granting of competency in this unit shall be made only after competency in the following unit(s) has/have been confirmed.</w:t>
            </w:r>
          </w:p>
          <w:p w:rsidR="00000000" w:rsidRPr="004A6C17" w:rsidP="004A6C17">
            <w:pPr>
              <w:pStyle w:val="BodyText"/>
            </w:pPr>
            <w:r w:rsidRPr="004A6C17">
              <w:t xml:space="preserve">Where pre-requisite pathways have been identified. All competencies in the Common Unit Group must be have been completed plus all the </w:t>
            </w:r>
            <w:r w:rsidRPr="004A6C17">
              <w:t>competencies in one (1) of the identified Pathway Unit Group(s):</w:t>
            </w:r>
          </w:p>
          <w:p w:rsidR="00000000" w:rsidP="004A6C17">
            <w:pPr>
              <w:pStyle w:val="BodyText"/>
              <w:rPr>
                <w:lang w:val="en-NZ"/>
              </w:rPr>
            </w:pPr>
            <w:r w:rsidRPr="004A6C17">
              <w:t>Common Unit Group</w:t>
            </w:r>
          </w:p>
        </w:tc>
      </w:tr>
      <w:tr w:rsidTr="00B03729">
        <w:tblPrEx>
          <w:tblW w:w="0" w:type="auto"/>
          <w:tblLayout w:type="fixed"/>
          <w:tblCellMar>
            <w:left w:w="62" w:type="dxa"/>
            <w:right w:w="62" w:type="dxa"/>
          </w:tblCellMar>
          <w:tblLook w:val="0000"/>
        </w:tblPrEx>
        <w:trPr>
          <w:trHeight w:val="552"/>
        </w:trPr>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Unit Code</w:t>
            </w:r>
            <w:r w:rsidRPr="004A6C17">
              <w:tab/>
            </w:r>
          </w:p>
        </w:tc>
        <w:tc>
          <w:tcPr>
            <w:tcW w:w="3780" w:type="dxa"/>
            <w:tcBorders>
              <w:top w:val="nil"/>
              <w:left w:val="nil"/>
              <w:bottom w:val="nil"/>
              <w:right w:val="nil"/>
            </w:tcBorders>
            <w:tcMar>
              <w:top w:w="0" w:type="dxa"/>
              <w:left w:w="62" w:type="dxa"/>
              <w:bottom w:w="0" w:type="dxa"/>
              <w:right w:w="62" w:type="dxa"/>
            </w:tcMar>
            <w:vAlign w:val="bottom"/>
          </w:tcPr>
          <w:p w:rsidR="00000000" w:rsidP="004A6C17">
            <w:pPr>
              <w:pStyle w:val="BodyText"/>
              <w:rPr>
                <w:lang w:val="en-NZ"/>
              </w:rPr>
            </w:pPr>
            <w:r w:rsidRPr="004A6C17">
              <w:t>Unit Title</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4A6C17">
            <w:pPr>
              <w:pStyle w:val="BodyText"/>
              <w:rPr>
                <w:lang w:val="en-NZ"/>
              </w:rPr>
            </w:pPr>
            <w:r w:rsidRPr="004A6C17">
              <w:t>Use engineering applications software on personal computers</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Apply Occupational Health and Safety regulations, codes and practices in the workplace</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Fabricate, assemble and dismantle utilities industry components</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Solve problems in d.c. Circuits</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Use drawings, diagrams, schedules, standards, codes and specifications</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UEENEEE124A</w:t>
            </w:r>
          </w:p>
        </w:tc>
        <w:tc>
          <w:tcPr>
            <w:tcW w:w="378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Compile and produce an energy sector detailed report</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Provide engineering solutions for problems in complex multiple path circuits problems</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Provide solutions to basic engineering computational problems</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Solve problems in electromagnetic devices and related circuits</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Solve problems in electromagnetic devices and related circuits</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Provide engineering soluti</w:t>
            </w:r>
            <w:r w:rsidRPr="004A6C17">
              <w:t>ons to problems in complex polyphase power circuits</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Apply sustainable energy and environmental procedures</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 xml:space="preserve">Working safely near live electrical apparatus </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Implement and monitor the power system organisational OHS policies, procedures and programs</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Implement and monitor the power system environmental and sustainable energy management policies and procedures</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UETTDRTS21A</w:t>
            </w:r>
          </w:p>
        </w:tc>
        <w:tc>
          <w:tcPr>
            <w:tcW w:w="37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Maintain interdependent n</w:t>
            </w:r>
            <w:r w:rsidRPr="004A6C17">
              <w:t>etwork protection and control systems</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A6C17">
            <w:pPr>
              <w:pStyle w:val="BodyText"/>
              <w:rPr>
                <w:lang w:val="en-NZ"/>
              </w:rPr>
            </w:pPr>
            <w:r w:rsidRPr="004A6C17">
              <w:t>UETTDRTS29A</w:t>
            </w:r>
          </w:p>
        </w:tc>
        <w:tc>
          <w:tcPr>
            <w:tcW w:w="3780" w:type="dxa"/>
            <w:tcBorders>
              <w:top w:val="nil"/>
              <w:left w:val="nil"/>
              <w:bottom w:val="nil"/>
              <w:right w:val="nil"/>
            </w:tcBorders>
            <w:tcMar>
              <w:top w:w="0" w:type="dxa"/>
              <w:left w:w="62" w:type="dxa"/>
              <w:bottom w:w="0" w:type="dxa"/>
              <w:right w:w="62" w:type="dxa"/>
            </w:tcMar>
            <w:vAlign w:val="center"/>
          </w:tcPr>
          <w:p w:rsidR="00000000" w:rsidRPr="004A6C17" w:rsidP="004A6C17">
            <w:pPr>
              <w:pStyle w:val="BodyText"/>
            </w:pPr>
            <w:r w:rsidRPr="004A6C17">
              <w:t>Develop power systems secondary isolation instructional documents</w:t>
            </w:r>
          </w:p>
        </w:tc>
      </w:tr>
    </w:tbl>
    <w:p w:rsidR="00000000" w:rsidRPr="004A6C17" w:rsidP="004A6C1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0372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 xml:space="preserve">4.2) </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Participants are best equipped to achieve this unit if they have reading, writing and numeracy skills indicated by the following scales. Description of each scale is given in Volume 2, Part 3 “Literacy and Numeracy”</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Reading</w:t>
            </w:r>
          </w:p>
        </w:tc>
        <w:tc>
          <w:tcPr>
            <w:tcW w:w="81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5</w:t>
            </w:r>
          </w:p>
        </w:tc>
        <w:tc>
          <w:tcPr>
            <w:tcW w:w="99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Writing</w:t>
            </w:r>
          </w:p>
        </w:tc>
        <w:tc>
          <w:tcPr>
            <w:tcW w:w="90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5</w:t>
            </w:r>
          </w:p>
        </w:tc>
        <w:tc>
          <w:tcPr>
            <w:tcW w:w="126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Numeracy</w:t>
            </w:r>
          </w:p>
        </w:tc>
        <w:tc>
          <w:tcPr>
            <w:tcW w:w="72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t>5</w:t>
            </w:r>
          </w:p>
        </w:tc>
      </w:tr>
    </w:tbl>
    <w:p w:rsidR="00000000" w:rsidRPr="004A6C17" w:rsidP="004A6C17">
      <w:pPr>
        <w:pStyle w:val="BodyText"/>
      </w:pPr>
    </w:p>
    <w:p w:rsidR="00000000" w:rsidRPr="004A6C17" w:rsidP="004A6C17">
      <w:pPr>
        <w:pStyle w:val="AllowPageBreak"/>
      </w:pPr>
    </w:p>
    <w:p w:rsidR="00000000" w:rsidRPr="004A6C17" w:rsidP="004A6C17">
      <w:pPr>
        <w:pStyle w:val="Heading1"/>
      </w:pPr>
      <w:bookmarkStart w:id="6" w:name="O_464715"/>
      <w:bookmarkEnd w:id="6"/>
      <w:r w:rsidRPr="004A6C17">
        <w:t>Employability Skills Information</w:t>
      </w:r>
    </w:p>
    <w:tbl>
      <w:tblPr>
        <w:tblW w:w="0" w:type="auto"/>
        <w:tblLayout w:type="fixed"/>
        <w:tblCellMar>
          <w:left w:w="62" w:type="dxa"/>
          <w:right w:w="62" w:type="dxa"/>
        </w:tblCellMar>
        <w:tblLook w:val="0000"/>
      </w:tblPr>
      <w:tblGrid>
        <w:gridCol w:w="2700"/>
        <w:gridCol w:w="5760"/>
      </w:tblGrid>
      <w:tr w:rsidTr="00B037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 xml:space="preserve">5) </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t xml:space="preserve">The required outcomes described in this unit of competency contain applicable facets of Employability Skills. The Employability Skills Summary </w:t>
            </w:r>
            <w:r w:rsidRPr="004A6C17">
              <w:t>of the qualification in which this unit of competency is packaged will assist in identifying Employability Skill requirements.</w:t>
            </w:r>
          </w:p>
        </w:tc>
      </w:tr>
    </w:tbl>
    <w:p w:rsidR="00000000" w:rsidRPr="004A6C17" w:rsidP="004A6C17">
      <w:pPr>
        <w:pStyle w:val="BodyText"/>
      </w:pPr>
    </w:p>
    <w:p w:rsidR="00000000" w:rsidRPr="004A6C17" w:rsidP="004A6C17">
      <w:pPr>
        <w:pStyle w:val="AllowPageBreak"/>
      </w:pPr>
    </w:p>
    <w:p w:rsidR="00000000" w:rsidRPr="004A6C17" w:rsidP="004A6C17">
      <w:pPr>
        <w:pStyle w:val="Heading1"/>
      </w:pPr>
      <w:bookmarkStart w:id="7" w:name="O_464714"/>
      <w:bookmarkEnd w:id="7"/>
      <w:r w:rsidRPr="004A6C17">
        <w:t>Elements and Performance Criteria Pre-Content</w:t>
      </w:r>
    </w:p>
    <w:tbl>
      <w:tblPr>
        <w:tblW w:w="0" w:type="auto"/>
        <w:tblLayout w:type="fixed"/>
        <w:tblCellMar>
          <w:left w:w="62" w:type="dxa"/>
          <w:right w:w="62" w:type="dxa"/>
        </w:tblCellMar>
        <w:tblLook w:val="0000"/>
      </w:tblPr>
      <w:tblGrid>
        <w:gridCol w:w="2700"/>
        <w:gridCol w:w="5760"/>
      </w:tblGrid>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6)</w:t>
            </w:r>
            <w:r w:rsidRPr="004A6C17">
              <w:t xml:space="preserve"> Elements describe the essential outcomes of a competency stan</w:t>
            </w:r>
            <w:r w:rsidRPr="004A6C17">
              <w:t>dard unit</w:t>
            </w:r>
          </w:p>
        </w:tc>
        <w:tc>
          <w:tcPr>
            <w:tcW w:w="576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t>Performance Criteria describe the required performance needed to demonstrate achievement of the element. Assessment of performance is to be consistent with the Evidence Guide.</w:t>
            </w:r>
          </w:p>
        </w:tc>
      </w:tr>
    </w:tbl>
    <w:p w:rsidR="00000000" w:rsidRPr="004A6C17" w:rsidP="004A6C17">
      <w:pPr>
        <w:pStyle w:val="BodyText"/>
      </w:pPr>
    </w:p>
    <w:p w:rsidR="00000000" w:rsidRPr="004A6C17" w:rsidP="004A6C17">
      <w:pPr>
        <w:pStyle w:val="AllowPageBreak"/>
      </w:pPr>
    </w:p>
    <w:p w:rsidR="00000000" w:rsidRPr="004A6C17" w:rsidP="004A6C17">
      <w:pPr>
        <w:pStyle w:val="Heading1"/>
      </w:pPr>
      <w:bookmarkStart w:id="8" w:name="O_464713"/>
      <w:bookmarkEnd w:id="8"/>
      <w:r w:rsidRPr="004A6C17">
        <w:t>Elements and Performance Criteria</w:t>
      </w:r>
    </w:p>
    <w:tbl>
      <w:tblPr>
        <w:tblW w:w="0" w:type="auto"/>
        <w:tblLayout w:type="fixed"/>
        <w:tblCellMar>
          <w:left w:w="62" w:type="dxa"/>
          <w:right w:w="62" w:type="dxa"/>
        </w:tblCellMar>
        <w:tblLook w:val="0000"/>
      </w:tblPr>
      <w:tblGrid>
        <w:gridCol w:w="406"/>
        <w:gridCol w:w="2294"/>
        <w:gridCol w:w="838"/>
        <w:gridCol w:w="4922"/>
      </w:tblGrid>
      <w:tr w:rsidTr="00B0372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PERFORMANCE CRITERIA</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1</w:t>
            </w:r>
          </w:p>
        </w:tc>
        <w:tc>
          <w:tcPr>
            <w:tcW w:w="2294" w:type="dxa"/>
            <w:vMerge w:val="restart"/>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Plan for the maintenance of network protection and control systems (complex)</w:t>
            </w: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1.1</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OHS practices/procedures and Environmental and sustainable energy procedures, which may influence the maintenance of, network protection and control s</w:t>
            </w:r>
            <w:r w:rsidRPr="004A6C17">
              <w:t>ystems (complex) are reviewed and determined.</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1.2</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Purpose of the maintenance of network protection and control systems (complex) is established after data is analysed and expected outcomes of the work are confirmed with the appropriate personnel.</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1.3</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Organisational established procedures on policies and specifications for the maintenance of network protection and control systems (complex) are obtained or established with the appropriate personnel.</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1.4</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Testing procedures are discussed with and/or di</w:t>
            </w:r>
            <w:r w:rsidRPr="004A6C17">
              <w:t>rected to the appropriate personnel in order to ascertain the project brief.</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1.5</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Testing parameters are ascertained from organisational established procedures, policies and specifications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1.6</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Equipm</w:t>
            </w:r>
            <w:r w:rsidRPr="004A6C17">
              <w:t>ent/tools and personal protective equipment are selected based on specified Performance Criteria and established procedures.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1.7</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Work roles and tasks are allocated according to requirements and individuals’ competencies.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1.8</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Work is prioritised and s</w:t>
            </w:r>
            <w:r w:rsidRPr="004A6C17">
              <w:t>equenced for the most efficient/effective outcome, completed within an acceptable timeframe to a quality standard and in accordance with established procedures.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1.9</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Liaison and communication issues with other/authorised personnel, authorities, clients a</w:t>
            </w:r>
            <w:r w:rsidRPr="004A6C17">
              <w:t>nd land owners are resolved and activities coordinated to carry out work.</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1.10</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Risk control measures are identified, prioritised and evaluated against the work schedule.</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1.11</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Relevant work permits are secured to coordinate the performance of work according to requirements and/or established procedures.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2</w:t>
            </w:r>
          </w:p>
        </w:tc>
        <w:tc>
          <w:tcPr>
            <w:tcW w:w="2294" w:type="dxa"/>
            <w:vMerge w:val="restart"/>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Carry out the maintenance of network protection and control systems (complex)</w:t>
            </w: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2.1</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Circuit/systems modelling is used to evalu</w:t>
            </w:r>
            <w:r w:rsidRPr="004A6C17">
              <w:t>ate alternative proposals as per established procedures.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2.2</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 xml:space="preserve">OHS and sustainable energy principles, functionality and practices to reduce the incidents of accidents and minimise waste are incorporated </w:t>
            </w:r>
            <w:r w:rsidRPr="004A6C17">
              <w:t>into the project in accordance with requirements and/or established procedures.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2.3</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Maintenance of network protection and control systems (complex) decisions are made on the basis of safety and effective outcomes according to requirements and/or establi</w:t>
            </w:r>
            <w:r w:rsidRPr="004A6C17">
              <w:t>shed procedures.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2.4</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Mathematical and/or engineering models of the scheme are used to analyse the effectiveness of the finished project as per requirements and established procedures.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2.5</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Technical advice is given regarding potential hazards, safety risks and control measures so that monitoring and preventative action can be undertaken and/or appropriate authorities consulted, where necessary, in accordance with requirements and established</w:t>
            </w:r>
            <w:r w:rsidRPr="004A6C17">
              <w:t xml:space="preserve"> procedures.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2.6</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Essential knowledge and associated skills are applied to analyse specific data and compare it with compliance specifications to ensure completion of the project within an agreed timeframe according to requirements.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2.7</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Testing of net</w:t>
            </w:r>
            <w:r w:rsidRPr="004A6C17">
              <w:t>work protection and control systems (complex) is undertaken according to requirements and established procedures.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2.8</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Work teams/groups are arranged/coordinated/evaluated to ensure planned goals are met according to established procedures.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2.9</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Soluti</w:t>
            </w:r>
            <w:r w:rsidRPr="004A6C17">
              <w:t>ons to non-routine problems are identified and actioned, using acquired essential knowledge and associated skills, according to requirements.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2.10</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Quality of work is monitored against personal performance agree</w:t>
            </w:r>
            <w:r w:rsidRPr="004A6C17">
              <w:t>ment and/or established organisational and professional standards.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2.11</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Strategic plans are developed incorporating organisation initiatives as per established procedures.</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3</w:t>
            </w:r>
          </w:p>
        </w:tc>
        <w:tc>
          <w:tcPr>
            <w:tcW w:w="2294"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Complete the maintenance of network protection and control systems (complex)</w:t>
            </w: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3</w:t>
            </w:r>
            <w:r w:rsidRPr="004A6C17">
              <w:t>.1</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Final inspections of the network protection and control systems (complex) are undertaken to ensure they comply with all requirements and include all specifications and documentation needed to complete the project.</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3.2</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Appropriate personnel are notifi</w:t>
            </w:r>
            <w:r w:rsidRPr="004A6C17">
              <w:t>ed of completion and reports and/or completion documents are finalised/commissioned.</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3.3</w:t>
            </w:r>
          </w:p>
        </w:tc>
        <w:tc>
          <w:tcPr>
            <w:tcW w:w="4922"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Reports and/or completion documents are submitted to relevant personnel/organisations for approval and, where applicable, statutory or regulatory approval.</w:t>
            </w:r>
          </w:p>
        </w:tc>
      </w:tr>
      <w:tr w:rsidTr="00B03729">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t>3.4</w:t>
            </w:r>
          </w:p>
        </w:tc>
        <w:tc>
          <w:tcPr>
            <w:tcW w:w="4922"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t>Approved copies of the maintenance of network protection and control systems (complex) documents are issued and records are updated in accordance with established procedures.</w:t>
            </w:r>
          </w:p>
        </w:tc>
      </w:tr>
    </w:tbl>
    <w:p w:rsidR="00000000" w:rsidRPr="004A6C17" w:rsidP="004A6C17">
      <w:pPr>
        <w:pStyle w:val="BodyText"/>
      </w:pPr>
    </w:p>
    <w:p w:rsidR="00000000" w:rsidRPr="004A6C17" w:rsidP="004A6C17">
      <w:pPr>
        <w:pStyle w:val="AllowPageBreak"/>
      </w:pPr>
    </w:p>
    <w:p w:rsidR="00000000" w:rsidRPr="004A6C17" w:rsidP="004A6C17">
      <w:pPr>
        <w:pStyle w:val="Heading1"/>
      </w:pPr>
      <w:bookmarkStart w:id="9" w:name="O_464721"/>
      <w:bookmarkEnd w:id="9"/>
      <w:r w:rsidRPr="004A6C17">
        <w:t>Required Skills and Knowledge</w:t>
      </w:r>
    </w:p>
    <w:tbl>
      <w:tblPr>
        <w:tblW w:w="0" w:type="auto"/>
        <w:tblLayout w:type="fixed"/>
        <w:tblCellMar>
          <w:left w:w="62" w:type="dxa"/>
          <w:right w:w="62" w:type="dxa"/>
        </w:tblCellMar>
        <w:tblLook w:val="0000"/>
      </w:tblPr>
      <w:tblGrid>
        <w:gridCol w:w="8460"/>
      </w:tblGrid>
      <w:tr w:rsidTr="00B037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REQUIRED SKILLS AND KNOWLEDGE</w:t>
            </w:r>
          </w:p>
        </w:tc>
      </w:tr>
      <w:tr w:rsidTr="00B0372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8</w:t>
            </w:r>
            <w:r w:rsidRPr="004A6C17">
              <w:rPr>
                <w:rStyle w:val="SpecialBold"/>
              </w:rPr>
              <w:t>)</w:t>
            </w:r>
            <w:r w:rsidRPr="004A6C17">
              <w:t xml:space="preserve"> Essential Knowledge and Associated Skills (EKAS): This describes the essential skills and knowledge and their level, required for this unit.</w:t>
            </w:r>
          </w:p>
          <w:p w:rsidR="00000000" w:rsidRPr="004A6C17" w:rsidP="004A6C17">
            <w:pPr>
              <w:pStyle w:val="BodyText"/>
            </w:pPr>
            <w:r w:rsidRPr="004A6C17">
              <w:t xml:space="preserve">Evidence shall show that knowledge has been acquired of maintaining network protection and control systems (complex). </w:t>
            </w:r>
          </w:p>
          <w:p w:rsidR="00000000" w:rsidRPr="004A6C17" w:rsidP="004A6C17">
            <w:pPr>
              <w:pStyle w:val="BodyText"/>
            </w:pPr>
            <w:r w:rsidRPr="004A6C17">
              <w:t>All knowledge and skills detailed in this unit should be contextualised to current industry practices and technologies.</w:t>
            </w:r>
          </w:p>
          <w:p w:rsidR="00000000" w:rsidRPr="004A6C17" w:rsidP="004A6C17">
            <w:pPr>
              <w:pStyle w:val="BodyText"/>
            </w:pPr>
            <w:r w:rsidRPr="004A6C17">
              <w:t xml:space="preserve">KS01-TTS35A </w:t>
            </w:r>
            <w:r w:rsidRPr="004A6C17">
              <w:tab/>
              <w:t>Comp</w:t>
            </w:r>
            <w:r w:rsidRPr="004A6C17">
              <w:t>lex network protection and control systems</w:t>
            </w:r>
          </w:p>
          <w:p w:rsidR="00000000" w:rsidRPr="004A6C17" w:rsidP="004A6C17">
            <w:pPr>
              <w:pStyle w:val="BodyText"/>
            </w:pPr>
            <w:r w:rsidRPr="004A6C17">
              <w:t>Evidence shall show an understanding of complex network protection and control systems to an extent indicated by the following aspects:</w:t>
            </w:r>
          </w:p>
          <w:p w:rsidR="00000000" w:rsidRPr="004A6C17" w:rsidP="004A6C17">
            <w:pPr>
              <w:pStyle w:val="BodyText"/>
            </w:pPr>
            <w:r w:rsidRPr="004A6C17">
              <w:t>T1</w:t>
            </w:r>
            <w:r w:rsidRPr="004A6C17">
              <w:tab/>
              <w:t>Principles of power transformer construction and operations encompassing:</w:t>
            </w:r>
          </w:p>
          <w:p w:rsidR="00000000" w:rsidRPr="004A6C17" w:rsidP="004A6C17">
            <w:pPr>
              <w:pStyle w:val="ListBullet"/>
            </w:pPr>
            <w:r w:rsidRPr="004A6C17">
              <w:t>Applications of static reactive plant in high voltage networks, including voltage control, VAR control, transient response capacity</w:t>
            </w:r>
          </w:p>
          <w:p w:rsidR="00000000" w:rsidRPr="004A6C17" w:rsidP="004A6C17">
            <w:pPr>
              <w:pStyle w:val="ListBullet"/>
            </w:pPr>
            <w:r w:rsidRPr="004A6C17">
              <w:t>Types of static reactive plant including high voltage capacitors, high voltage reactors, static VAR compensators and combin</w:t>
            </w:r>
            <w:r w:rsidRPr="004A6C17">
              <w:t>ations of these</w:t>
            </w:r>
          </w:p>
          <w:p w:rsidR="00000000" w:rsidRPr="004A6C17" w:rsidP="004A6C17">
            <w:pPr>
              <w:pStyle w:val="ListBullet"/>
            </w:pPr>
            <w:r w:rsidRPr="004A6C17">
              <w:t>Operating characteristics and operational constraints including point on wave switching issues</w:t>
            </w:r>
          </w:p>
          <w:p w:rsidR="00000000" w:rsidRPr="004A6C17" w:rsidP="004A6C17">
            <w:pPr>
              <w:pStyle w:val="ListBullet"/>
            </w:pPr>
            <w:r w:rsidRPr="004A6C17">
              <w:t>Ratings, cooling systems and control systems and ancillary equipment used</w:t>
            </w:r>
          </w:p>
          <w:p w:rsidR="00000000" w:rsidRPr="004A6C17" w:rsidP="004A6C17">
            <w:pPr>
              <w:pStyle w:val="ListBullet"/>
            </w:pPr>
            <w:r w:rsidRPr="004A6C17">
              <w:t>Configurations and system layout including single star, double star, br</w:t>
            </w:r>
            <w:r w:rsidRPr="004A6C17">
              <w:t>idge type</w:t>
            </w:r>
          </w:p>
          <w:p w:rsidR="00000000" w:rsidRPr="004A6C17" w:rsidP="004A6C17">
            <w:pPr>
              <w:pStyle w:val="ListBullet"/>
            </w:pPr>
            <w:r w:rsidRPr="004A6C17">
              <w:t>Typical protection systems used including neutral unbalance current, neutral unbalance voltage</w:t>
            </w:r>
          </w:p>
          <w:p w:rsidR="00000000" w:rsidRPr="004A6C17" w:rsidP="004A6C17">
            <w:pPr>
              <w:pStyle w:val="ListBullet"/>
            </w:pPr>
            <w:r w:rsidRPr="004A6C17">
              <w:t>Techniques used when balancing elements within static reactive plant</w:t>
            </w:r>
          </w:p>
          <w:p w:rsidR="00000000" w:rsidRPr="004A6C17" w:rsidP="004A6C17">
            <w:pPr>
              <w:pStyle w:val="ListBullet"/>
            </w:pPr>
            <w:r w:rsidRPr="004A6C17">
              <w:t>Safety precautions when testing and maintaining high voltage static reactive plant</w:t>
            </w:r>
            <w:r w:rsidRPr="004A6C17">
              <w:t xml:space="preserve"> - safe working practices and procedures, identification of hazards, assessment and control of OHS risks, types, selection, maintenance and use of personal protective equipment.</w:t>
            </w:r>
          </w:p>
          <w:p w:rsidR="00000000" w:rsidRPr="004A6C17" w:rsidP="004A6C17">
            <w:pPr>
              <w:pStyle w:val="BodyText"/>
            </w:pPr>
            <w:r w:rsidRPr="004A6C17">
              <w:t>T2</w:t>
            </w:r>
            <w:r w:rsidRPr="004A6C17">
              <w:tab/>
              <w:t>Detailed operation of complex protection systems encompassing:</w:t>
            </w:r>
          </w:p>
          <w:p w:rsidR="00000000" w:rsidRPr="004A6C17" w:rsidP="004A6C17">
            <w:pPr>
              <w:pStyle w:val="ListBullet"/>
            </w:pPr>
            <w:r w:rsidRPr="004A6C17">
              <w:t xml:space="preserve">Distance - </w:t>
            </w:r>
            <w:r w:rsidRPr="004A6C17">
              <w:t>characteristics, electromechanical, electronic, impedance, mho, offset mho, switched schemes, non-switched schemes, blocking schemes, bus zone</w:t>
            </w:r>
          </w:p>
          <w:p w:rsidR="00000000" w:rsidRPr="004A6C17" w:rsidP="004A6C17">
            <w:pPr>
              <w:pStyle w:val="ListBullet"/>
            </w:pPr>
            <w:r w:rsidRPr="004A6C17">
              <w:t xml:space="preserve">Differential, transformer differential, bus overcurrent - principles, feeder protection, transformer protection, </w:t>
            </w:r>
            <w:r w:rsidRPr="004A6C17">
              <w:t>bias systems, harmonic restraint, CT connections, bus protection, low impedance schemes, high impedance schemes, bus overcurrent schemes, generator protection, CT connections, special considerations, digital systems</w:t>
            </w:r>
          </w:p>
          <w:p w:rsidR="00000000" w:rsidRPr="004A6C17" w:rsidP="004A6C17">
            <w:pPr>
              <w:pStyle w:val="ListBullet"/>
            </w:pPr>
            <w:r w:rsidRPr="004A6C17">
              <w:t>Types of revenue metering</w:t>
            </w:r>
          </w:p>
          <w:p w:rsidR="00000000" w:rsidRPr="004A6C17" w:rsidP="004A6C17">
            <w:pPr>
              <w:pStyle w:val="ListBullet"/>
            </w:pPr>
            <w:r w:rsidRPr="004A6C17">
              <w:t>Applications o</w:t>
            </w:r>
            <w:r w:rsidRPr="004A6C17">
              <w:t>f SCADA</w:t>
            </w:r>
          </w:p>
          <w:p w:rsidR="00000000" w:rsidRPr="004A6C17" w:rsidP="004A6C17">
            <w:pPr>
              <w:pStyle w:val="ListBullet"/>
            </w:pPr>
            <w:r w:rsidRPr="004A6C17">
              <w:t>Complex protection systems for communications</w:t>
            </w:r>
          </w:p>
          <w:p w:rsidR="00000000" w:rsidRPr="004A6C17" w:rsidP="004A6C17">
            <w:pPr>
              <w:pStyle w:val="ListBullet"/>
            </w:pPr>
            <w:r w:rsidRPr="004A6C17">
              <w:t>Harmonic control</w:t>
            </w:r>
          </w:p>
          <w:p w:rsidR="00000000" w:rsidRPr="004A6C17" w:rsidP="004A6C17">
            <w:pPr>
              <w:pStyle w:val="ListBullet"/>
            </w:pPr>
            <w:r w:rsidRPr="004A6C17">
              <w:t>Point on wave switching.</w:t>
            </w:r>
          </w:p>
        </w:tc>
      </w:tr>
    </w:tbl>
    <w:p w:rsidR="00000000" w:rsidRPr="004A6C17" w:rsidP="004A6C17">
      <w:pPr>
        <w:pStyle w:val="BodyText"/>
      </w:pPr>
    </w:p>
    <w:p w:rsidR="00000000" w:rsidRPr="004A6C17" w:rsidP="004A6C17">
      <w:pPr>
        <w:pStyle w:val="AllowPageBreak"/>
      </w:pPr>
    </w:p>
    <w:p w:rsidR="00000000" w:rsidRPr="004A6C17" w:rsidP="004A6C17">
      <w:pPr>
        <w:pStyle w:val="Heading1"/>
      </w:pPr>
      <w:bookmarkStart w:id="10" w:name="O_464716"/>
      <w:bookmarkEnd w:id="10"/>
      <w:r w:rsidRPr="004A6C17">
        <w:t>Evidence Guide</w:t>
      </w:r>
    </w:p>
    <w:tbl>
      <w:tblPr>
        <w:tblW w:w="0" w:type="auto"/>
        <w:tblLayout w:type="fixed"/>
        <w:tblCellMar>
          <w:left w:w="62" w:type="dxa"/>
          <w:right w:w="62" w:type="dxa"/>
        </w:tblCellMar>
        <w:tblLook w:val="0000"/>
      </w:tblPr>
      <w:tblGrid>
        <w:gridCol w:w="8460"/>
      </w:tblGrid>
      <w:tr w:rsidTr="00B037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EVIDENCE GUIDE</w:t>
            </w:r>
          </w:p>
        </w:tc>
      </w:tr>
      <w:tr w:rsidTr="00B037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9)</w:t>
            </w:r>
            <w:r w:rsidRPr="004A6C17">
              <w:t xml:space="preserve"> This provides essential advice for assessment of the unit of competency and must be read in conjunction </w:t>
            </w:r>
            <w:r w:rsidRPr="004A6C17">
              <w:t>with the Performance Criteria and the Range Statement of the unit of competency and the Training Package Assessment Guidelines.</w:t>
            </w:r>
          </w:p>
          <w:p w:rsidR="00000000" w:rsidRPr="004A6C17" w:rsidP="004A6C17">
            <w:pPr>
              <w:pStyle w:val="BodyText"/>
            </w:pPr>
            <w:r w:rsidRPr="004A6C17">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4A6C17" w:rsidP="004A6C17">
      <w:pPr>
        <w:pStyle w:val="BodyText"/>
      </w:pPr>
    </w:p>
    <w:tbl>
      <w:tblPr>
        <w:tblW w:w="0" w:type="auto"/>
        <w:tblLayout w:type="fixed"/>
        <w:tblCellMar>
          <w:left w:w="62" w:type="dxa"/>
          <w:right w:w="62" w:type="dxa"/>
        </w:tblCellMar>
        <w:tblLook w:val="0000"/>
      </w:tblPr>
      <w:tblGrid>
        <w:gridCol w:w="1890"/>
        <w:gridCol w:w="6570"/>
      </w:tblGrid>
      <w:tr w:rsidTr="00B037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9.1)</w:t>
            </w:r>
          </w:p>
        </w:tc>
      </w:tr>
      <w:tr w:rsidTr="00B037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t>Longitudinal competency development approaches to assessment, such as Profiling, require data to be reliably gathered in a form that can be consistently interpreted over time. This approach is best utilised in Apprenticeship programs and reduces as</w:t>
            </w:r>
            <w:r w:rsidRPr="004A6C17">
              <w:t>sessment intervention. It is the Industry’s preferred model for apprenticeships. However, where summative (or final) assessment is used it is to include the application of the competency in the normal work environment or, at a minimum, the application of t</w:t>
            </w:r>
            <w:r w:rsidRPr="004A6C17">
              <w: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4A6C17" w:rsidP="004A6C17">
            <w:pPr>
              <w:pStyle w:val="BodyText"/>
            </w:pPr>
            <w:r w:rsidRPr="004A6C17">
              <w:t>Method</w:t>
            </w:r>
            <w:r w:rsidRPr="004A6C17">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4A6C17">
              <w:t>may be required and the critical nature of the competencies being assessed.</w:t>
            </w:r>
          </w:p>
          <w:p w:rsidR="00000000" w:rsidRPr="004A6C17" w:rsidP="004A6C17">
            <w:pPr>
              <w:pStyle w:val="BodyText"/>
            </w:pPr>
            <w:r w:rsidRPr="004A6C17">
              <w:t>The critical safety nature of working with electricity, electrical equipment, gas or any other hazardous substance/material carries risk in deeming a person competent. Hence, sourc</w:t>
            </w:r>
            <w:r w:rsidRPr="004A6C17">
              <w:t>es of evidence need to be ‘rich’ in nature so as to minimise error in judgment.</w:t>
            </w:r>
          </w:p>
          <w:p w:rsidR="00000000" w:rsidRPr="004A6C17" w:rsidP="004A6C17">
            <w:pPr>
              <w:pStyle w:val="BodyText"/>
            </w:pPr>
            <w:r w:rsidRPr="004A6C17">
              <w:t>Activities associated with normal every day work have a bearing on the decision as to how much and how detailed the data gathered will contribute to its ‘richness’. Some skills</w:t>
            </w:r>
            <w:r w:rsidRPr="004A6C17">
              <w:t xml:space="preserve"> are more critical to safety and operational requirements while the same skills may be more or less frequently practiced. These points are raised for the assessors to consider when choosing an assessment method and developing assessment instruments. Sample</w:t>
            </w:r>
            <w:r w:rsidRPr="004A6C17">
              <w:t xml:space="preserve"> assessment instruments are included for Assessors in the Assessment Guidelines of this Training Package.</w:t>
            </w:r>
          </w:p>
        </w:tc>
      </w:tr>
    </w:tbl>
    <w:p w:rsidR="00000000" w:rsidRPr="004A6C17" w:rsidP="004A6C17">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B037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9.2)</w:t>
            </w:r>
          </w:p>
        </w:tc>
      </w:tr>
      <w:tr w:rsidTr="00B03729">
        <w:tblPrEx>
          <w:tblW w:w="0" w:type="auto"/>
          <w:tblLayout w:type="fixed"/>
          <w:tblCellMar>
            <w:left w:w="62" w:type="dxa"/>
            <w:right w:w="62" w:type="dxa"/>
          </w:tblCellMar>
          <w:tblLook w:val="0000"/>
        </w:tblPrEx>
        <w:trPr>
          <w:trHeight w:val="716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t>Before the critical aspects of evidence are considered all prerequisites shall be met.</w:t>
            </w:r>
          </w:p>
          <w:p w:rsidR="00000000" w:rsidRPr="004A6C17" w:rsidP="004A6C17">
            <w:pPr>
              <w:pStyle w:val="BodyText"/>
            </w:pPr>
            <w:r w:rsidRPr="004A6C17">
              <w:t>Evidence for competence in this unit shall be considered holistically. Each element and associated Performance Criteria shall be demonstrated on at least two occasions i</w:t>
            </w:r>
            <w:r w:rsidRPr="004A6C17">
              <w:t>n accordance with the “Assessment Guidelines – UET12”. Evidence shall also comprise:</w:t>
            </w:r>
          </w:p>
          <w:p w:rsidR="00000000" w:rsidRPr="004A6C17" w:rsidP="004A6C17">
            <w:pPr>
              <w:pStyle w:val="ListBullet"/>
            </w:pPr>
            <w:r w:rsidRPr="004A6C17">
              <w:t>A representative body of Performance Criteria demonstrated within the timeframes typically expected of the discipline, work function and industrial environment. In partic</w:t>
            </w:r>
            <w:r w:rsidRPr="004A6C17">
              <w:t>ular this shall incorporate evidence that shows a candidate is able to:</w:t>
            </w:r>
          </w:p>
          <w:p w:rsidR="00000000" w:rsidRPr="004A6C17" w:rsidP="004A6C17">
            <w:pPr>
              <w:pStyle w:val="ListBullet2"/>
            </w:pPr>
            <w:r w:rsidRPr="004A6C17">
              <w:t>Implement Occupational Health and Safety workplace procedures and practices including the use of risk control measures as specified in the Performance Criteria and range; and</w:t>
            </w:r>
          </w:p>
          <w:p w:rsidR="00000000" w:rsidRPr="004A6C17" w:rsidP="004A6C17">
            <w:pPr>
              <w:pStyle w:val="ListBullet2"/>
            </w:pPr>
            <w:r w:rsidRPr="004A6C17">
              <w:t>Apply sustainable energy principles and practices as specified in the Performance Criteria and range; and</w:t>
            </w:r>
          </w:p>
          <w:p w:rsidR="00000000" w:rsidRPr="004A6C17" w:rsidP="004A6C17">
            <w:pPr>
              <w:pStyle w:val="ListBullet2"/>
            </w:pPr>
            <w:r w:rsidRPr="004A6C17">
              <w:t>Demonstrate an understanding of the essential knowledge and associated skills as described in this unit to such an extent that the learner’s performan</w:t>
            </w:r>
            <w:r w:rsidRPr="004A6C17">
              <w:t>ce outcome is reported in accordance with the preferred approach; namely a percentile graded result, where required by the regulated environment; and</w:t>
            </w:r>
          </w:p>
          <w:p w:rsidR="00000000" w:rsidRPr="004A6C17" w:rsidP="004A6C17">
            <w:pPr>
              <w:pStyle w:val="ListBullet2"/>
            </w:pPr>
            <w:r w:rsidRPr="004A6C17">
              <w:t>Demonstrate an appropriate level of employability skills; and</w:t>
            </w:r>
          </w:p>
          <w:p w:rsidR="00000000" w:rsidRPr="004A6C17" w:rsidP="004A6C17">
            <w:pPr>
              <w:pStyle w:val="ListBullet"/>
            </w:pPr>
            <w:r w:rsidRPr="004A6C17">
              <w:t>Conduct work observing the relevant Anti di</w:t>
            </w:r>
            <w:r w:rsidRPr="004A6C17">
              <w:t>scrimination legislation, regulations, policies and workplace procedures; and</w:t>
            </w:r>
          </w:p>
          <w:p w:rsidR="00000000" w:rsidP="004A6C17">
            <w:pPr>
              <w:pStyle w:val="ListBullet2"/>
              <w:rPr>
                <w:lang w:val="en-NZ"/>
              </w:rPr>
            </w:pPr>
            <w:r w:rsidRPr="004A6C17">
              <w:t>Demonstrated performance across a representative range of contexts from the prescribed items below:</w:t>
            </w:r>
          </w:p>
        </w:tc>
      </w:tr>
      <w:tr w:rsidTr="00B037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A6C17">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C17">
            <w:pPr>
              <w:pStyle w:val="BodyText"/>
              <w:rPr>
                <w:lang w:val="en-NZ"/>
              </w:rPr>
            </w:pPr>
            <w:r w:rsidRPr="004A6C17">
              <w:rPr>
                <w:rStyle w:val="SpecialBold"/>
              </w:rPr>
              <w:t>Range of tools/equipment/materials/procedures/workplaces/other variables</w:t>
            </w:r>
          </w:p>
        </w:tc>
      </w:tr>
      <w:tr w:rsidTr="00B037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A6C17">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C17" w:rsidP="004A6C17">
            <w:pPr>
              <w:pStyle w:val="BodyText"/>
            </w:pPr>
            <w:r w:rsidRPr="004A6C17">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C17" w:rsidP="004A6C17">
            <w:pPr>
              <w:pStyle w:val="BodyText"/>
            </w:pPr>
            <w:r w:rsidRPr="004A6C17">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C17">
            <w:pPr>
              <w:pStyle w:val="BodyText"/>
              <w:rPr>
                <w:lang w:val="en-NZ"/>
              </w:rPr>
            </w:pPr>
            <w:r w:rsidRPr="004A6C17">
              <w:rPr>
                <w:rStyle w:val="SpecialBold"/>
              </w:rPr>
              <w:t>Item List</w:t>
            </w:r>
          </w:p>
        </w:tc>
      </w:tr>
      <w:tr w:rsidTr="00B037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C17">
            <w:pPr>
              <w:pStyle w:val="BodyText"/>
              <w:rPr>
                <w:lang w:val="en-NZ"/>
              </w:rPr>
            </w:pPr>
            <w:r w:rsidRPr="004A6C17">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C17" w:rsidP="004A6C17">
            <w:pPr>
              <w:pStyle w:val="BodyText"/>
            </w:pPr>
            <w:r w:rsidRPr="004A6C17">
              <w:t>Do all of the following:</w:t>
            </w:r>
          </w:p>
          <w:p w:rsidR="00000000" w:rsidRPr="004A6C17" w:rsidP="004A6C17">
            <w:pPr>
              <w:pStyle w:val="BodyText"/>
            </w:pPr>
          </w:p>
          <w:p w:rsidR="00000000" w:rsidRPr="004A6C17" w:rsidP="004A6C17">
            <w:pPr>
              <w:pStyle w:val="BodyText"/>
            </w:pPr>
            <w:r w:rsidRPr="004A6C17">
              <w:t>Note: Utilise different schemes from within the complex schemes in the Range Statement of this unit.</w:t>
            </w:r>
          </w:p>
          <w:p w:rsidR="00000000">
            <w:pPr>
              <w:pStyle w:val="BodyText"/>
              <w:keepNext w:val="0"/>
              <w:keepLines w:val="0"/>
              <w:contextualSpacing w:val="0"/>
              <w:rPr>
                <w:rFonts w:ascii="Tahoma" w:hAnsi="Tahoma"/>
                <w:color w:val="000000"/>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C17" w:rsidP="004A6C17">
            <w:pPr>
              <w:pStyle w:val="BodyText"/>
            </w:pPr>
            <w:r w:rsidRPr="004A6C17">
              <w:t>Isolate protection, control and alarms associated with complex protection and control schemes.</w:t>
            </w:r>
          </w:p>
          <w:p w:rsidR="00000000" w:rsidRPr="004A6C17" w:rsidP="004A6C17">
            <w:pPr>
              <w:pStyle w:val="BodyText"/>
            </w:pPr>
            <w:r w:rsidRPr="004A6C17">
              <w:t xml:space="preserve">Calibrate complex protection and control relays. </w:t>
            </w:r>
          </w:p>
          <w:p w:rsidR="00000000" w:rsidRPr="004A6C17" w:rsidP="004A6C17">
            <w:pPr>
              <w:pStyle w:val="BodyText"/>
            </w:pPr>
            <w:r w:rsidRPr="004A6C17">
              <w:t>Carry out</w:t>
            </w:r>
            <w:r w:rsidRPr="004A6C17">
              <w:t xml:space="preserve"> function tests (Trips, alarms etc.) on complex protection and control schemes.</w:t>
            </w:r>
          </w:p>
          <w:p w:rsidR="00000000" w:rsidRPr="004A6C17" w:rsidP="004A6C17">
            <w:pPr>
              <w:pStyle w:val="BodyText"/>
            </w:pPr>
            <w:r w:rsidRPr="004A6C17">
              <w:t xml:space="preserve">Write reports on performance of complex protection and control schemes. </w:t>
            </w:r>
          </w:p>
          <w:p w:rsidR="00000000" w:rsidP="004A6C17">
            <w:pPr>
              <w:pStyle w:val="BodyText"/>
              <w:rPr>
                <w:lang w:val="en-NZ"/>
              </w:rPr>
            </w:pPr>
            <w:r w:rsidRPr="004A6C17">
              <w:t>Isolate ‘in service’ Current Transformers.</w:t>
            </w:r>
          </w:p>
        </w:tc>
      </w:tr>
      <w:tr w:rsidTr="00B037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C17">
            <w:pPr>
              <w:pStyle w:val="BodyText"/>
              <w:rPr>
                <w:lang w:val="en-NZ"/>
              </w:rPr>
            </w:pPr>
            <w:r w:rsidRPr="004A6C17">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C17">
            <w:pPr>
              <w:pStyle w:val="BodyText"/>
              <w:rPr>
                <w:lang w:val="en-NZ"/>
              </w:rPr>
            </w:pPr>
            <w:r w:rsidRPr="004A6C17">
              <w:t>Do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C17">
            <w:pPr>
              <w:pStyle w:val="BodyText"/>
              <w:rPr>
                <w:lang w:val="en-NZ"/>
              </w:rPr>
            </w:pPr>
            <w:r w:rsidRPr="004A6C17">
              <w:t>Activities that address the co</w:t>
            </w:r>
            <w:r w:rsidRPr="004A6C17">
              <w:t>rrection of errors in network protection and control systems</w:t>
            </w:r>
          </w:p>
        </w:tc>
      </w:tr>
      <w:tr w:rsidTr="00B037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C17">
            <w:pPr>
              <w:pStyle w:val="BodyText"/>
              <w:rPr>
                <w:lang w:val="en-NZ"/>
              </w:rPr>
            </w:pPr>
            <w:r w:rsidRPr="004A6C17">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C17">
            <w:pPr>
              <w:pStyle w:val="BodyText"/>
              <w:rPr>
                <w:lang w:val="en-NZ"/>
              </w:rPr>
            </w:pPr>
            <w:r w:rsidRPr="004A6C17">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C17" w:rsidP="004A6C17">
            <w:pPr>
              <w:pStyle w:val="BodyText"/>
            </w:pPr>
            <w:r w:rsidRPr="004A6C17">
              <w:t xml:space="preserve">Dealing with an unplanned event by drawing on essential knowledge and associated skills to provide appropriate solutions incorporated in the </w:t>
            </w:r>
            <w:r w:rsidRPr="004A6C17">
              <w:t>holistic assessment with the above listed items.</w:t>
            </w:r>
          </w:p>
        </w:tc>
      </w:tr>
    </w:tbl>
    <w:p w:rsidR="00000000" w:rsidRPr="004A6C17" w:rsidP="004A6C17">
      <w:pPr>
        <w:pStyle w:val="BodyText"/>
      </w:pPr>
    </w:p>
    <w:tbl>
      <w:tblPr>
        <w:tblW w:w="0" w:type="auto"/>
        <w:tblLayout w:type="fixed"/>
        <w:tblCellMar>
          <w:left w:w="62" w:type="dxa"/>
          <w:right w:w="62" w:type="dxa"/>
        </w:tblCellMar>
        <w:tblLook w:val="0000"/>
      </w:tblPr>
      <w:tblGrid>
        <w:gridCol w:w="1890"/>
        <w:gridCol w:w="6570"/>
      </w:tblGrid>
      <w:tr w:rsidTr="00B0372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9.3)</w:t>
            </w:r>
          </w:p>
        </w:tc>
      </w:tr>
      <w:tr w:rsidTr="00B03729">
        <w:tblPrEx>
          <w:tblW w:w="0" w:type="auto"/>
          <w:tblLayout w:type="fixed"/>
          <w:tblCellMar>
            <w:left w:w="62" w:type="dxa"/>
            <w:right w:w="62" w:type="dxa"/>
          </w:tblCellMar>
          <w:tblLook w:val="0000"/>
        </w:tblPrEx>
        <w:trPr>
          <w:trHeight w:val="293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t>This unit should be assessed as it relates to normal work practice using procedures, information and resources typical of a workplace. This should in</w:t>
            </w:r>
            <w:r w:rsidRPr="004A6C17">
              <w:t>clude:</w:t>
            </w:r>
          </w:p>
          <w:p w:rsidR="00000000" w:rsidRPr="004A6C17" w:rsidP="004A6C17">
            <w:pPr>
              <w:pStyle w:val="ListBullet"/>
            </w:pPr>
            <w:r w:rsidRPr="004A6C17">
              <w:t>OHS policy and work procedures and instructions.</w:t>
            </w:r>
          </w:p>
          <w:p w:rsidR="00000000" w:rsidRPr="004A6C17" w:rsidP="004A6C17">
            <w:pPr>
              <w:pStyle w:val="ListBullet"/>
            </w:pPr>
            <w:r w:rsidRPr="004A6C17">
              <w:t>Suitable work environment, facilities, equipment and materials to undertake actual maintenance of network protection and control systems (complex).</w:t>
            </w:r>
          </w:p>
          <w:p w:rsidR="00000000" w:rsidRPr="004A6C17" w:rsidP="004A6C17">
            <w:pPr>
              <w:pStyle w:val="BodyText"/>
            </w:pPr>
            <w:r w:rsidRPr="004A6C17">
              <w:t>In addition to the resources listed above, in Context of and specific resources for assessment, evidence should show demonstrated competency working in realistic environment and a variety of conditions.</w:t>
            </w:r>
          </w:p>
        </w:tc>
      </w:tr>
    </w:tbl>
    <w:p w:rsidR="00000000" w:rsidRPr="004A6C17" w:rsidP="004A6C17">
      <w:pPr>
        <w:pStyle w:val="BodyText"/>
      </w:pPr>
    </w:p>
    <w:tbl>
      <w:tblPr>
        <w:tblW w:w="0" w:type="auto"/>
        <w:tblLayout w:type="fixed"/>
        <w:tblCellMar>
          <w:left w:w="62" w:type="dxa"/>
          <w:right w:w="62" w:type="dxa"/>
        </w:tblCellMar>
        <w:tblLook w:val="0000"/>
      </w:tblPr>
      <w:tblGrid>
        <w:gridCol w:w="1890"/>
        <w:gridCol w:w="6570"/>
      </w:tblGrid>
      <w:tr w:rsidTr="00B037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9.4)</w:t>
            </w:r>
          </w:p>
        </w:tc>
      </w:tr>
      <w:tr w:rsidTr="00B037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t>This Competency Standard Unit shall be assessed by methods given in Volume 1, Part 3 “Assessment Guidelines”.</w:t>
            </w:r>
          </w:p>
          <w:p w:rsidR="00000000" w:rsidRPr="004A6C17" w:rsidP="004A6C17">
            <w:pPr>
              <w:pStyle w:val="BodyText"/>
            </w:pPr>
            <w:r w:rsidRPr="004A6C17">
              <w:t>Note:</w:t>
            </w:r>
          </w:p>
          <w:p w:rsidR="00000000" w:rsidRPr="004A6C17" w:rsidP="004A6C17">
            <w:pPr>
              <w:pStyle w:val="BodyText"/>
            </w:pPr>
            <w:r w:rsidRPr="004A6C17">
              <w:t>Competent performance with inherent safe working practices is expected in the Transmission, Distribution and Rail Traction Industry. This re</w:t>
            </w:r>
            <w:r w:rsidRPr="004A6C17">
              <w:t>quires that the specified essential knowledge and associated skills are assessed in a structured environment which is primarily intended for learning/assessment and incorporates all necessary equipment and facilities for learners to develop and demonstrate</w:t>
            </w:r>
            <w:r w:rsidRPr="004A6C17">
              <w:t xml:space="preserve"> the essential knowledge and associated skills described in this unit.</w:t>
            </w:r>
          </w:p>
        </w:tc>
      </w:tr>
    </w:tbl>
    <w:p w:rsidR="00000000" w:rsidRPr="004A6C17" w:rsidP="004A6C17">
      <w:pPr>
        <w:pStyle w:val="BodyText"/>
      </w:pPr>
    </w:p>
    <w:tbl>
      <w:tblPr>
        <w:tblW w:w="0" w:type="auto"/>
        <w:tblLayout w:type="fixed"/>
        <w:tblCellMar>
          <w:left w:w="62" w:type="dxa"/>
          <w:right w:w="62" w:type="dxa"/>
        </w:tblCellMar>
        <w:tblLook w:val="0000"/>
      </w:tblPr>
      <w:tblGrid>
        <w:gridCol w:w="1890"/>
        <w:gridCol w:w="6570"/>
      </w:tblGrid>
      <w:tr w:rsidTr="00B037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9.5)</w:t>
            </w:r>
          </w:p>
        </w:tc>
      </w:tr>
      <w:tr w:rsidTr="00B037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t>There are no concurrent assessment recommendations for this unit.</w:t>
            </w:r>
          </w:p>
        </w:tc>
      </w:tr>
    </w:tbl>
    <w:p w:rsidR="00000000" w:rsidRPr="004A6C17" w:rsidP="004A6C17">
      <w:pPr>
        <w:pStyle w:val="BodyText"/>
      </w:pPr>
    </w:p>
    <w:p w:rsidR="00000000" w:rsidRPr="004A6C17" w:rsidP="004A6C17">
      <w:pPr>
        <w:pStyle w:val="AllowPageBreak"/>
      </w:pPr>
    </w:p>
    <w:p w:rsidR="00000000" w:rsidRPr="004A6C17" w:rsidP="004A6C17">
      <w:pPr>
        <w:pStyle w:val="Heading1"/>
      </w:pPr>
      <w:bookmarkStart w:id="11" w:name="O_464720"/>
      <w:bookmarkEnd w:id="11"/>
      <w:r w:rsidRPr="004A6C17">
        <w:t>Range Statement</w:t>
      </w:r>
    </w:p>
    <w:tbl>
      <w:tblPr>
        <w:tblW w:w="0" w:type="auto"/>
        <w:tblLayout w:type="fixed"/>
        <w:tblCellMar>
          <w:left w:w="62" w:type="dxa"/>
          <w:right w:w="62" w:type="dxa"/>
        </w:tblCellMar>
        <w:tblLook w:val="0000"/>
      </w:tblPr>
      <w:tblGrid>
        <w:gridCol w:w="8460"/>
      </w:tblGrid>
      <w:tr w:rsidTr="00B037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RANGE STATEMENT</w:t>
            </w:r>
          </w:p>
        </w:tc>
      </w:tr>
      <w:tr w:rsidTr="00B037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10)</w:t>
            </w:r>
            <w:r w:rsidRPr="004A6C17">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4A6C17" w:rsidP="004A6C17">
            <w:pPr>
              <w:pStyle w:val="BodyText"/>
            </w:pPr>
            <w:r w:rsidRPr="004A6C17">
              <w:t>This Competency Standard Un</w:t>
            </w:r>
            <w:r w:rsidRPr="004A6C17">
              <w:t>it shall be demonstrated in relation to the maintenance of network protection and control systems (complex) and may include the following:</w:t>
            </w:r>
          </w:p>
          <w:p w:rsidR="00000000" w:rsidRPr="004A6C17" w:rsidP="004A6C17">
            <w:pPr>
              <w:pStyle w:val="BodyText"/>
            </w:pPr>
            <w:r w:rsidRPr="004A6C17">
              <w:t xml:space="preserve">Discrete: Overcurrent, earth fault, frame leakage, cooling, buchholz, DC supplies, restricted earth, sensitive earth </w:t>
            </w:r>
            <w:r w:rsidRPr="004A6C17">
              <w:t>fault, reclose, DC frame leakage, CEL fail under frequency load shed.</w:t>
            </w:r>
          </w:p>
          <w:p w:rsidR="00000000" w:rsidRPr="004A6C17" w:rsidP="004A6C17">
            <w:pPr>
              <w:pStyle w:val="BodyText"/>
            </w:pPr>
            <w:r w:rsidRPr="004A6C17">
              <w:t>Interdependent :Instrument transformers, trip/control circuits, alarms, DC supplies, CB fail protection, master controlled earth fault, intertripping, blocking, synchronising, pilot wire</w:t>
            </w:r>
            <w:r w:rsidRPr="004A6C17">
              <w:t>, phase comparison, load shedding, voltage control, parallel operation, load rejection, circuit isolations and restorations, mechanical adjustments, calibration, function tests, reporting, signals, thermals, contraphase, backup, reverse current</w:t>
            </w:r>
          </w:p>
          <w:p w:rsidR="00000000" w:rsidRPr="004A6C17" w:rsidP="004A6C17">
            <w:pPr>
              <w:pStyle w:val="BodyText"/>
            </w:pPr>
            <w:r w:rsidRPr="004A6C17">
              <w:t>Complex: di</w:t>
            </w:r>
            <w:r w:rsidRPr="004A6C17">
              <w:t>stance, differential, transformer differential, bus zone, bus overcurrent, revenue metering, SCADA, communications, harmonic control, point on wave.</w:t>
            </w:r>
          </w:p>
          <w:p w:rsidR="00000000" w:rsidRPr="004A6C17" w:rsidP="004A6C17">
            <w:pPr>
              <w:pStyle w:val="BodyText"/>
            </w:pPr>
            <w:r w:rsidRPr="004A6C17">
              <w:t>The following constants and variables included in the element/Performance Criteria in this unit are fully d</w:t>
            </w:r>
            <w:r w:rsidRPr="004A6C17">
              <w:t>escribed in the Definitions Section 1 of this volume and form an integral part of the Range Statement of this unit:</w:t>
            </w:r>
          </w:p>
          <w:p w:rsidR="00000000" w:rsidRPr="004A6C17" w:rsidP="004A6C17">
            <w:pPr>
              <w:pStyle w:val="ListBullet3"/>
            </w:pPr>
            <w:r w:rsidRPr="004A6C17">
              <w:t>Appropriate and relevant persons (see Personnel)</w:t>
            </w:r>
          </w:p>
          <w:p w:rsidR="00000000" w:rsidRPr="004A6C17" w:rsidP="004A6C17">
            <w:pPr>
              <w:pStyle w:val="ListBullet3"/>
            </w:pPr>
            <w:r w:rsidRPr="004A6C17">
              <w:t>Appropriate authorities</w:t>
            </w:r>
          </w:p>
          <w:p w:rsidR="00000000" w:rsidRPr="004A6C17" w:rsidP="004A6C17">
            <w:pPr>
              <w:pStyle w:val="ListBullet3"/>
            </w:pPr>
            <w:r w:rsidRPr="004A6C17">
              <w:t>Appropriate work platform</w:t>
            </w:r>
          </w:p>
          <w:p w:rsidR="00000000" w:rsidRPr="004A6C17" w:rsidP="004A6C17">
            <w:pPr>
              <w:pStyle w:val="ListBullet3"/>
            </w:pPr>
            <w:r w:rsidRPr="004A6C17">
              <w:t>Assessing risk</w:t>
            </w:r>
          </w:p>
          <w:p w:rsidR="00000000" w:rsidRPr="004A6C17" w:rsidP="004A6C17">
            <w:pPr>
              <w:pStyle w:val="ListBullet3"/>
            </w:pPr>
            <w:r w:rsidRPr="004A6C17">
              <w:t>Assessment</w:t>
            </w:r>
          </w:p>
          <w:p w:rsidR="00000000" w:rsidRPr="004A6C17" w:rsidP="004A6C17">
            <w:pPr>
              <w:pStyle w:val="ListBullet3"/>
            </w:pPr>
            <w:r w:rsidRPr="004A6C17">
              <w:t>Authorisation</w:t>
            </w:r>
          </w:p>
          <w:p w:rsidR="00000000" w:rsidRPr="004A6C17" w:rsidP="004A6C17">
            <w:pPr>
              <w:pStyle w:val="ListBullet3"/>
            </w:pPr>
            <w:r w:rsidRPr="004A6C17">
              <w:t>Confined space</w:t>
            </w:r>
          </w:p>
          <w:p w:rsidR="00000000" w:rsidRPr="004A6C17" w:rsidP="004A6C17">
            <w:pPr>
              <w:pStyle w:val="ListBullet3"/>
            </w:pPr>
            <w:r w:rsidRPr="004A6C17">
              <w:t>Diagnostic, testing and restoration</w:t>
            </w:r>
          </w:p>
          <w:p w:rsidR="00000000" w:rsidRPr="004A6C17" w:rsidP="004A6C17">
            <w:pPr>
              <w:pStyle w:val="ListBullet3"/>
            </w:pPr>
            <w:r w:rsidRPr="004A6C17">
              <w:t>Documenting detail work events, record keeping and or storage of information</w:t>
            </w:r>
          </w:p>
          <w:p w:rsidR="00000000" w:rsidRPr="004A6C17" w:rsidP="004A6C17">
            <w:pPr>
              <w:pStyle w:val="ListBullet3"/>
            </w:pPr>
            <w:r w:rsidRPr="004A6C17">
              <w:t>Drawings and specifications</w:t>
            </w:r>
          </w:p>
          <w:p w:rsidR="00000000" w:rsidRPr="004A6C17" w:rsidP="004A6C17">
            <w:pPr>
              <w:pStyle w:val="ListBullet3"/>
            </w:pPr>
            <w:r w:rsidRPr="004A6C17">
              <w:t>Emergency</w:t>
            </w:r>
          </w:p>
          <w:p w:rsidR="00000000" w:rsidRPr="004A6C17" w:rsidP="004A6C17">
            <w:pPr>
              <w:pStyle w:val="ListBullet3"/>
            </w:pPr>
            <w:r w:rsidRPr="004A6C17">
              <w:t>Environmental and sustainable energy procedures</w:t>
            </w:r>
          </w:p>
          <w:p w:rsidR="00000000" w:rsidRPr="004A6C17" w:rsidP="004A6C17">
            <w:pPr>
              <w:pStyle w:val="ListBullet3"/>
            </w:pPr>
            <w:r w:rsidRPr="004A6C17">
              <w:t>Environmental legislation</w:t>
            </w:r>
          </w:p>
          <w:p w:rsidR="00000000" w:rsidRPr="004A6C17" w:rsidP="004A6C17">
            <w:pPr>
              <w:pStyle w:val="ListBullet3"/>
            </w:pPr>
            <w:r w:rsidRPr="004A6C17">
              <w:t>Environmental management documentation</w:t>
            </w:r>
          </w:p>
          <w:p w:rsidR="00000000" w:rsidRPr="004A6C17" w:rsidP="004A6C17">
            <w:pPr>
              <w:pStyle w:val="ListBullet3"/>
            </w:pPr>
            <w:r w:rsidRPr="004A6C17">
              <w:t>Established procedures</w:t>
            </w:r>
          </w:p>
          <w:p w:rsidR="00000000" w:rsidRPr="004A6C17" w:rsidP="004A6C17">
            <w:pPr>
              <w:pStyle w:val="ListBullet3"/>
            </w:pPr>
            <w:r w:rsidRPr="004A6C17">
              <w:t>Fall prevention</w:t>
            </w:r>
          </w:p>
          <w:p w:rsidR="00000000" w:rsidRPr="004A6C17" w:rsidP="004A6C17">
            <w:pPr>
              <w:pStyle w:val="ListBullet3"/>
            </w:pPr>
            <w:r w:rsidRPr="004A6C17">
              <w:t>Hazards</w:t>
            </w:r>
          </w:p>
          <w:p w:rsidR="00000000" w:rsidRPr="004A6C17" w:rsidP="004A6C17">
            <w:pPr>
              <w:pStyle w:val="ListBullet3"/>
            </w:pPr>
            <w:r w:rsidRPr="004A6C17">
              <w:t>Identifying hazards</w:t>
            </w:r>
          </w:p>
          <w:p w:rsidR="00000000" w:rsidRPr="004A6C17" w:rsidP="004A6C17">
            <w:pPr>
              <w:pStyle w:val="ListBullet3"/>
            </w:pPr>
            <w:r w:rsidRPr="004A6C17">
              <w:t>Inspect</w:t>
            </w:r>
          </w:p>
          <w:p w:rsidR="00000000" w:rsidRPr="004A6C17" w:rsidP="004A6C17">
            <w:pPr>
              <w:pStyle w:val="ListBullet3"/>
            </w:pPr>
            <w:r w:rsidRPr="004A6C17">
              <w:t>Legislation</w:t>
            </w:r>
          </w:p>
          <w:p w:rsidR="00000000" w:rsidRPr="004A6C17" w:rsidP="004A6C17">
            <w:pPr>
              <w:pStyle w:val="ListBullet3"/>
            </w:pPr>
            <w:r w:rsidRPr="004A6C17">
              <w:t>MSDS</w:t>
            </w:r>
          </w:p>
          <w:p w:rsidR="00000000" w:rsidRPr="004A6C17" w:rsidP="004A6C17">
            <w:pPr>
              <w:pStyle w:val="ListBullet3"/>
            </w:pPr>
            <w:r w:rsidRPr="004A6C17">
              <w:t>Notification</w:t>
            </w:r>
          </w:p>
          <w:p w:rsidR="00000000" w:rsidRPr="004A6C17" w:rsidP="004A6C17">
            <w:pPr>
              <w:pStyle w:val="ListBullet3"/>
            </w:pPr>
            <w:r w:rsidRPr="004A6C17">
              <w:t>OHS practices</w:t>
            </w:r>
          </w:p>
          <w:p w:rsidR="00000000" w:rsidRPr="004A6C17" w:rsidP="004A6C17">
            <w:pPr>
              <w:pStyle w:val="ListBullet3"/>
            </w:pPr>
            <w:r w:rsidRPr="004A6C17">
              <w:t>OHS issues</w:t>
            </w:r>
          </w:p>
          <w:p w:rsidR="00000000" w:rsidRPr="004A6C17" w:rsidP="004A6C17">
            <w:pPr>
              <w:pStyle w:val="ListBullet3"/>
            </w:pPr>
            <w:r w:rsidRPr="004A6C17">
              <w:t>Permits and/or permits to work</w:t>
            </w:r>
          </w:p>
          <w:p w:rsidR="00000000" w:rsidRPr="004A6C17" w:rsidP="004A6C17">
            <w:pPr>
              <w:pStyle w:val="ListBullet3"/>
            </w:pPr>
            <w:r w:rsidRPr="004A6C17">
              <w:t>Personnel</w:t>
            </w:r>
          </w:p>
          <w:p w:rsidR="00000000" w:rsidRPr="004A6C17" w:rsidP="004A6C17">
            <w:pPr>
              <w:pStyle w:val="ListBullet3"/>
            </w:pPr>
            <w:r w:rsidRPr="004A6C17">
              <w:t>Quality assurance systems</w:t>
            </w:r>
          </w:p>
          <w:p w:rsidR="00000000" w:rsidRPr="004A6C17" w:rsidP="004A6C17">
            <w:pPr>
              <w:pStyle w:val="ListBullet3"/>
            </w:pPr>
            <w:r w:rsidRPr="004A6C17">
              <w:t>Requirements</w:t>
            </w:r>
          </w:p>
          <w:p w:rsidR="00000000" w:rsidRPr="004A6C17" w:rsidP="004A6C17">
            <w:pPr>
              <w:pStyle w:val="ListBullet3"/>
            </w:pPr>
            <w:r w:rsidRPr="004A6C17">
              <w:t>Testing procedures</w:t>
            </w:r>
          </w:p>
          <w:p w:rsidR="00000000" w:rsidRPr="004A6C17" w:rsidP="004A6C17">
            <w:pPr>
              <w:pStyle w:val="ListBullet3"/>
            </w:pPr>
            <w:r w:rsidRPr="004A6C17">
              <w:t>Work clearance systems</w:t>
            </w:r>
          </w:p>
        </w:tc>
      </w:tr>
    </w:tbl>
    <w:p w:rsidR="00000000" w:rsidRPr="004A6C17" w:rsidP="004A6C17">
      <w:pPr>
        <w:pStyle w:val="BodyText"/>
      </w:pPr>
    </w:p>
    <w:p w:rsidR="00000000" w:rsidRPr="004A6C17" w:rsidP="004A6C17">
      <w:pPr>
        <w:pStyle w:val="AllowPageBreak"/>
      </w:pPr>
    </w:p>
    <w:p w:rsidR="00000000" w:rsidRPr="004A6C17" w:rsidP="004A6C17">
      <w:pPr>
        <w:pStyle w:val="Heading1"/>
      </w:pPr>
      <w:bookmarkStart w:id="12" w:name="O_464723"/>
      <w:bookmarkEnd w:id="12"/>
      <w:r w:rsidRPr="004A6C17">
        <w:t>Unit Sector(s)</w:t>
      </w:r>
    </w:p>
    <w:p w:rsidR="00000000" w:rsidRPr="004A6C17" w:rsidP="004A6C17">
      <w:pPr>
        <w:pStyle w:val="BodyText"/>
      </w:pPr>
      <w:r w:rsidRPr="004A6C17">
        <w:t>Not applicable.</w:t>
      </w:r>
    </w:p>
    <w:p w:rsidR="00000000" w:rsidRPr="004A6C17" w:rsidP="004A6C17">
      <w:pPr>
        <w:pStyle w:val="AllowPageBreak"/>
      </w:pPr>
    </w:p>
    <w:p w:rsidR="00000000" w:rsidRPr="004A6C17" w:rsidP="004A6C17">
      <w:pPr>
        <w:pStyle w:val="Heading1"/>
      </w:pPr>
      <w:bookmarkStart w:id="13" w:name="O_464712"/>
      <w:bookmarkEnd w:id="13"/>
      <w:r w:rsidRPr="004A6C17">
        <w:t>Competency Field</w:t>
      </w:r>
    </w:p>
    <w:tbl>
      <w:tblPr>
        <w:tblW w:w="0" w:type="auto"/>
        <w:tblLayout w:type="fixed"/>
        <w:tblCellMar>
          <w:left w:w="62" w:type="dxa"/>
          <w:right w:w="62" w:type="dxa"/>
        </w:tblCellMar>
        <w:tblLook w:val="0000"/>
      </w:tblPr>
      <w:tblGrid>
        <w:gridCol w:w="2700"/>
        <w:gridCol w:w="5760"/>
      </w:tblGrid>
      <w:tr w:rsidTr="00B037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A6C17">
            <w:pPr>
              <w:pStyle w:val="BodyText"/>
              <w:rPr>
                <w:lang w:val="en-NZ"/>
              </w:rPr>
            </w:pPr>
            <w:r w:rsidRPr="004A6C17">
              <w:rPr>
                <w:rStyle w:val="SpecialBold"/>
              </w:rPr>
              <w:t xml:space="preserve">11) </w:t>
            </w:r>
          </w:p>
        </w:tc>
      </w:tr>
      <w:tr w:rsidTr="00B037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6C17" w:rsidP="004A6C17">
            <w:pPr>
              <w:pStyle w:val="BodyText"/>
            </w:pPr>
            <w:r w:rsidRPr="004A6C17">
              <w:t>Testing Units</w:t>
            </w:r>
          </w:p>
        </w:tc>
      </w:tr>
    </w:tbl>
    <w:p w:rsidR="00000000" w:rsidRPr="004A6C17" w:rsidP="004A6C17">
      <w:pPr>
        <w:pStyle w:val="BodyText"/>
      </w:pPr>
    </w:p>
    <w:p w:rsidR="00000000" w:rsidRPr="004A6C17" w:rsidP="004A6C17"/>
    <w:sectPr w:rsidSect="004A6C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729" w:rsidP="00B03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29" w:rsidP="004A6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03729" w:rsidP="004A6C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03729" w:rsidP="004A6C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729" w:rsidP="00B037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29" w:rsidP="004A6C17">
    <w:pPr>
      <w:pStyle w:val="Header"/>
      <w:framePr w:wrap="around"/>
    </w:pPr>
    <w:r>
      <w:fldChar w:fldCharType="begin"/>
    </w:r>
    <w:r>
      <w:instrText xml:space="preserve"> TITLE   \* MERGEFORMAT </w:instrText>
    </w:r>
    <w:r>
      <w:fldChar w:fldCharType="separate"/>
    </w:r>
    <w:r>
      <w:t>UETTDRTS35A Maintain complex network protection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3729" w:rsidP="004A6C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5AA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C2D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205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C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6C17"/>
    <w:pPr>
      <w:spacing w:before="360" w:after="60"/>
      <w:outlineLvl w:val="0"/>
    </w:pPr>
    <w:rPr>
      <w:sz w:val="32"/>
    </w:rPr>
  </w:style>
  <w:style w:type="paragraph" w:styleId="Heading2">
    <w:name w:val="heading 2"/>
    <w:basedOn w:val="HeadingBase"/>
    <w:next w:val="BodyText"/>
    <w:link w:val="Heading2Char"/>
    <w:qFormat/>
    <w:rsid w:val="004A6C17"/>
    <w:pPr>
      <w:keepLines/>
      <w:spacing w:before="240" w:after="120"/>
      <w:outlineLvl w:val="1"/>
    </w:pPr>
    <w:rPr>
      <w:sz w:val="28"/>
      <w:szCs w:val="40"/>
    </w:rPr>
  </w:style>
  <w:style w:type="paragraph" w:styleId="Heading3">
    <w:name w:val="heading 3"/>
    <w:basedOn w:val="HeadingBase"/>
    <w:next w:val="BodyText"/>
    <w:link w:val="Heading3Char"/>
    <w:qFormat/>
    <w:rsid w:val="004A6C17"/>
    <w:pPr>
      <w:spacing w:before="180" w:after="120"/>
      <w:outlineLvl w:val="2"/>
    </w:pPr>
    <w:rPr>
      <w:spacing w:val="-10"/>
      <w:kern w:val="32"/>
    </w:rPr>
  </w:style>
  <w:style w:type="paragraph" w:styleId="Heading4">
    <w:name w:val="heading 4"/>
    <w:basedOn w:val="HeadingBase"/>
    <w:next w:val="BodyText"/>
    <w:link w:val="Heading4Char"/>
    <w:qFormat/>
    <w:rsid w:val="004A6C17"/>
    <w:pPr>
      <w:spacing w:before="160" w:after="120"/>
      <w:outlineLvl w:val="3"/>
    </w:pPr>
    <w:rPr>
      <w:sz w:val="22"/>
    </w:rPr>
  </w:style>
  <w:style w:type="paragraph" w:styleId="Heading5">
    <w:name w:val="heading 5"/>
    <w:basedOn w:val="HeadingBase"/>
    <w:next w:val="Normal"/>
    <w:link w:val="Heading5Char"/>
    <w:qFormat/>
    <w:rsid w:val="004A6C17"/>
    <w:pPr>
      <w:spacing w:before="80"/>
      <w:outlineLvl w:val="4"/>
    </w:pPr>
    <w:rPr>
      <w:color w:val="918585"/>
      <w:sz w:val="20"/>
    </w:rPr>
  </w:style>
  <w:style w:type="paragraph" w:styleId="Heading6">
    <w:name w:val="heading 6"/>
    <w:basedOn w:val="HeadingBase"/>
    <w:next w:val="Normal"/>
    <w:link w:val="Heading6Char"/>
    <w:qFormat/>
    <w:rsid w:val="004A6C17"/>
    <w:pPr>
      <w:spacing w:before="60"/>
      <w:outlineLvl w:val="5"/>
    </w:pPr>
    <w:rPr>
      <w:color w:val="918585"/>
      <w:sz w:val="20"/>
    </w:rPr>
  </w:style>
  <w:style w:type="paragraph" w:styleId="Heading7">
    <w:name w:val="heading 7"/>
    <w:basedOn w:val="Normal"/>
    <w:next w:val="Normal"/>
    <w:link w:val="Heading7Char"/>
    <w:qFormat/>
    <w:rsid w:val="004A6C17"/>
    <w:pPr>
      <w:ind w:left="720"/>
      <w:outlineLvl w:val="6"/>
    </w:pPr>
    <w:rPr>
      <w:i/>
    </w:rPr>
  </w:style>
  <w:style w:type="paragraph" w:styleId="Heading8">
    <w:name w:val="heading 8"/>
    <w:basedOn w:val="Normal"/>
    <w:next w:val="Normal"/>
    <w:link w:val="Heading8Char"/>
    <w:qFormat/>
    <w:rsid w:val="004A6C17"/>
    <w:pPr>
      <w:ind w:left="720"/>
      <w:outlineLvl w:val="7"/>
    </w:pPr>
    <w:rPr>
      <w:i/>
    </w:rPr>
  </w:style>
  <w:style w:type="paragraph" w:styleId="Heading9">
    <w:name w:val="heading 9"/>
    <w:basedOn w:val="Normal"/>
    <w:next w:val="Normal"/>
    <w:link w:val="Heading9Char"/>
    <w:qFormat/>
    <w:rsid w:val="004A6C17"/>
    <w:pPr>
      <w:ind w:left="720"/>
      <w:outlineLvl w:val="8"/>
    </w:pPr>
    <w:rPr>
      <w:i/>
    </w:rPr>
  </w:style>
  <w:style w:type="character" w:default="1" w:styleId="DefaultParagraphFont">
    <w:name w:val="Default Paragraph Font"/>
    <w:uiPriority w:val="1"/>
    <w:unhideWhenUsed/>
    <w:rsid w:val="004A6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C17"/>
  </w:style>
  <w:style w:type="character" w:customStyle="1" w:styleId="Heading1Char">
    <w:name w:val="Heading 1 Char"/>
    <w:basedOn w:val="DefaultParagraphFont"/>
    <w:link w:val="Heading1"/>
    <w:rsid w:val="004A6C17"/>
    <w:rPr>
      <w:rFonts w:ascii="Times New Roman" w:eastAsia="Times New Roman" w:hAnsi="Times New Roman" w:cs="Times New Roman"/>
      <w:b/>
      <w:sz w:val="32"/>
      <w:szCs w:val="20"/>
      <w:lang w:eastAsia="en-US"/>
    </w:rPr>
  </w:style>
  <w:style w:type="paragraph" w:styleId="BodyText">
    <w:name w:val="Body Text"/>
    <w:basedOn w:val="Normal"/>
    <w:link w:val="BodyTextChar"/>
    <w:rsid w:val="004A6C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6C17"/>
    <w:rPr>
      <w:rFonts w:ascii="Times New Roman" w:eastAsia="Times New Roman" w:hAnsi="Times New Roman" w:cs="Times New Roman"/>
      <w:sz w:val="24"/>
      <w:lang w:val="en-US" w:eastAsia="en-US"/>
    </w:rPr>
  </w:style>
  <w:style w:type="paragraph" w:styleId="Footer">
    <w:name w:val="footer"/>
    <w:basedOn w:val="Normal"/>
    <w:link w:val="FooterChar"/>
    <w:rsid w:val="004A6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C17"/>
    <w:rPr>
      <w:rFonts w:ascii="Times New Roman" w:eastAsia="Times New Roman" w:hAnsi="Times New Roman" w:cs="Times New Roman"/>
      <w:sz w:val="16"/>
      <w:lang w:val="en-US" w:eastAsia="en-US"/>
    </w:rPr>
  </w:style>
  <w:style w:type="paragraph" w:styleId="ListBullet">
    <w:name w:val="List Bullet"/>
    <w:basedOn w:val="List"/>
    <w:rsid w:val="004A6C17"/>
    <w:pPr>
      <w:numPr>
        <w:numId w:val="14"/>
      </w:numPr>
      <w:tabs>
        <w:tab w:val="clear" w:pos="340"/>
      </w:tabs>
      <w:spacing w:before="40" w:after="40"/>
    </w:pPr>
  </w:style>
  <w:style w:type="character" w:customStyle="1" w:styleId="SpecialBold">
    <w:name w:val="Special Bold"/>
    <w:basedOn w:val="DefaultParagraphFont"/>
    <w:rsid w:val="004A6C17"/>
    <w:rPr>
      <w:b/>
      <w:spacing w:val="0"/>
    </w:rPr>
  </w:style>
  <w:style w:type="paragraph" w:styleId="ListBullet2">
    <w:name w:val="List Bullet 2"/>
    <w:basedOn w:val="List2"/>
    <w:rsid w:val="004A6C17"/>
    <w:pPr>
      <w:numPr>
        <w:numId w:val="15"/>
      </w:numPr>
      <w:tabs>
        <w:tab w:val="clear" w:pos="680"/>
      </w:tabs>
    </w:pPr>
  </w:style>
  <w:style w:type="paragraph" w:styleId="Header">
    <w:name w:val="header"/>
    <w:basedOn w:val="Normal"/>
    <w:link w:val="HeaderChar"/>
    <w:rsid w:val="004A6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C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6C17"/>
    <w:pPr>
      <w:spacing w:before="240" w:after="120"/>
      <w:outlineLvl w:val="0"/>
    </w:pPr>
    <w:rPr>
      <w:rFonts w:ascii="Times New Roman" w:hAnsi="Times New Roman"/>
      <w:b/>
      <w:sz w:val="28"/>
    </w:rPr>
  </w:style>
  <w:style w:type="paragraph" w:customStyle="1" w:styleId="AllowPageBreak">
    <w:name w:val="AllowPageBreak"/>
    <w:rsid w:val="004A6C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6C17"/>
    <w:pPr>
      <w:numPr>
        <w:numId w:val="3"/>
      </w:numPr>
      <w:tabs>
        <w:tab w:val="clear" w:pos="1021"/>
      </w:tabs>
      <w:ind w:left="1037" w:hanging="357"/>
    </w:pPr>
  </w:style>
  <w:style w:type="character" w:customStyle="1" w:styleId="Heading2Char">
    <w:name w:val="Heading 2 Char"/>
    <w:basedOn w:val="DefaultParagraphFont"/>
    <w:link w:val="Heading2"/>
    <w:rsid w:val="004A6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C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6C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6C17"/>
    <w:rPr>
      <w:rFonts w:ascii="Courier New" w:eastAsia="Times New Roman" w:hAnsi="Courier New" w:cs="Times New Roman"/>
      <w:i/>
      <w:szCs w:val="20"/>
      <w:lang w:val="en-US" w:eastAsia="en-US"/>
    </w:rPr>
  </w:style>
  <w:style w:type="paragraph" w:customStyle="1" w:styleId="HeadingBase">
    <w:name w:val="Heading Base"/>
    <w:rsid w:val="004A6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C17"/>
    <w:pPr>
      <w:tabs>
        <w:tab w:val="right" w:leader="dot" w:pos="9072"/>
      </w:tabs>
      <w:ind w:left="567"/>
    </w:pPr>
    <w:rPr>
      <w:szCs w:val="22"/>
    </w:rPr>
  </w:style>
  <w:style w:type="paragraph" w:customStyle="1" w:styleId="TOCBase">
    <w:name w:val="TOC Base"/>
    <w:rsid w:val="004A6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C17"/>
    <w:pPr>
      <w:tabs>
        <w:tab w:val="right" w:leader="dot" w:pos="9072"/>
      </w:tabs>
      <w:spacing w:before="40" w:after="40"/>
      <w:ind w:left="284"/>
    </w:pPr>
    <w:rPr>
      <w:rFonts w:ascii="Times New Roman" w:hAnsi="Times New Roman"/>
    </w:rPr>
  </w:style>
  <w:style w:type="paragraph" w:styleId="TOC1">
    <w:name w:val="toc 1"/>
    <w:basedOn w:val="TOCBase"/>
    <w:next w:val="Normal"/>
    <w:rsid w:val="004A6C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6C17"/>
    <w:pPr>
      <w:spacing w:before="5040"/>
      <w:jc w:val="center"/>
    </w:pPr>
    <w:rPr>
      <w:sz w:val="48"/>
      <w:szCs w:val="72"/>
      <w:lang w:val="en-US"/>
    </w:rPr>
  </w:style>
  <w:style w:type="character" w:customStyle="1" w:styleId="TitleChar">
    <w:name w:val="Title Char"/>
    <w:basedOn w:val="DefaultParagraphFont"/>
    <w:link w:val="Title"/>
    <w:rsid w:val="004A6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C17"/>
    <w:pPr>
      <w:tabs>
        <w:tab w:val="left" w:pos="3600"/>
        <w:tab w:val="left" w:pos="3958"/>
      </w:tabs>
    </w:pPr>
  </w:style>
  <w:style w:type="paragraph" w:styleId="List">
    <w:name w:val="List"/>
    <w:basedOn w:val="BodyText"/>
    <w:next w:val="BodyText"/>
    <w:rsid w:val="004A6C17"/>
    <w:pPr>
      <w:tabs>
        <w:tab w:val="left" w:pos="340"/>
      </w:tabs>
      <w:spacing w:before="60" w:after="60"/>
      <w:ind w:left="340" w:hanging="340"/>
    </w:pPr>
  </w:style>
  <w:style w:type="paragraph" w:customStyle="1" w:styleId="Note">
    <w:name w:val="Note"/>
    <w:basedOn w:val="BodyText"/>
    <w:rsid w:val="004A6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C17"/>
    <w:pPr>
      <w:framePr w:wrap="auto" w:hAnchor="text" w:y="6049"/>
    </w:pPr>
    <w:rPr>
      <w:color w:val="000000"/>
      <w:sz w:val="40"/>
    </w:rPr>
  </w:style>
  <w:style w:type="paragraph" w:customStyle="1" w:styleId="TOCTitle">
    <w:name w:val="TOCTitle"/>
    <w:basedOn w:val="Heading1"/>
    <w:rsid w:val="004A6C17"/>
    <w:pPr>
      <w:spacing w:after="240"/>
      <w:jc w:val="center"/>
      <w:outlineLvl w:val="9"/>
    </w:pPr>
    <w:rPr>
      <w:caps/>
    </w:rPr>
  </w:style>
  <w:style w:type="paragraph" w:customStyle="1" w:styleId="Version">
    <w:name w:val="Version"/>
    <w:rsid w:val="004A6C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6C17"/>
    <w:pPr>
      <w:keepNext w:val="0"/>
      <w:tabs>
        <w:tab w:val="right" w:pos="4176"/>
      </w:tabs>
      <w:ind w:left="198" w:hanging="198"/>
    </w:pPr>
    <w:rPr>
      <w:rFonts w:ascii="Garamond" w:hAnsi="Garamond"/>
    </w:rPr>
  </w:style>
  <w:style w:type="paragraph" w:styleId="IndexHeading">
    <w:name w:val="index heading"/>
    <w:basedOn w:val="Normal"/>
    <w:next w:val="Index1"/>
    <w:semiHidden/>
    <w:rsid w:val="004A6C17"/>
    <w:pPr>
      <w:spacing w:before="120" w:after="120"/>
    </w:pPr>
    <w:rPr>
      <w:rFonts w:ascii="Arial" w:hAnsi="Arial"/>
      <w:b/>
      <w:color w:val="918585"/>
      <w:sz w:val="24"/>
    </w:rPr>
  </w:style>
  <w:style w:type="paragraph" w:customStyle="1" w:styleId="Chapter">
    <w:name w:val="Chapter"/>
    <w:basedOn w:val="Normal"/>
    <w:rsid w:val="004A6C17"/>
    <w:pPr>
      <w:spacing w:before="240"/>
    </w:pPr>
    <w:rPr>
      <w:rFonts w:ascii="Times New Roman" w:hAnsi="Times New Roman"/>
      <w:smallCaps/>
      <w:spacing w:val="80"/>
      <w:sz w:val="28"/>
    </w:rPr>
  </w:style>
  <w:style w:type="paragraph" w:customStyle="1" w:styleId="InChapter">
    <w:name w:val="InChapter"/>
    <w:basedOn w:val="Heading3"/>
    <w:rsid w:val="004A6C17"/>
    <w:pPr>
      <w:spacing w:after="240"/>
      <w:outlineLvl w:val="9"/>
    </w:pPr>
    <w:rPr>
      <w:noProof/>
    </w:rPr>
  </w:style>
  <w:style w:type="paragraph" w:styleId="Index2">
    <w:name w:val="index 2"/>
    <w:basedOn w:val="Normal"/>
    <w:next w:val="Normal"/>
    <w:semiHidden/>
    <w:rsid w:val="004A6C17"/>
    <w:pPr>
      <w:tabs>
        <w:tab w:val="right" w:pos="4176"/>
      </w:tabs>
      <w:ind w:left="568" w:hanging="284"/>
    </w:pPr>
    <w:rPr>
      <w:rFonts w:ascii="Garamond" w:hAnsi="Garamond"/>
    </w:rPr>
  </w:style>
  <w:style w:type="paragraph" w:customStyle="1" w:styleId="Byline">
    <w:name w:val="Byline"/>
    <w:rsid w:val="004A6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C17"/>
    <w:pPr>
      <w:tabs>
        <w:tab w:val="clear" w:pos="3600"/>
        <w:tab w:val="clear" w:pos="3958"/>
      </w:tabs>
      <w:jc w:val="right"/>
    </w:pPr>
  </w:style>
  <w:style w:type="character" w:styleId="Emphasis">
    <w:name w:val="Emphasis"/>
    <w:basedOn w:val="DefaultParagraphFont"/>
    <w:qFormat/>
    <w:rsid w:val="004A6C17"/>
    <w:rPr>
      <w:i/>
    </w:rPr>
  </w:style>
  <w:style w:type="paragraph" w:styleId="Caption">
    <w:name w:val="caption"/>
    <w:basedOn w:val="BodyText"/>
    <w:next w:val="Normal"/>
    <w:qFormat/>
    <w:rsid w:val="004A6C17"/>
    <w:pPr>
      <w:framePr w:w="2268" w:hSpace="181" w:vSpace="181" w:wrap="around" w:vAnchor="text" w:hAnchor="page" w:x="1135" w:y="285" w:anchorLock="1"/>
    </w:pPr>
    <w:rPr>
      <w:i/>
    </w:rPr>
  </w:style>
  <w:style w:type="paragraph" w:customStyle="1" w:styleId="MiniTOCTitle">
    <w:name w:val="MiniTOCTitle"/>
    <w:basedOn w:val="Heading4"/>
    <w:rsid w:val="004A6C17"/>
    <w:pPr>
      <w:spacing w:before="240"/>
      <w:outlineLvl w:val="9"/>
    </w:pPr>
    <w:rPr>
      <w:noProof/>
      <w:sz w:val="24"/>
    </w:rPr>
  </w:style>
  <w:style w:type="paragraph" w:customStyle="1" w:styleId="MiniTOCItem">
    <w:name w:val="MiniTOCItem"/>
    <w:basedOn w:val="ListBullet"/>
    <w:rsid w:val="004A6C17"/>
    <w:pPr>
      <w:numPr>
        <w:numId w:val="0"/>
      </w:numPr>
      <w:tabs>
        <w:tab w:val="right" w:leader="dot" w:pos="6521"/>
      </w:tabs>
      <w:spacing w:before="0" w:after="0"/>
    </w:pPr>
  </w:style>
  <w:style w:type="paragraph" w:customStyle="1" w:styleId="TOFTitle">
    <w:name w:val="TOFTitle"/>
    <w:basedOn w:val="TOCTitle"/>
    <w:rsid w:val="004A6C17"/>
  </w:style>
  <w:style w:type="paragraph" w:styleId="TableofFigures">
    <w:name w:val="table of figures"/>
    <w:basedOn w:val="Normal"/>
    <w:next w:val="Normal"/>
    <w:semiHidden/>
    <w:rsid w:val="004A6C17"/>
    <w:pPr>
      <w:tabs>
        <w:tab w:val="right" w:leader="dot" w:pos="9072"/>
      </w:tabs>
      <w:ind w:left="970" w:hanging="403"/>
    </w:pPr>
    <w:rPr>
      <w:rFonts w:ascii="Times New Roman" w:hAnsi="Times New Roman"/>
      <w:b/>
    </w:rPr>
  </w:style>
  <w:style w:type="paragraph" w:styleId="ListNumber">
    <w:name w:val="List Number"/>
    <w:basedOn w:val="List"/>
    <w:rsid w:val="004A6C17"/>
    <w:pPr>
      <w:numPr>
        <w:numId w:val="12"/>
      </w:numPr>
    </w:pPr>
  </w:style>
  <w:style w:type="character" w:customStyle="1" w:styleId="WingdingSymbols">
    <w:name w:val="Wingding Symbols"/>
    <w:rsid w:val="004A6C17"/>
    <w:rPr>
      <w:rFonts w:ascii="Wingdings" w:hAnsi="Wingdings"/>
    </w:rPr>
  </w:style>
  <w:style w:type="paragraph" w:customStyle="1" w:styleId="TableHeading">
    <w:name w:val="Table Heading"/>
    <w:basedOn w:val="HeadingBase"/>
    <w:rsid w:val="004A6C17"/>
    <w:pPr>
      <w:keepLines/>
      <w:pBdr>
        <w:bottom w:val="single" w:sz="6" w:space="1" w:color="918585"/>
      </w:pBdr>
      <w:spacing w:before="240"/>
    </w:pPr>
  </w:style>
  <w:style w:type="character" w:customStyle="1" w:styleId="HotSpot">
    <w:name w:val="HotSpot"/>
    <w:rsid w:val="004A6C17"/>
    <w:rPr>
      <w:color w:val="0033CC"/>
      <w:u w:val="none"/>
    </w:rPr>
  </w:style>
  <w:style w:type="paragraph" w:customStyle="1" w:styleId="BodyTextRight">
    <w:name w:val="Body Text Right"/>
    <w:basedOn w:val="BodyText"/>
    <w:rsid w:val="004A6C17"/>
    <w:pPr>
      <w:spacing w:before="0" w:after="0"/>
      <w:jc w:val="right"/>
    </w:pPr>
  </w:style>
  <w:style w:type="paragraph" w:styleId="Index3">
    <w:name w:val="index 3"/>
    <w:basedOn w:val="ListNumber2"/>
    <w:next w:val="Normal"/>
    <w:semiHidden/>
    <w:rsid w:val="004A6C17"/>
    <w:pPr>
      <w:numPr>
        <w:numId w:val="0"/>
      </w:numPr>
      <w:tabs>
        <w:tab w:val="right" w:leader="dot" w:pos="4176"/>
      </w:tabs>
    </w:pPr>
  </w:style>
  <w:style w:type="paragraph" w:styleId="ListNumber2">
    <w:name w:val="List Number 2"/>
    <w:basedOn w:val="List2"/>
    <w:rsid w:val="004A6C17"/>
    <w:pPr>
      <w:numPr>
        <w:numId w:val="11"/>
      </w:numPr>
      <w:tabs>
        <w:tab w:val="clear" w:pos="1060"/>
      </w:tabs>
    </w:pPr>
  </w:style>
  <w:style w:type="paragraph" w:customStyle="1" w:styleId="MarginNote">
    <w:name w:val="Margin Note"/>
    <w:basedOn w:val="BodyText"/>
    <w:rsid w:val="004A6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C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6C17"/>
    <w:rPr>
      <w:sz w:val="32"/>
    </w:rPr>
  </w:style>
  <w:style w:type="paragraph" w:customStyle="1" w:styleId="HeadingProcedure">
    <w:name w:val="Heading Procedure"/>
    <w:basedOn w:val="HeadingBase"/>
    <w:next w:val="Normal"/>
    <w:rsid w:val="004A6C17"/>
    <w:pPr>
      <w:tabs>
        <w:tab w:val="left" w:pos="0"/>
      </w:tabs>
      <w:spacing w:before="120" w:after="60"/>
    </w:pPr>
    <w:rPr>
      <w:i/>
      <w:color w:val="918585"/>
      <w:sz w:val="22"/>
    </w:rPr>
  </w:style>
  <w:style w:type="paragraph" w:customStyle="1" w:styleId="TableBodyText">
    <w:name w:val="Table Body Text"/>
    <w:basedOn w:val="BodyText"/>
    <w:rsid w:val="004A6C17"/>
    <w:pPr>
      <w:spacing w:before="60" w:after="60"/>
    </w:pPr>
  </w:style>
  <w:style w:type="paragraph" w:styleId="ListContinue">
    <w:name w:val="List Continue"/>
    <w:basedOn w:val="List"/>
    <w:rsid w:val="004A6C17"/>
    <w:pPr>
      <w:ind w:firstLine="0"/>
    </w:pPr>
  </w:style>
  <w:style w:type="paragraph" w:customStyle="1" w:styleId="ListNote">
    <w:name w:val="List Note"/>
    <w:basedOn w:val="List"/>
    <w:rsid w:val="004A6C17"/>
    <w:pPr>
      <w:pBdr>
        <w:top w:val="single" w:sz="6" w:space="2" w:color="918585"/>
        <w:bottom w:val="single" w:sz="6" w:space="2" w:color="918585"/>
      </w:pBdr>
      <w:tabs>
        <w:tab w:val="left" w:pos="1021"/>
      </w:tabs>
      <w:ind w:firstLine="0"/>
    </w:pPr>
  </w:style>
  <w:style w:type="paragraph" w:customStyle="1" w:styleId="Warning">
    <w:name w:val="Warning"/>
    <w:basedOn w:val="BodyText"/>
    <w:rsid w:val="004A6C17"/>
    <w:pPr>
      <w:shd w:val="clear" w:color="auto" w:fill="D9D9D9"/>
      <w:tabs>
        <w:tab w:val="left" w:pos="992"/>
      </w:tabs>
      <w:ind w:left="119" w:right="119"/>
    </w:pPr>
    <w:rPr>
      <w:sz w:val="20"/>
    </w:rPr>
  </w:style>
  <w:style w:type="paragraph" w:customStyle="1" w:styleId="MarginIcons">
    <w:name w:val="Margin Icons"/>
    <w:basedOn w:val="BodyText"/>
    <w:rsid w:val="004A6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C17"/>
    <w:rPr>
      <w:rFonts w:ascii="Courier New" w:hAnsi="Courier New"/>
    </w:rPr>
  </w:style>
  <w:style w:type="paragraph" w:customStyle="1" w:styleId="NoteBullet">
    <w:name w:val="Note Bullet"/>
    <w:basedOn w:val="Note"/>
    <w:rsid w:val="004A6C17"/>
    <w:pPr>
      <w:tabs>
        <w:tab w:val="clear" w:pos="680"/>
      </w:tabs>
      <w:spacing w:before="60" w:after="60"/>
    </w:pPr>
  </w:style>
  <w:style w:type="paragraph" w:customStyle="1" w:styleId="SubHeading2">
    <w:name w:val="SubHeading2"/>
    <w:basedOn w:val="HeadingBase"/>
    <w:rsid w:val="004A6C17"/>
    <w:pPr>
      <w:spacing w:before="240" w:after="60"/>
    </w:pPr>
    <w:rPr>
      <w:sz w:val="20"/>
    </w:rPr>
  </w:style>
  <w:style w:type="paragraph" w:customStyle="1" w:styleId="SubHeading1">
    <w:name w:val="SubHeading1"/>
    <w:basedOn w:val="HeadingBase"/>
    <w:rsid w:val="004A6C17"/>
    <w:pPr>
      <w:spacing w:before="240" w:after="60"/>
    </w:pPr>
    <w:rPr>
      <w:color w:val="918585"/>
      <w:sz w:val="22"/>
    </w:rPr>
  </w:style>
  <w:style w:type="paragraph" w:customStyle="1" w:styleId="SideHeading">
    <w:name w:val="Side Heading"/>
    <w:basedOn w:val="HeadingBase"/>
    <w:rsid w:val="004A6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C17"/>
    <w:pPr>
      <w:numPr>
        <w:numId w:val="13"/>
      </w:numPr>
    </w:pPr>
  </w:style>
  <w:style w:type="paragraph" w:styleId="PlainText">
    <w:name w:val="Plain Text"/>
    <w:basedOn w:val="Normal"/>
    <w:link w:val="PlainTextChar"/>
    <w:rsid w:val="004A6C17"/>
    <w:rPr>
      <w:sz w:val="20"/>
    </w:rPr>
  </w:style>
  <w:style w:type="character" w:customStyle="1" w:styleId="PlainTextChar">
    <w:name w:val="Plain Text Char"/>
    <w:basedOn w:val="DefaultParagraphFont"/>
    <w:link w:val="PlainText"/>
    <w:rsid w:val="004A6C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6C17"/>
    <w:rPr>
      <w:b/>
      <w:smallCaps/>
    </w:rPr>
  </w:style>
  <w:style w:type="paragraph" w:customStyle="1" w:styleId="TableListNumber">
    <w:name w:val="Table List Number"/>
    <w:basedOn w:val="ListNumber"/>
    <w:rsid w:val="004A6C17"/>
    <w:pPr>
      <w:numPr>
        <w:numId w:val="0"/>
      </w:numPr>
    </w:pPr>
  </w:style>
  <w:style w:type="paragraph" w:styleId="TOC4">
    <w:name w:val="toc 4"/>
    <w:basedOn w:val="TOCBase"/>
    <w:next w:val="Normal"/>
    <w:semiHidden/>
    <w:rsid w:val="004A6C17"/>
    <w:pPr>
      <w:tabs>
        <w:tab w:val="right" w:leader="dot" w:pos="9071"/>
      </w:tabs>
      <w:ind w:left="1701"/>
    </w:pPr>
  </w:style>
  <w:style w:type="paragraph" w:customStyle="1" w:styleId="ListAlpha">
    <w:name w:val="List Alpha"/>
    <w:basedOn w:val="List"/>
    <w:rsid w:val="004A6C17"/>
    <w:pPr>
      <w:numPr>
        <w:numId w:val="10"/>
      </w:numPr>
    </w:pPr>
  </w:style>
  <w:style w:type="paragraph" w:customStyle="1" w:styleId="ListAlpha2">
    <w:name w:val="List Alpha 2"/>
    <w:basedOn w:val="List2"/>
    <w:rsid w:val="004A6C17"/>
    <w:pPr>
      <w:numPr>
        <w:numId w:val="9"/>
      </w:numPr>
    </w:pPr>
  </w:style>
  <w:style w:type="paragraph" w:styleId="List2">
    <w:name w:val="List 2"/>
    <w:basedOn w:val="BodyText"/>
    <w:rsid w:val="004A6C17"/>
    <w:pPr>
      <w:tabs>
        <w:tab w:val="left" w:pos="680"/>
      </w:tabs>
      <w:spacing w:before="60" w:after="60"/>
      <w:ind w:left="680" w:hanging="340"/>
    </w:pPr>
  </w:style>
  <w:style w:type="paragraph" w:styleId="List3">
    <w:name w:val="List 3"/>
    <w:basedOn w:val="BodyText"/>
    <w:rsid w:val="004A6C17"/>
    <w:pPr>
      <w:tabs>
        <w:tab w:val="left" w:pos="1021"/>
      </w:tabs>
      <w:spacing w:before="60" w:after="60"/>
      <w:ind w:left="1020" w:hanging="340"/>
    </w:pPr>
  </w:style>
  <w:style w:type="paragraph" w:styleId="List4">
    <w:name w:val="List 4"/>
    <w:basedOn w:val="BodyText"/>
    <w:rsid w:val="004A6C17"/>
    <w:pPr>
      <w:tabs>
        <w:tab w:val="left" w:pos="1361"/>
      </w:tabs>
      <w:spacing w:before="60" w:after="60"/>
      <w:ind w:left="1361" w:hanging="340"/>
    </w:pPr>
  </w:style>
  <w:style w:type="paragraph" w:styleId="List5">
    <w:name w:val="List 5"/>
    <w:basedOn w:val="BodyText"/>
    <w:rsid w:val="004A6C17"/>
    <w:pPr>
      <w:tabs>
        <w:tab w:val="left" w:pos="1701"/>
      </w:tabs>
      <w:spacing w:before="60" w:after="60"/>
      <w:ind w:left="1701" w:hanging="340"/>
    </w:pPr>
  </w:style>
  <w:style w:type="paragraph" w:styleId="ListBullet4">
    <w:name w:val="List Bullet 4"/>
    <w:basedOn w:val="List4"/>
    <w:rsid w:val="004A6C17"/>
    <w:pPr>
      <w:numPr>
        <w:numId w:val="4"/>
      </w:numPr>
    </w:pPr>
  </w:style>
  <w:style w:type="paragraph" w:styleId="ListBullet5">
    <w:name w:val="List Bullet 5"/>
    <w:basedOn w:val="List5"/>
    <w:rsid w:val="004A6C17"/>
    <w:pPr>
      <w:numPr>
        <w:numId w:val="5"/>
      </w:numPr>
    </w:pPr>
  </w:style>
  <w:style w:type="paragraph" w:styleId="ListContinue2">
    <w:name w:val="List Continue 2"/>
    <w:basedOn w:val="List2"/>
    <w:rsid w:val="004A6C17"/>
    <w:pPr>
      <w:ind w:firstLine="0"/>
    </w:pPr>
  </w:style>
  <w:style w:type="paragraph" w:styleId="ListContinue3">
    <w:name w:val="List Continue 3"/>
    <w:basedOn w:val="List3"/>
    <w:rsid w:val="004A6C17"/>
    <w:pPr>
      <w:ind w:left="1021" w:firstLine="0"/>
    </w:pPr>
  </w:style>
  <w:style w:type="paragraph" w:styleId="ListContinue4">
    <w:name w:val="List Continue 4"/>
    <w:basedOn w:val="List4"/>
    <w:rsid w:val="004A6C17"/>
    <w:pPr>
      <w:ind w:firstLine="0"/>
    </w:pPr>
  </w:style>
  <w:style w:type="paragraph" w:styleId="ListContinue5">
    <w:name w:val="List Continue 5"/>
    <w:basedOn w:val="List5"/>
    <w:rsid w:val="004A6C17"/>
    <w:pPr>
      <w:ind w:firstLine="0"/>
    </w:pPr>
  </w:style>
  <w:style w:type="paragraph" w:styleId="ListNumber3">
    <w:name w:val="List Number 3"/>
    <w:basedOn w:val="List3"/>
    <w:rsid w:val="004A6C17"/>
    <w:pPr>
      <w:numPr>
        <w:numId w:val="6"/>
      </w:numPr>
    </w:pPr>
  </w:style>
  <w:style w:type="paragraph" w:styleId="ListNumber4">
    <w:name w:val="List Number 4"/>
    <w:basedOn w:val="List4"/>
    <w:rsid w:val="004A6C17"/>
    <w:pPr>
      <w:numPr>
        <w:numId w:val="7"/>
      </w:numPr>
    </w:pPr>
  </w:style>
  <w:style w:type="paragraph" w:styleId="ListNumber5">
    <w:name w:val="List Number 5"/>
    <w:basedOn w:val="List5"/>
    <w:rsid w:val="004A6C17"/>
    <w:pPr>
      <w:numPr>
        <w:numId w:val="8"/>
      </w:numPr>
    </w:pPr>
  </w:style>
  <w:style w:type="paragraph" w:styleId="BlockText">
    <w:name w:val="Block Text"/>
    <w:basedOn w:val="Normal"/>
    <w:rsid w:val="004A6C17"/>
    <w:pPr>
      <w:spacing w:after="120"/>
      <w:ind w:left="1440" w:right="1440"/>
    </w:pPr>
  </w:style>
  <w:style w:type="character" w:customStyle="1" w:styleId="Subscript">
    <w:name w:val="Subscript"/>
    <w:basedOn w:val="DefaultParagraphFont"/>
    <w:rsid w:val="004A6C17"/>
    <w:rPr>
      <w:sz w:val="16"/>
      <w:vertAlign w:val="subscript"/>
    </w:rPr>
  </w:style>
  <w:style w:type="character" w:customStyle="1" w:styleId="Superscript">
    <w:name w:val="Superscript"/>
    <w:basedOn w:val="DefaultParagraphFont"/>
    <w:rsid w:val="004A6C17"/>
    <w:rPr>
      <w:sz w:val="16"/>
      <w:vertAlign w:val="superscript"/>
    </w:rPr>
  </w:style>
  <w:style w:type="character" w:customStyle="1" w:styleId="Symbols">
    <w:name w:val="Symbols"/>
    <w:basedOn w:val="DefaultParagraphFont"/>
    <w:rsid w:val="004A6C17"/>
    <w:rPr>
      <w:rFonts w:ascii="Symbol" w:hAnsi="Symbol"/>
    </w:rPr>
  </w:style>
  <w:style w:type="character" w:customStyle="1" w:styleId="MenuOptions">
    <w:name w:val="Menu Options"/>
    <w:basedOn w:val="DefaultParagraphFont"/>
    <w:rsid w:val="004A6C17"/>
    <w:rPr>
      <w:rFonts w:ascii="Arial Narrow" w:hAnsi="Arial Narrow"/>
      <w:smallCaps/>
    </w:rPr>
  </w:style>
  <w:style w:type="character" w:customStyle="1" w:styleId="Buttons">
    <w:name w:val="Buttons"/>
    <w:basedOn w:val="DefaultParagraphFont"/>
    <w:rsid w:val="004A6C17"/>
    <w:rPr>
      <w:b/>
    </w:rPr>
  </w:style>
  <w:style w:type="character" w:customStyle="1" w:styleId="Underlined">
    <w:name w:val="Underlined"/>
    <w:basedOn w:val="DefaultParagraphFont"/>
    <w:rsid w:val="004A6C17"/>
    <w:rPr>
      <w:u w:val="single"/>
    </w:rPr>
  </w:style>
  <w:style w:type="paragraph" w:customStyle="1" w:styleId="TableBodyTextRight">
    <w:name w:val="Table Body Text Right"/>
    <w:basedOn w:val="TableBodyText"/>
    <w:rsid w:val="004A6C17"/>
    <w:pPr>
      <w:widowControl w:val="0"/>
      <w:autoSpaceDE w:val="0"/>
      <w:autoSpaceDN w:val="0"/>
      <w:adjustRightInd w:val="0"/>
      <w:jc w:val="right"/>
    </w:pPr>
    <w:rPr>
      <w:rFonts w:cs="Arial"/>
      <w:szCs w:val="18"/>
    </w:rPr>
  </w:style>
  <w:style w:type="paragraph" w:customStyle="1" w:styleId="CopyrightText">
    <w:name w:val="Copyright Text"/>
    <w:basedOn w:val="BodyText"/>
    <w:rsid w:val="004A6C17"/>
    <w:rPr>
      <w:sz w:val="18"/>
    </w:rPr>
  </w:style>
  <w:style w:type="paragraph" w:customStyle="1" w:styleId="BodySmallRight">
    <w:name w:val="Body Small Right"/>
    <w:basedOn w:val="BodyTextRight"/>
    <w:rsid w:val="004A6C17"/>
    <w:rPr>
      <w:sz w:val="18"/>
      <w:szCs w:val="18"/>
    </w:rPr>
  </w:style>
  <w:style w:type="paragraph" w:customStyle="1" w:styleId="MarginEdition">
    <w:name w:val="Margin Edition"/>
    <w:basedOn w:val="MarginNote"/>
    <w:rsid w:val="004A6C17"/>
    <w:pPr>
      <w:spacing w:before="0" w:after="0"/>
    </w:pPr>
    <w:rPr>
      <w:rFonts w:ascii="Times New Roman" w:hAnsi="Times New Roman"/>
      <w:color w:val="999999"/>
    </w:rPr>
  </w:style>
  <w:style w:type="paragraph" w:customStyle="1" w:styleId="Spacer">
    <w:name w:val="Spacer"/>
    <w:basedOn w:val="Normal"/>
    <w:rsid w:val="004A6C17"/>
    <w:rPr>
      <w:sz w:val="2"/>
      <w:szCs w:val="2"/>
    </w:rPr>
  </w:style>
  <w:style w:type="character" w:customStyle="1" w:styleId="Small">
    <w:name w:val="Small"/>
    <w:basedOn w:val="DefaultParagraphFont"/>
    <w:rsid w:val="004A6C17"/>
    <w:rPr>
      <w:sz w:val="16"/>
    </w:rPr>
  </w:style>
  <w:style w:type="paragraph" w:customStyle="1" w:styleId="WideTable">
    <w:name w:val="Wide Table"/>
    <w:basedOn w:val="Normal"/>
    <w:rsid w:val="004A6C17"/>
    <w:pPr>
      <w:ind w:left="-1418"/>
    </w:pPr>
    <w:rPr>
      <w:sz w:val="2"/>
      <w:szCs w:val="2"/>
    </w:rPr>
  </w:style>
  <w:style w:type="character" w:styleId="PageNumber">
    <w:name w:val="page number"/>
    <w:basedOn w:val="DefaultParagraphFont"/>
    <w:rsid w:val="004A6C17"/>
  </w:style>
  <w:style w:type="paragraph" w:styleId="Quote">
    <w:name w:val="Quote"/>
    <w:basedOn w:val="Heading1"/>
    <w:link w:val="QuoteChar"/>
    <w:qFormat/>
    <w:rsid w:val="004A6C17"/>
    <w:rPr>
      <w:b w:val="0"/>
      <w:sz w:val="72"/>
      <w:szCs w:val="72"/>
      <w:lang w:val="en-NZ"/>
    </w:rPr>
  </w:style>
  <w:style w:type="character" w:customStyle="1" w:styleId="QuoteChar">
    <w:name w:val="Quote Char"/>
    <w:basedOn w:val="DefaultParagraphFont"/>
    <w:link w:val="Quote"/>
    <w:rsid w:val="004A6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C17"/>
    <w:pPr>
      <w:pageBreakBefore/>
    </w:pPr>
  </w:style>
  <w:style w:type="paragraph" w:customStyle="1" w:styleId="Border">
    <w:name w:val="Border"/>
    <w:basedOn w:val="Normal"/>
    <w:qFormat/>
    <w:rsid w:val="004A6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C17"/>
    <w:rPr>
      <w:b/>
      <w:bCs/>
      <w:i/>
      <w:iCs/>
      <w:color w:val="auto"/>
    </w:rPr>
  </w:style>
  <w:style w:type="paragraph" w:styleId="IntenseQuote">
    <w:name w:val="Intense Quote"/>
    <w:basedOn w:val="Normal"/>
    <w:next w:val="Normal"/>
    <w:link w:val="IntenseQuoteChar"/>
    <w:uiPriority w:val="30"/>
    <w:qFormat/>
    <w:rsid w:val="004A6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C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6C17"/>
    <w:rPr>
      <w:smallCaps/>
      <w:color w:val="auto"/>
      <w:u w:val="single"/>
    </w:rPr>
  </w:style>
  <w:style w:type="character" w:styleId="IntenseReference">
    <w:name w:val="Intense Reference"/>
    <w:basedOn w:val="DefaultParagraphFont"/>
    <w:uiPriority w:val="32"/>
    <w:qFormat/>
    <w:rsid w:val="004A6C17"/>
    <w:rPr>
      <w:b/>
      <w:bCs/>
      <w:smallCaps/>
      <w:color w:val="auto"/>
      <w:spacing w:val="5"/>
      <w:u w:val="single"/>
    </w:rPr>
  </w:style>
  <w:style w:type="paragraph" w:customStyle="1" w:styleId="2ColumnHeading">
    <w:name w:val="2Column Heading"/>
    <w:basedOn w:val="BodyText"/>
    <w:qFormat/>
    <w:rsid w:val="004A6C17"/>
    <w:pPr>
      <w:spacing w:after="60"/>
      <w:ind w:left="-2268"/>
    </w:pPr>
    <w:rPr>
      <w:b/>
    </w:rPr>
  </w:style>
  <w:style w:type="paragraph" w:customStyle="1" w:styleId="Heading1TOC">
    <w:name w:val="Heading1 TOC"/>
    <w:basedOn w:val="Normal"/>
    <w:qFormat/>
    <w:rsid w:val="004A6C17"/>
    <w:pPr>
      <w:spacing w:before="240" w:after="120"/>
    </w:pPr>
    <w:rPr>
      <w:rFonts w:ascii="Times New Roman" w:hAnsi="Times New Roman"/>
      <w:b/>
      <w:sz w:val="32"/>
    </w:rPr>
  </w:style>
  <w:style w:type="paragraph" w:customStyle="1" w:styleId="Heading2TOC">
    <w:name w:val="Heading2 TOC"/>
    <w:basedOn w:val="Normal"/>
    <w:qFormat/>
    <w:rsid w:val="004A6C17"/>
    <w:pPr>
      <w:spacing w:before="240" w:after="60"/>
    </w:pPr>
    <w:rPr>
      <w:rFonts w:ascii="Times New Roman" w:hAnsi="Times New Roman"/>
      <w:b/>
      <w:sz w:val="28"/>
    </w:rPr>
  </w:style>
  <w:style w:type="character" w:customStyle="1" w:styleId="Underline">
    <w:name w:val="Underline"/>
    <w:basedOn w:val="DefaultParagraphFont"/>
    <w:qFormat/>
    <w:rsid w:val="004A6C17"/>
    <w:rPr>
      <w:u w:val="single"/>
    </w:rPr>
  </w:style>
  <w:style w:type="character" w:customStyle="1" w:styleId="BoldandItalics">
    <w:name w:val="Bold and Italics"/>
    <w:qFormat/>
    <w:rsid w:val="004A6C17"/>
    <w:rPr>
      <w:b/>
      <w:i/>
      <w:u w:val="none"/>
    </w:rPr>
  </w:style>
  <w:style w:type="paragraph" w:styleId="BalloonText">
    <w:name w:val="Balloon Text"/>
    <w:basedOn w:val="Normal"/>
    <w:link w:val="BalloonTextChar"/>
    <w:rsid w:val="004A6C17"/>
    <w:rPr>
      <w:rFonts w:ascii="Tahoma" w:hAnsi="Tahoma" w:cs="Tahoma"/>
      <w:sz w:val="16"/>
      <w:szCs w:val="16"/>
    </w:rPr>
  </w:style>
  <w:style w:type="character" w:customStyle="1" w:styleId="BalloonTextChar">
    <w:name w:val="Balloon Text Char"/>
    <w:basedOn w:val="DefaultParagraphFont"/>
    <w:link w:val="BalloonText"/>
    <w:rsid w:val="004A6C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6C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6C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2631</Words>
  <Characters>16931</Characters>
  <Application>Microsoft Office Word</Application>
  <DocSecurity>0</DocSecurity>
  <Lines>673</Lines>
  <Paragraphs>260</Paragraphs>
  <ScaleCrop>false</ScaleCrop>
  <Company>Author-it Software Corporation Ltd.</Company>
  <LinksUpToDate>false</LinksUpToDate>
  <CharactersWithSpaces>19367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UETTDRTS35A Maintain complex network protection and control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2012-05-26T12:27:00Z</dcterms:created>
  <dcterms:modified xsi:type="dcterms:W3CDTF">2012-05-26T12:27:00Z</dcterms:modified>
</cp:coreProperties>
</file>