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44E" w:rsidP="00AE344E">
      <w:pPr>
        <w:pStyle w:val="Title"/>
      </w:pPr>
      <w:r>
        <w:fldChar w:fldCharType="begin"/>
      </w:r>
      <w:r>
        <w:instrText xml:space="preserve"> TITLE   \* MERGEFORMAT </w:instrText>
      </w:r>
      <w:r>
        <w:fldChar w:fldCharType="separate"/>
      </w:r>
      <w:r>
        <w:t>UETTDRTS32A Conduct evaluation of power systems primary plant</w:t>
      </w:r>
      <w:r>
        <w:fldChar w:fldCharType="end"/>
      </w:r>
    </w:p>
    <w:p w:rsidR="00AE344E" w:rsidP="00AE344E">
      <w:pPr>
        <w:pStyle w:val="Version"/>
        <w:sectPr w:rsidSect="00B02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AD5" w:rsidP="00B02AD5">
      <w:pPr>
        <w:pStyle w:val="SuperHeading"/>
      </w:pPr>
      <w:r w:rsidRPr="00B02AD5">
        <w:t>UETTDRTS32A Conduct evaluation of power systems primary plant</w:t>
      </w:r>
    </w:p>
    <w:p w:rsidR="00000000" w:rsidRPr="00B02AD5" w:rsidP="00B02AD5">
      <w:pPr>
        <w:pStyle w:val="Heading1"/>
      </w:pPr>
      <w:bookmarkStart w:id="1" w:name="O_464657"/>
      <w:bookmarkEnd w:id="1"/>
      <w:r w:rsidRPr="00B02AD5">
        <w:t>Modification History</w:t>
      </w:r>
    </w:p>
    <w:p w:rsidR="00000000" w:rsidRPr="00B02AD5" w:rsidP="00B02AD5">
      <w:pPr>
        <w:pStyle w:val="BodyText"/>
      </w:pPr>
      <w:r w:rsidRPr="00B02AD5">
        <w:t>Not applicable.</w:t>
      </w:r>
    </w:p>
    <w:p w:rsidR="00000000" w:rsidRPr="00B02AD5" w:rsidP="00B02AD5">
      <w:pPr>
        <w:pStyle w:val="AllowPageBreak"/>
      </w:pPr>
    </w:p>
    <w:p w:rsidR="00000000" w:rsidRPr="00B02AD5" w:rsidP="00B02AD5">
      <w:pPr>
        <w:pStyle w:val="Heading1"/>
      </w:pPr>
      <w:bookmarkStart w:id="2" w:name="O_464655"/>
      <w:bookmarkEnd w:id="2"/>
      <w:r w:rsidRPr="00B02AD5">
        <w:t>Unit Descriptor</w:t>
      </w:r>
    </w:p>
    <w:tbl>
      <w:tblPr>
        <w:tblW w:w="0" w:type="auto"/>
        <w:tblLayout w:type="fixed"/>
        <w:tblCellMar>
          <w:left w:w="62" w:type="dxa"/>
          <w:right w:w="62" w:type="dxa"/>
        </w:tblCellMar>
        <w:tblLook w:val="0000"/>
      </w:tblPr>
      <w:tblGrid>
        <w:gridCol w:w="2700"/>
        <w:gridCol w:w="5760"/>
      </w:tblGrid>
      <w:tr w:rsidTr="00AE34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1)</w:t>
            </w:r>
            <w:r w:rsidRPr="00B02AD5">
              <w:t xml:space="preserve"> </w:t>
            </w:r>
            <w:r w:rsidRPr="00B02AD5">
              <w:rPr>
                <w:rStyle w:val="SpecialBold"/>
              </w:rPr>
              <w:t>Scope:</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2A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1.1) Descriptor</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This Competency Standard Unit covers the commissioning and maintenance testing requirements  for primary plant and equipment. It includes both the practical application of the tests and analysis of results, covering, but is not limited to; applied HV testi</w:t>
            </w:r>
            <w:r w:rsidRPr="00B02AD5">
              <w:t xml:space="preserve">ng and induced HV testing, ratio, polarity, winding resistance, impedance, dielectric loss angle, partial discharge and watts loss insulation resistance and transformer vector group. It encompasses a complete understanding of the nature of the tests being </w:t>
            </w:r>
            <w:r w:rsidRPr="00B02AD5">
              <w:t>conducted and the ability to conduct the tests in a safe manner.</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3" w:name="O_464644"/>
      <w:bookmarkEnd w:id="3"/>
      <w:r w:rsidRPr="00B02AD5">
        <w:t>Application of the Unit</w:t>
      </w:r>
    </w:p>
    <w:tbl>
      <w:tblPr>
        <w:tblW w:w="0" w:type="auto"/>
        <w:tblLayout w:type="fixed"/>
        <w:tblCellMar>
          <w:left w:w="62" w:type="dxa"/>
          <w:right w:w="62" w:type="dxa"/>
        </w:tblCellMar>
        <w:tblLook w:val="0000"/>
      </w:tblPr>
      <w:tblGrid>
        <w:gridCol w:w="2672"/>
        <w:gridCol w:w="5699"/>
      </w:tblGrid>
      <w:tr w:rsidTr="00AE34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2)</w:t>
            </w:r>
          </w:p>
        </w:tc>
      </w:tr>
      <w:tr w:rsidTr="00AE34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This competency standards unit is i</w:t>
            </w:r>
            <w:r w:rsidRPr="00B02AD5">
              <w:t>ntended to apply to any recognised development program that leads to the acquisition of a formal award at AQF level 6.</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4" w:name="O_464651"/>
      <w:bookmarkEnd w:id="4"/>
      <w:r w:rsidRPr="00B02AD5">
        <w:t>Licensing/Regulatory Information</w:t>
      </w:r>
    </w:p>
    <w:tbl>
      <w:tblPr>
        <w:tblW w:w="0" w:type="auto"/>
        <w:tblLayout w:type="fixed"/>
        <w:tblCellMar>
          <w:left w:w="62" w:type="dxa"/>
          <w:right w:w="62" w:type="dxa"/>
        </w:tblCellMar>
        <w:tblLook w:val="0000"/>
      </w:tblPr>
      <w:tblGrid>
        <w:gridCol w:w="2700"/>
        <w:gridCol w:w="5760"/>
      </w:tblGrid>
      <w:tr w:rsidTr="00AE34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 xml:space="preserve">3) </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The skills and knowledge described in this unit may require</w:t>
            </w:r>
            <w:r w:rsidRPr="00B02AD5">
              <w:t xml:space="preserve"> a licence/registration to practice in the work place subject to regulations for undertaking of electrical work. Practice in workplace and during training is also subject to regulations directly related to Occupational Health and </w:t>
            </w:r>
            <w:r w:rsidRPr="00B02AD5">
              <w:t>Safety, electricity/teleco</w:t>
            </w:r>
            <w:r w:rsidRPr="00B02AD5">
              <w:t>mmunications/gas/water industry safety and compliance, industrial relations, environmental protection, anti discrimination and training. Commonwealth, State/Territory or Local Government legislation and regulations may exist that limits the age of operatin</w:t>
            </w:r>
            <w:r w:rsidRPr="00B02AD5">
              <w:t>g certain equipment.</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5" w:name="O_464652"/>
      <w:bookmarkEnd w:id="5"/>
      <w:r w:rsidRPr="00B02AD5">
        <w:t>Pre-Requisites</w:t>
      </w:r>
    </w:p>
    <w:tbl>
      <w:tblPr>
        <w:tblW w:w="0" w:type="auto"/>
        <w:tblLayout w:type="fixed"/>
        <w:tblCellMar>
          <w:left w:w="62" w:type="dxa"/>
          <w:right w:w="62" w:type="dxa"/>
        </w:tblCellMar>
        <w:tblLook w:val="0000"/>
      </w:tblPr>
      <w:tblGrid>
        <w:gridCol w:w="2700"/>
        <w:gridCol w:w="2070"/>
        <w:gridCol w:w="3690"/>
      </w:tblGrid>
      <w:tr w:rsidTr="00AE34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 xml:space="preserve">4) </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4.1)</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Granting of competency in this unit shall be made only after competency in the following unit(s) has/have been confirmed.</w:t>
            </w:r>
          </w:p>
          <w:p w:rsidR="00000000" w:rsidRPr="00B02AD5" w:rsidP="00B02AD5">
            <w:pPr>
              <w:pStyle w:val="BodyText"/>
            </w:pPr>
            <w:r w:rsidRPr="00B02AD5">
              <w:t>Where pre-requisite pathways have been identified. All competencies in the Common Unit Group must be have been completed plus all the competencies in one (1) of the identified Pathway Unit Group(s):</w:t>
            </w:r>
          </w:p>
          <w:p w:rsidR="00000000" w:rsidP="00B02AD5">
            <w:pPr>
              <w:pStyle w:val="BodyText"/>
              <w:rPr>
                <w:lang w:val="en-NZ"/>
              </w:rPr>
            </w:pPr>
            <w:r w:rsidRPr="00B02AD5">
              <w:t>Common Unit Group</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Unit Code</w:t>
            </w:r>
            <w:r w:rsidRPr="00B02AD5">
              <w:tab/>
            </w:r>
          </w:p>
        </w:tc>
        <w:tc>
          <w:tcPr>
            <w:tcW w:w="3690" w:type="dxa"/>
            <w:tcBorders>
              <w:top w:val="nil"/>
              <w:left w:val="nil"/>
              <w:bottom w:val="nil"/>
              <w:right w:val="nil"/>
            </w:tcBorders>
            <w:tcMar>
              <w:top w:w="0" w:type="dxa"/>
              <w:left w:w="62" w:type="dxa"/>
              <w:bottom w:w="0" w:type="dxa"/>
              <w:right w:w="62" w:type="dxa"/>
            </w:tcMar>
            <w:vAlign w:val="bottom"/>
          </w:tcPr>
          <w:p w:rsidR="00000000" w:rsidP="00B02AD5">
            <w:pPr>
              <w:pStyle w:val="BodyText"/>
              <w:rPr>
                <w:lang w:val="en-NZ"/>
              </w:rPr>
            </w:pPr>
            <w:r w:rsidRPr="00B02AD5">
              <w:t>Unit Title</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B02AD5">
            <w:pPr>
              <w:pStyle w:val="BodyText"/>
              <w:rPr>
                <w:lang w:val="en-NZ"/>
              </w:rPr>
            </w:pPr>
            <w:r w:rsidRPr="00B02AD5">
              <w:t>Use engineering applications software on personal computers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Apply Occupational Health and Safety regulations, codes and practices in the workplace</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Fabricate, assemble and dismantle utilities industry components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Sol</w:t>
            </w:r>
            <w:r w:rsidRPr="00B02AD5">
              <w:t>ve problems in d.c. Circuits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Use drawings, diagrams, schedules, standards, codes and specifications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UEENEEE124A</w:t>
            </w:r>
          </w:p>
        </w:tc>
        <w:tc>
          <w:tcPr>
            <w:tcW w:w="369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Compile and produce an energy sector detailed report</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Provide engineering solutions for problems in complex multiple path circuits problems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Provide solutions to basic engineering computational problems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Solve problems in electromagnetic devices and related circuits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Solve problems in electromagnetic devices and related circuits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Provide engineering solutions to problems in complex polyphase power circuits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Apply sustainable energy and environmental procedures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Working safely near</w:t>
            </w:r>
            <w:r w:rsidRPr="00B02AD5">
              <w:t xml:space="preserve"> live electrical apparatus </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Implement and monitor the power system organisational OHS policies, procedures and programs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Implement and monitor the power system environmental and sustainable energy management policies and procedures</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02AD5">
            <w:pPr>
              <w:pStyle w:val="BodyText"/>
              <w:rPr>
                <w:lang w:val="en-NZ"/>
              </w:rPr>
            </w:pPr>
            <w:r w:rsidRPr="00B02AD5">
              <w:t>UETTDRTS29A</w:t>
            </w:r>
          </w:p>
        </w:tc>
        <w:tc>
          <w:tcPr>
            <w:tcW w:w="3690" w:type="dxa"/>
            <w:tcBorders>
              <w:top w:val="nil"/>
              <w:left w:val="nil"/>
              <w:bottom w:val="nil"/>
              <w:right w:val="nil"/>
            </w:tcBorders>
            <w:tcMar>
              <w:top w:w="0" w:type="dxa"/>
              <w:left w:w="62" w:type="dxa"/>
              <w:bottom w:w="0" w:type="dxa"/>
              <w:right w:w="62" w:type="dxa"/>
            </w:tcMar>
            <w:vAlign w:val="center"/>
          </w:tcPr>
          <w:p w:rsidR="00000000" w:rsidRPr="00B02AD5" w:rsidP="00B02AD5">
            <w:pPr>
              <w:pStyle w:val="BodyText"/>
            </w:pPr>
            <w:r w:rsidRPr="00B02AD5">
              <w:t>Develop power systems secondary isolation instructional documents</w:t>
            </w:r>
          </w:p>
        </w:tc>
      </w:tr>
    </w:tbl>
    <w:p w:rsidR="00000000" w:rsidRPr="00B02AD5" w:rsidP="00B02AD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E344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 xml:space="preserve">4.2) </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Participants are best equipped to achieve this unit if they have reading, writing and numeracy skills indicated by the following scales. Description of each scale is given in Volume 2, Part 3 “Literacy and Numeracy”</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Reading</w:t>
            </w:r>
          </w:p>
        </w:tc>
        <w:tc>
          <w:tcPr>
            <w:tcW w:w="81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5</w:t>
            </w:r>
          </w:p>
        </w:tc>
        <w:tc>
          <w:tcPr>
            <w:tcW w:w="99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Writing</w:t>
            </w:r>
          </w:p>
        </w:tc>
        <w:tc>
          <w:tcPr>
            <w:tcW w:w="90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5</w:t>
            </w:r>
          </w:p>
        </w:tc>
        <w:tc>
          <w:tcPr>
            <w:tcW w:w="12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Numeracy</w:t>
            </w:r>
          </w:p>
        </w:tc>
        <w:tc>
          <w:tcPr>
            <w:tcW w:w="72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5</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6" w:name="O_464648"/>
      <w:bookmarkEnd w:id="6"/>
      <w:r w:rsidRPr="00B02AD5">
        <w:t>Employability Skills Information</w:t>
      </w:r>
    </w:p>
    <w:tbl>
      <w:tblPr>
        <w:tblW w:w="0" w:type="auto"/>
        <w:tblLayout w:type="fixed"/>
        <w:tblCellMar>
          <w:left w:w="62" w:type="dxa"/>
          <w:right w:w="62" w:type="dxa"/>
        </w:tblCellMar>
        <w:tblLook w:val="0000"/>
      </w:tblPr>
      <w:tblGrid>
        <w:gridCol w:w="2700"/>
        <w:gridCol w:w="5760"/>
      </w:tblGrid>
      <w:tr w:rsidTr="00AE34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 xml:space="preserve">5) </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The required outcomes described in this unit of competency contain applicable facets of Employability Skills. The Employability Skills Summary of the qualification in which this u</w:t>
            </w:r>
            <w:r w:rsidRPr="00B02AD5">
              <w:t>nit of competency is packaged will assist in identifying Employability Skill requirements.</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7" w:name="O_464647"/>
      <w:bookmarkEnd w:id="7"/>
      <w:r w:rsidRPr="00B02AD5">
        <w:t>Elements and Performance Criteria Pre-Content</w:t>
      </w:r>
    </w:p>
    <w:tbl>
      <w:tblPr>
        <w:tblW w:w="0" w:type="auto"/>
        <w:tblLayout w:type="fixed"/>
        <w:tblCellMar>
          <w:left w:w="62" w:type="dxa"/>
          <w:right w:w="62" w:type="dxa"/>
        </w:tblCellMar>
        <w:tblLook w:val="0000"/>
      </w:tblPr>
      <w:tblGrid>
        <w:gridCol w:w="2700"/>
        <w:gridCol w:w="5760"/>
      </w:tblGrid>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6)</w:t>
            </w:r>
            <w:r w:rsidRPr="00B02AD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Performance Criteria describe the required performance needed to demonstrate achievement of the element. Assessment of performance is to be consistent with the Evidence Guide.</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8" w:name="O_464646"/>
      <w:bookmarkEnd w:id="8"/>
      <w:r w:rsidRPr="00B02AD5">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AE34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PERFORMANCE CRITER</w:t>
            </w:r>
            <w:r w:rsidRPr="00B02AD5">
              <w:rPr>
                <w:rStyle w:val="SpecialBold"/>
              </w:rPr>
              <w:t>IA</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w:t>
            </w:r>
          </w:p>
        </w:tc>
        <w:tc>
          <w:tcPr>
            <w:tcW w:w="2294"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Plan for the testing of primary plant</w:t>
            </w: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1.1</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OHS practices/procedures and environmental and sustainable energy procedures, which may influence the testing of primary plant systems, are reviewed and determined.</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1.2</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Purpose of the testing of primary plant is established after data is analysed and expected outcomes of the work are confirmed with the appropriate personnel.</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1.3</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Organisational established procedures on policies and specifications for the testing of pri</w:t>
            </w:r>
            <w:r w:rsidRPr="00B02AD5">
              <w:t>mary plant are obtained or established with the appropriate personnel.</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1.4</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Testing procedures are discussed with/directed to the appropriate personnel in order to ascertain the project brief.</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1.5</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Testing parameters are established from organisational established procedures on policies and specifications.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1.6</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Equipment/tools and personal protective equipment are selected based on specified Performance Criteria and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1.7</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W</w:t>
            </w:r>
            <w:r w:rsidRPr="00B02AD5">
              <w:t>ork roles and tasks are allocated according to requirements and individuals’ competencies.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1.8</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 xml:space="preserve">Work is prioritised and sequenced for the most efficient/effective outcome, completed within an acceptable timeframe to a quality standard </w:t>
            </w:r>
            <w:r w:rsidRPr="00B02AD5">
              <w:t>and in accordance with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1.9</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Liaison and communication issues with other/authorised personnel, authorities, clients and land owners are resolved and activities coordinated to carry out work.</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1.10</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Risk control measures are identi</w:t>
            </w:r>
            <w:r w:rsidRPr="00B02AD5">
              <w:t>fied, prioritised and evaluated against the work schedule.</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1.11</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Relevant work permits are secured to coordinate the performance of work according to requirements and/or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w:t>
            </w:r>
          </w:p>
        </w:tc>
        <w:tc>
          <w:tcPr>
            <w:tcW w:w="2294"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Carry out the testing of primary plant</w:t>
            </w: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2.1</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Circuit/systems modelling is used to evaluate alternative proposals as per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2.2</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OHS and sustainable energy principles, functionality and practices to reduce the incidents of accidents and minimise waste are incorporated into the p</w:t>
            </w:r>
            <w:r w:rsidRPr="00B02AD5">
              <w:t>roject in accordance with requirements and/or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2.3</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Testing of primary plant decisions are made on the basis of safety and effective outcomes according to requirements and/or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2.4</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 xml:space="preserve">Mathematical/engineering </w:t>
            </w:r>
            <w:r w:rsidRPr="00B02AD5">
              <w:t>models of the testing of primary plant are used to analyse the effectiveness of the finished project as per requirements and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2.5</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Technical advice is given regarding potential hazards, safety risks and control measures so that mon</w:t>
            </w:r>
            <w:r w:rsidRPr="00B02AD5">
              <w:t>itoring and preventative action can be undertaken and/or appropriate authorities consulted, where necessary, in accordance with requirements and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2.6</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Essential knowledge and associated skills are applied to analyse specific data and compare it with compliance specifications to ensure completion of the project within an agreed timeframe according to requirements.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2.7</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Testing of primary plant is undert</w:t>
            </w:r>
            <w:r w:rsidRPr="00B02AD5">
              <w:t>aken according to requirements and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2.8</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Work teams/groups are arranged/coordinated/evaluated to ensure planned goals are met according to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2.9</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Solutions to non-routine problems are identified and actioned</w:t>
            </w:r>
            <w:r w:rsidRPr="00B02AD5">
              <w:t>, using acquired essential knowledge and associated skills, according to requirements.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2.10</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Quality of work is monitored against personal performance agreement and/or established organisational and professional standards.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2.11</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Strategic plans are developed incorporating organisation initiatives as per established procedures.</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3</w:t>
            </w:r>
          </w:p>
        </w:tc>
        <w:tc>
          <w:tcPr>
            <w:tcW w:w="2294"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Complete the testing of primary plant</w:t>
            </w: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3.1</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Final inspections of the primary plant are undertaken to ensure they comply with all requirements and include a</w:t>
            </w:r>
            <w:r w:rsidRPr="00B02AD5">
              <w:t>ll specifications and documentations needed to complete the project.</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3.2</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Appropriate personnel are notified of completion and reports and/or completion documents are finalised/commissioned.</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3.3</w:t>
            </w:r>
          </w:p>
        </w:tc>
        <w:tc>
          <w:tcPr>
            <w:tcW w:w="4922"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Reports and/or completion documents are submitted to rel</w:t>
            </w:r>
            <w:r w:rsidRPr="00B02AD5">
              <w:t>evant personnel/organisations for approval and, where applicable, statutory or regulatory approval.</w:t>
            </w:r>
          </w:p>
        </w:tc>
      </w:tr>
      <w:tr w:rsidTr="00AE344E">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t>3.4</w:t>
            </w:r>
          </w:p>
        </w:tc>
        <w:tc>
          <w:tcPr>
            <w:tcW w:w="4922"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Approved copies of the testing of primary plant documents are issues and records are updated in accordance with established procedures.</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9" w:name="O_464654"/>
      <w:bookmarkEnd w:id="9"/>
      <w:r w:rsidRPr="00B02AD5">
        <w:t>Required Skills and Knowledge</w:t>
      </w:r>
    </w:p>
    <w:tbl>
      <w:tblPr>
        <w:tblW w:w="0" w:type="auto"/>
        <w:tblLayout w:type="fixed"/>
        <w:tblCellMar>
          <w:left w:w="62" w:type="dxa"/>
          <w:right w:w="62" w:type="dxa"/>
        </w:tblCellMar>
        <w:tblLook w:val="0000"/>
      </w:tblPr>
      <w:tblGrid>
        <w:gridCol w:w="8460"/>
      </w:tblGrid>
      <w:tr w:rsidTr="00AE34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REQUIRED SKILLS AND KNOWLEDGE</w:t>
            </w:r>
          </w:p>
        </w:tc>
      </w:tr>
      <w:tr w:rsidTr="00AE344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8)</w:t>
            </w:r>
            <w:r w:rsidRPr="00B02AD5">
              <w:t xml:space="preserve"> Essential Knowledge and Associated Skills (EKAS): This describes the essential skills and knowledge and their level, required for this unit.</w:t>
            </w:r>
          </w:p>
          <w:p w:rsidR="00000000" w:rsidRPr="00B02AD5" w:rsidP="00B02AD5">
            <w:pPr>
              <w:pStyle w:val="BodyText"/>
            </w:pPr>
            <w:r w:rsidRPr="00B02AD5">
              <w:t>Evidence shall show that knowledge has been</w:t>
            </w:r>
            <w:r w:rsidRPr="00B02AD5">
              <w:t xml:space="preserve"> acquired of conducting evaluation of primary plant. </w:t>
            </w:r>
          </w:p>
          <w:p w:rsidR="00000000" w:rsidRPr="00B02AD5" w:rsidP="00B02AD5">
            <w:pPr>
              <w:pStyle w:val="BodyText"/>
            </w:pPr>
            <w:r w:rsidRPr="00B02AD5">
              <w:t>All knowledge and skills detailed in this unit should be contextualised to current industry practices and technologies.</w:t>
            </w:r>
          </w:p>
          <w:p w:rsidR="00000000" w:rsidRPr="00B02AD5" w:rsidP="00B02AD5">
            <w:pPr>
              <w:pStyle w:val="BodyText"/>
            </w:pPr>
            <w:r w:rsidRPr="00B02AD5">
              <w:t xml:space="preserve">KS01-TTS32A </w:t>
            </w:r>
            <w:r w:rsidRPr="00B02AD5">
              <w:tab/>
              <w:t>Power systems primary plant</w:t>
            </w:r>
          </w:p>
          <w:p w:rsidR="00000000" w:rsidRPr="00B02AD5" w:rsidP="00B02AD5">
            <w:pPr>
              <w:pStyle w:val="BodyText"/>
            </w:pPr>
            <w:r w:rsidRPr="00B02AD5">
              <w:t>Evidence shall show an underst</w:t>
            </w:r>
            <w:r w:rsidRPr="00B02AD5">
              <w:t xml:space="preserve">anding of power systems primary plant to an extent indicated by the following aspects: </w:t>
            </w:r>
          </w:p>
          <w:p w:rsidR="00000000" w:rsidRPr="00B02AD5" w:rsidP="00B02AD5">
            <w:pPr>
              <w:pStyle w:val="BodyText"/>
            </w:pPr>
            <w:r w:rsidRPr="00B02AD5">
              <w:t>T1</w:t>
            </w:r>
            <w:r w:rsidRPr="00B02AD5">
              <w:tab/>
              <w:t>Detailed operation of fundamental test equipment encompassing:</w:t>
            </w:r>
          </w:p>
          <w:p w:rsidR="00000000" w:rsidRPr="00B02AD5" w:rsidP="00B02AD5">
            <w:pPr>
              <w:pStyle w:val="ListBullet"/>
            </w:pPr>
            <w:r w:rsidRPr="00B02AD5">
              <w:t>Care and safe use</w:t>
            </w:r>
          </w:p>
          <w:p w:rsidR="00000000" w:rsidRPr="00B02AD5" w:rsidP="00B02AD5">
            <w:pPr>
              <w:pStyle w:val="ListBullet"/>
            </w:pPr>
            <w:r w:rsidRPr="00B02AD5">
              <w:t>Operating principles</w:t>
            </w:r>
          </w:p>
          <w:p w:rsidR="00000000" w:rsidRPr="00B02AD5" w:rsidP="00B02AD5">
            <w:pPr>
              <w:pStyle w:val="ListBullet"/>
            </w:pPr>
            <w:r w:rsidRPr="00B02AD5">
              <w:t>Comparison of different operating principle meters used for th</w:t>
            </w:r>
            <w:r w:rsidRPr="00B02AD5">
              <w:t>e same purpose</w:t>
            </w:r>
          </w:p>
          <w:p w:rsidR="00000000" w:rsidRPr="00B02AD5" w:rsidP="00B02AD5">
            <w:pPr>
              <w:pStyle w:val="ListBullet"/>
            </w:pPr>
            <w:r w:rsidRPr="00B02AD5">
              <w:t>Accuracy and loading effects of meters - measurement of voltage, current, power, resistance, insulation resistance, impedance and phase sequence and the use of oscilloscopes.</w:t>
            </w:r>
          </w:p>
          <w:p w:rsidR="00000000" w:rsidRPr="00B02AD5" w:rsidP="00B02AD5">
            <w:pPr>
              <w:pStyle w:val="BodyText"/>
            </w:pPr>
            <w:r w:rsidRPr="00B02AD5">
              <w:t>T2</w:t>
            </w:r>
            <w:r w:rsidRPr="00B02AD5">
              <w:tab/>
              <w:t>Primary Plant testing encompassing:</w:t>
            </w:r>
          </w:p>
          <w:p w:rsidR="00000000" w:rsidRPr="00B02AD5" w:rsidP="00B02AD5">
            <w:pPr>
              <w:pStyle w:val="ListBullet"/>
            </w:pPr>
            <w:r w:rsidRPr="00B02AD5">
              <w:t>Transformers - DC high vol</w:t>
            </w:r>
            <w:r w:rsidRPr="00B02AD5">
              <w:t>tage tests, AC high voltage tests, induced high voltage tests, ratio tests, polarity tests, winding resistance tests, impedance tests, insulation resistance tests, transformer vector group test, winding temperature indicator test, alarm tests, neutral ct t</w:t>
            </w:r>
            <w:r w:rsidRPr="00B02AD5">
              <w:t>ests</w:t>
            </w:r>
          </w:p>
          <w:p w:rsidR="00000000" w:rsidRPr="00B02AD5" w:rsidP="00B02AD5">
            <w:pPr>
              <w:pStyle w:val="ListBullet"/>
            </w:pPr>
            <w:r w:rsidRPr="00B02AD5">
              <w:t>Circuit breakers - DC high voltage tests, AC high voltage tests, induced high voltage tests, function tests, operation timing, minimum voltage operation test, insulation resistance test, contact resistance test, auxiliary contact test, alarm tests</w:t>
            </w:r>
          </w:p>
          <w:p w:rsidR="00000000" w:rsidRPr="00B02AD5" w:rsidP="00B02AD5">
            <w:pPr>
              <w:pStyle w:val="ListBullet"/>
            </w:pPr>
            <w:r w:rsidRPr="00B02AD5">
              <w:t>Cap</w:t>
            </w:r>
            <w:r w:rsidRPr="00B02AD5">
              <w:t>acitor banks - DC high voltage tests, AC high voltage tests, induced high voltage tests, neutral ct tests, balance tests, insulation resistance.</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10" w:name="O_464649"/>
      <w:bookmarkEnd w:id="10"/>
      <w:r w:rsidRPr="00B02AD5">
        <w:t>Evidence Guide</w:t>
      </w:r>
    </w:p>
    <w:tbl>
      <w:tblPr>
        <w:tblW w:w="0" w:type="auto"/>
        <w:tblLayout w:type="fixed"/>
        <w:tblCellMar>
          <w:left w:w="62" w:type="dxa"/>
          <w:right w:w="62" w:type="dxa"/>
        </w:tblCellMar>
        <w:tblLook w:val="0000"/>
      </w:tblPr>
      <w:tblGrid>
        <w:gridCol w:w="8460"/>
      </w:tblGrid>
      <w:tr w:rsidTr="00AE34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EVIDENCE GUIDE</w:t>
            </w:r>
          </w:p>
        </w:tc>
      </w:tr>
      <w:tr w:rsidTr="00AE34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9)</w:t>
            </w:r>
            <w:r w:rsidRPr="00B02AD5">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B02AD5" w:rsidP="00B02AD5">
            <w:pPr>
              <w:pStyle w:val="BodyText"/>
            </w:pPr>
            <w:r w:rsidRPr="00B02AD5">
              <w:t>The Evidence Guide form</w:t>
            </w:r>
            <w:r w:rsidRPr="00B02AD5">
              <w:t>s an integral part of this Competency Standard Unit and shall be used in conjunction with all component parts of this unit and, performed in accordance with the Assessment Guidelines of this Training Package.</w:t>
            </w:r>
          </w:p>
        </w:tc>
      </w:tr>
    </w:tbl>
    <w:p w:rsidR="00000000" w:rsidRPr="00B02AD5" w:rsidP="00B02AD5">
      <w:pPr>
        <w:pStyle w:val="BodyText"/>
      </w:pPr>
    </w:p>
    <w:tbl>
      <w:tblPr>
        <w:tblW w:w="0" w:type="auto"/>
        <w:tblLayout w:type="fixed"/>
        <w:tblCellMar>
          <w:left w:w="62" w:type="dxa"/>
          <w:right w:w="62" w:type="dxa"/>
        </w:tblCellMar>
        <w:tblLook w:val="0000"/>
      </w:tblPr>
      <w:tblGrid>
        <w:gridCol w:w="1890"/>
        <w:gridCol w:w="6570"/>
      </w:tblGrid>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9.1)</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Longitudinal co</w:t>
            </w:r>
            <w:r w:rsidRPr="00B02AD5">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B02AD5">
              <w:t>It is the Industry’s preferred model for apprenticeships. However, where summative (or final) assessment is used it is to include the application of the competency in the normal work environment or, at a minimum, the application of the competency in a real</w:t>
            </w:r>
            <w:r w:rsidRPr="00B02AD5">
              <w:t>istically simulated work environment. It is recognised that, in some circumstances, assessment in part or full can occur outside the workplace. However, it must be in accord with Industry and, Regulatory policy in this regard.</w:t>
            </w:r>
          </w:p>
          <w:p w:rsidR="00000000" w:rsidRPr="00B02AD5" w:rsidP="00B02AD5">
            <w:pPr>
              <w:pStyle w:val="BodyText"/>
            </w:pPr>
            <w:r w:rsidRPr="00B02AD5">
              <w:t>Methods chosen for a particular assessment will be influenced by various factors. These include the extent of the assessment, the most effective locations for the assessment activities to take place, access to physical resources, additional safety measures</w:t>
            </w:r>
            <w:r w:rsidRPr="00B02AD5">
              <w:t xml:space="preserve"> that may be required and the critical nature of the competencies being assessed.</w:t>
            </w:r>
          </w:p>
          <w:p w:rsidR="00000000" w:rsidRPr="00B02AD5" w:rsidP="00B02AD5">
            <w:pPr>
              <w:pStyle w:val="BodyText"/>
            </w:pPr>
            <w:r w:rsidRPr="00B02AD5">
              <w:t>The critical safety nature of working with electricity, electrical equipment, gas or any other hazardous substance/material carries risk in deeming a person competent. Hence,</w:t>
            </w:r>
            <w:r w:rsidRPr="00B02AD5">
              <w:t xml:space="preserve"> sources of evidence need to be ‘rich’ in nature so as to minimise error in judgment.</w:t>
            </w:r>
          </w:p>
          <w:p w:rsidR="00000000" w:rsidRPr="00B02AD5" w:rsidP="00B02AD5">
            <w:pPr>
              <w:pStyle w:val="BodyText"/>
            </w:pPr>
            <w:r w:rsidRPr="00B02AD5">
              <w:t xml:space="preserve">Activities associated with normal every day work have a bearing on the decision as to how much and how detailed the data gathered will contribute to its ‘richness’. Some </w:t>
            </w:r>
            <w:r w:rsidRPr="00B02AD5">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B02AD5">
              <w:t>Sample assessment instruments are included for Assessors in the Assessment Guidelines of this Training Package.</w:t>
            </w:r>
          </w:p>
        </w:tc>
      </w:tr>
    </w:tbl>
    <w:p w:rsidR="00000000" w:rsidRPr="00B02AD5" w:rsidP="00B02AD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E344E">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9.2)</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 xml:space="preserve">Before the critical aspects of evidence are considered </w:t>
            </w:r>
            <w:r w:rsidRPr="00B02AD5">
              <w:t>all prerequisites shall be met.</w:t>
            </w:r>
          </w:p>
          <w:p w:rsidR="00000000" w:rsidRPr="00B02AD5" w:rsidP="00B02AD5">
            <w:pPr>
              <w:pStyle w:val="BodyText"/>
            </w:pPr>
            <w:r w:rsidRPr="00B02AD5">
              <w:t xml:space="preserve">Evidence for competence in this unit shall be considered holistically. Each element and associated Performance Criteria shall be demonstrated on at least two occasions in accordance with the “Assessment Guidelines – UET12”. </w:t>
            </w:r>
            <w:r w:rsidRPr="00B02AD5">
              <w:t>Evidence shall also comprise:</w:t>
            </w:r>
          </w:p>
          <w:p w:rsidR="00000000" w:rsidRPr="00B02AD5" w:rsidP="00B02AD5">
            <w:pPr>
              <w:pStyle w:val="ListBullet"/>
            </w:pPr>
            <w:r w:rsidRPr="00B02AD5">
              <w:t>A representative body of Performance Criteria demonstrated within the timeframes typically expected of the discipline, work function and industrial environment. In particular this shall incorporate evidence that shows a candi</w:t>
            </w:r>
            <w:r w:rsidRPr="00B02AD5">
              <w:t>date is able to:</w:t>
            </w:r>
          </w:p>
          <w:p w:rsidR="00000000" w:rsidRPr="00B02AD5" w:rsidP="00B02AD5">
            <w:pPr>
              <w:pStyle w:val="ListBullet2"/>
            </w:pPr>
            <w:r w:rsidRPr="00B02AD5">
              <w:t>Implement Occupational Health and Safety workplace procedures and practices including the use of risk control measures as specified in the Performance Criteria and range; and</w:t>
            </w:r>
          </w:p>
          <w:p w:rsidR="00000000" w:rsidRPr="00B02AD5" w:rsidP="00B02AD5">
            <w:pPr>
              <w:pStyle w:val="ListBullet2"/>
            </w:pPr>
            <w:r w:rsidRPr="00B02AD5">
              <w:t>Apply sustainable energy principles and practices as specified in the Performance Criteria and range; and</w:t>
            </w:r>
          </w:p>
          <w:p w:rsidR="00000000" w:rsidRPr="00B02AD5" w:rsidP="00B02AD5">
            <w:pPr>
              <w:pStyle w:val="ListBullet2"/>
            </w:pPr>
            <w:r w:rsidRPr="00B02AD5">
              <w:t>Demonstrate an understanding of the essential knowledge and associated skills as described in this unit to such an extent that the learner’s performan</w:t>
            </w:r>
            <w:r w:rsidRPr="00B02AD5">
              <w:t>ce outcome is reported in accordance with the preferred approach; namely a percentile graded result, where required by the regulated environment; and</w:t>
            </w:r>
          </w:p>
          <w:p w:rsidR="00000000" w:rsidRPr="00B02AD5" w:rsidP="00B02AD5">
            <w:pPr>
              <w:pStyle w:val="ListBullet2"/>
            </w:pPr>
            <w:r w:rsidRPr="00B02AD5">
              <w:t>Demonstrate an appropriate level of employability skills; and</w:t>
            </w:r>
          </w:p>
          <w:p w:rsidR="00000000" w:rsidRPr="00B02AD5" w:rsidP="00B02AD5">
            <w:pPr>
              <w:pStyle w:val="ListBullet"/>
            </w:pPr>
            <w:r w:rsidRPr="00B02AD5">
              <w:t>Conduct work observing the relevant Anti di</w:t>
            </w:r>
            <w:r w:rsidRPr="00B02AD5">
              <w:t>scrimination legislation, regulations, policies and workplace procedures; and</w:t>
            </w:r>
          </w:p>
          <w:p w:rsidR="00000000" w:rsidP="00B02AD5">
            <w:pPr>
              <w:pStyle w:val="ListBullet2"/>
              <w:rPr>
                <w:lang w:val="en-NZ"/>
              </w:rPr>
            </w:pPr>
            <w:r w:rsidRPr="00B02AD5">
              <w:t>Demonstrated performance across a representative range of contexts from the prescribed items below:</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02AD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AD5">
            <w:pPr>
              <w:pStyle w:val="BodyText"/>
              <w:rPr>
                <w:lang w:val="en-NZ"/>
              </w:rPr>
            </w:pPr>
            <w:r w:rsidRPr="00B02AD5">
              <w:rPr>
                <w:rStyle w:val="SpecialBold"/>
              </w:rPr>
              <w:t>Range of tools/equipment/materials/procedures/workplaces/other variables</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02AD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AD5">
            <w:pPr>
              <w:pStyle w:val="BodyText"/>
              <w:rPr>
                <w:lang w:val="en-NZ"/>
              </w:rPr>
            </w:pPr>
            <w:r w:rsidRPr="00B02AD5">
              <w:rPr>
                <w:rStyle w:val="SpecialBold"/>
              </w:rPr>
              <w:t>Item List</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AD5">
            <w:pPr>
              <w:pStyle w:val="BodyText"/>
              <w:rPr>
                <w:lang w:val="en-NZ"/>
              </w:rPr>
            </w:pPr>
            <w:r w:rsidRPr="00B02AD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t>Do five (5) of the following tests on primary plant – Transformers.</w:t>
            </w:r>
          </w:p>
          <w:p w:rsidR="00000000" w:rsidRPr="00B02AD5" w:rsidP="00B02AD5">
            <w:pPr>
              <w:pStyle w:val="BodyText"/>
            </w:pPr>
            <w:r w:rsidRPr="00B02AD5">
              <w:t>Note: At least two (2) (*) must be included:</w:t>
            </w: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t xml:space="preserve">*DC high voltage tests, </w:t>
            </w:r>
          </w:p>
          <w:p w:rsidR="00000000" w:rsidRPr="00B02AD5" w:rsidP="00B02AD5">
            <w:pPr>
              <w:pStyle w:val="BodyText"/>
            </w:pPr>
            <w:r w:rsidRPr="00B02AD5">
              <w:t xml:space="preserve">*AC high voltage tests, </w:t>
            </w:r>
          </w:p>
          <w:p w:rsidR="00000000" w:rsidRPr="00B02AD5" w:rsidP="00B02AD5">
            <w:pPr>
              <w:pStyle w:val="BodyText"/>
            </w:pPr>
            <w:r w:rsidRPr="00B02AD5">
              <w:t xml:space="preserve">*induced high voltage tests, </w:t>
            </w:r>
          </w:p>
          <w:p w:rsidR="00000000" w:rsidRPr="00B02AD5" w:rsidP="00B02AD5">
            <w:pPr>
              <w:pStyle w:val="BodyText"/>
            </w:pPr>
            <w:r w:rsidRPr="00B02AD5">
              <w:t>Ratio tests</w:t>
            </w:r>
          </w:p>
          <w:p w:rsidR="00000000" w:rsidRPr="00B02AD5" w:rsidP="00B02AD5">
            <w:pPr>
              <w:pStyle w:val="BodyText"/>
            </w:pPr>
            <w:r w:rsidRPr="00B02AD5">
              <w:t>Polarity tests</w:t>
            </w:r>
          </w:p>
          <w:p w:rsidR="00000000" w:rsidRPr="00B02AD5" w:rsidP="00B02AD5">
            <w:pPr>
              <w:pStyle w:val="BodyText"/>
            </w:pPr>
            <w:r w:rsidRPr="00B02AD5">
              <w:t>Winding resistance tests</w:t>
            </w:r>
          </w:p>
          <w:p w:rsidR="00000000" w:rsidRPr="00B02AD5" w:rsidP="00B02AD5">
            <w:pPr>
              <w:pStyle w:val="BodyText"/>
            </w:pPr>
            <w:r w:rsidRPr="00B02AD5">
              <w:t>Impedance tests</w:t>
            </w:r>
          </w:p>
          <w:p w:rsidR="00000000" w:rsidRPr="00B02AD5" w:rsidP="00B02AD5">
            <w:pPr>
              <w:pStyle w:val="BodyText"/>
            </w:pPr>
            <w:r w:rsidRPr="00B02AD5">
              <w:t>Insulation resistance tests</w:t>
            </w:r>
          </w:p>
          <w:p w:rsidR="00000000" w:rsidRPr="00B02AD5" w:rsidP="00B02AD5">
            <w:pPr>
              <w:pStyle w:val="BodyText"/>
            </w:pPr>
            <w:r w:rsidRPr="00B02AD5">
              <w:t>Transformer vector group test</w:t>
            </w:r>
          </w:p>
          <w:p w:rsidR="00000000" w:rsidRPr="00B02AD5" w:rsidP="00B02AD5">
            <w:pPr>
              <w:pStyle w:val="BodyText"/>
            </w:pPr>
            <w:r w:rsidRPr="00B02AD5">
              <w:t>Wind</w:t>
            </w:r>
            <w:r w:rsidRPr="00B02AD5">
              <w:t>ing temperature indicator test</w:t>
            </w:r>
          </w:p>
          <w:p w:rsidR="00000000" w:rsidRPr="00B02AD5" w:rsidP="00B02AD5">
            <w:pPr>
              <w:pStyle w:val="BodyText"/>
            </w:pPr>
            <w:r w:rsidRPr="00B02AD5">
              <w:t>Alarm tests</w:t>
            </w:r>
          </w:p>
          <w:p w:rsidR="00000000" w:rsidP="00B02AD5">
            <w:pPr>
              <w:pStyle w:val="BodyText"/>
              <w:rPr>
                <w:lang w:val="en-NZ"/>
              </w:rPr>
            </w:pPr>
            <w:r w:rsidRPr="00B02AD5">
              <w:t>Neutral CT tests</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AD5">
            <w:pPr>
              <w:pStyle w:val="BodyText"/>
              <w:rPr>
                <w:lang w:val="en-NZ"/>
              </w:rPr>
            </w:pPr>
            <w:r w:rsidRPr="00B02AD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t>Do five (5) of the following tests on primary plant – Circuit breakers.</w:t>
            </w:r>
          </w:p>
          <w:p w:rsidR="00000000" w:rsidP="00B02AD5">
            <w:pPr>
              <w:pStyle w:val="BodyText"/>
              <w:rPr>
                <w:lang w:val="en-NZ"/>
              </w:rPr>
            </w:pPr>
            <w:r w:rsidRPr="00B02AD5">
              <w:t>Note: At least two (2) (*) must be included: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t xml:space="preserve">Profiling and contact timing </w:t>
            </w:r>
          </w:p>
          <w:p w:rsidR="00000000" w:rsidRPr="00B02AD5" w:rsidP="00B02AD5">
            <w:pPr>
              <w:pStyle w:val="BodyText"/>
            </w:pPr>
            <w:r w:rsidRPr="00B02AD5">
              <w:t>*AC high voltage tests</w:t>
            </w:r>
          </w:p>
          <w:p w:rsidR="00000000" w:rsidRPr="00B02AD5" w:rsidP="00B02AD5">
            <w:pPr>
              <w:pStyle w:val="BodyText"/>
            </w:pPr>
          </w:p>
          <w:p w:rsidR="00000000" w:rsidRPr="00B02AD5" w:rsidP="00B02AD5">
            <w:pPr>
              <w:pStyle w:val="BodyText"/>
            </w:pPr>
            <w:r w:rsidRPr="00B02AD5">
              <w:t xml:space="preserve">function tests </w:t>
            </w:r>
          </w:p>
          <w:p w:rsidR="00000000" w:rsidRPr="00B02AD5" w:rsidP="00B02AD5">
            <w:pPr>
              <w:pStyle w:val="BodyText"/>
            </w:pPr>
            <w:r w:rsidRPr="00B02AD5">
              <w:t>minimum voltage operation test</w:t>
            </w:r>
          </w:p>
          <w:p w:rsidR="00000000" w:rsidRPr="00B02AD5" w:rsidP="00B02AD5">
            <w:pPr>
              <w:pStyle w:val="BodyText"/>
            </w:pPr>
            <w:r w:rsidRPr="00B02AD5">
              <w:t>insulation resistance test</w:t>
            </w:r>
          </w:p>
          <w:p w:rsidR="00000000" w:rsidRPr="00B02AD5" w:rsidP="00B02AD5">
            <w:pPr>
              <w:pStyle w:val="BodyText"/>
            </w:pPr>
            <w:r w:rsidRPr="00B02AD5">
              <w:t>contact resistance test</w:t>
            </w:r>
          </w:p>
          <w:p w:rsidR="00000000" w:rsidRPr="00B02AD5" w:rsidP="00B02AD5">
            <w:pPr>
              <w:pStyle w:val="BodyText"/>
            </w:pPr>
            <w:r w:rsidRPr="00B02AD5">
              <w:t>auxiliary contact test</w:t>
            </w:r>
          </w:p>
          <w:p w:rsidR="00000000" w:rsidP="00B02AD5">
            <w:pPr>
              <w:pStyle w:val="BodyText"/>
              <w:rPr>
                <w:lang w:val="en-NZ"/>
              </w:rPr>
            </w:pPr>
            <w:r w:rsidRPr="00B02AD5">
              <w:t>alarm tests</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AD5">
            <w:pPr>
              <w:pStyle w:val="BodyText"/>
              <w:rPr>
                <w:lang w:val="en-NZ"/>
              </w:rPr>
            </w:pPr>
            <w:r w:rsidRPr="00B02AD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t>Do three (3) of the following tests on primary plant – Capacitor banks.</w:t>
            </w: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p>
          <w:p w:rsidR="00000000" w:rsidRPr="00B02AD5" w:rsidP="00B02AD5">
            <w:pPr>
              <w:pStyle w:val="BodyText"/>
            </w:pPr>
            <w:r w:rsidRPr="00B02AD5">
              <w:t>Cell capacitance measurement</w:t>
            </w:r>
          </w:p>
          <w:p w:rsidR="00000000" w:rsidRPr="00B02AD5" w:rsidP="00B02AD5">
            <w:pPr>
              <w:pStyle w:val="BodyText"/>
            </w:pPr>
            <w:r w:rsidRPr="00B02AD5">
              <w:t>Neutral CT tests</w:t>
            </w:r>
          </w:p>
          <w:p w:rsidR="00000000" w:rsidRPr="00B02AD5" w:rsidP="00B02AD5">
            <w:pPr>
              <w:pStyle w:val="BodyText"/>
            </w:pPr>
            <w:r w:rsidRPr="00B02AD5">
              <w:t>Balance tests</w:t>
            </w:r>
          </w:p>
          <w:p w:rsidR="00000000" w:rsidP="00B02AD5">
            <w:pPr>
              <w:pStyle w:val="BodyText"/>
              <w:rPr>
                <w:lang w:val="en-NZ"/>
              </w:rPr>
            </w:pPr>
            <w:r w:rsidRPr="00B02AD5">
              <w:t>Insulation resistance</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AD5">
            <w:pPr>
              <w:pStyle w:val="BodyText"/>
              <w:rPr>
                <w:lang w:val="en-NZ"/>
              </w:rPr>
            </w:pPr>
            <w:r w:rsidRPr="00B02AD5">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AD5">
            <w:pPr>
              <w:pStyle w:val="BodyText"/>
              <w:rPr>
                <w:lang w:val="en-NZ"/>
              </w:rPr>
            </w:pPr>
            <w:r w:rsidRPr="00B02AD5">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AD5" w:rsidP="00B02AD5">
            <w:pPr>
              <w:pStyle w:val="BodyText"/>
            </w:pPr>
            <w:r w:rsidRPr="00B02AD5">
              <w:t>Dealing with an unplanned event by drawing on essential knowledge and associated skills to provide appropriate solutions incorporated in the holistic assessment with the above listed items.</w:t>
            </w:r>
          </w:p>
        </w:tc>
      </w:tr>
    </w:tbl>
    <w:p w:rsidR="00000000" w:rsidRPr="00B02AD5" w:rsidP="00B02AD5">
      <w:pPr>
        <w:pStyle w:val="BodyText"/>
      </w:pPr>
    </w:p>
    <w:tbl>
      <w:tblPr>
        <w:tblW w:w="0" w:type="auto"/>
        <w:tblLayout w:type="fixed"/>
        <w:tblCellMar>
          <w:left w:w="62" w:type="dxa"/>
          <w:right w:w="62" w:type="dxa"/>
        </w:tblCellMar>
        <w:tblLook w:val="0000"/>
      </w:tblPr>
      <w:tblGrid>
        <w:gridCol w:w="1890"/>
        <w:gridCol w:w="6570"/>
      </w:tblGrid>
      <w:tr w:rsidTr="00AE344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 xml:space="preserve">Context of and </w:t>
            </w:r>
            <w:r w:rsidRPr="00B02AD5">
              <w:rPr>
                <w:rStyle w:val="SpecialBold"/>
              </w:rPr>
              <w:t>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9.3)</w:t>
            </w:r>
          </w:p>
        </w:tc>
      </w:tr>
      <w:tr w:rsidTr="00AE344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This unit should be assessed as it relates to normal work practice using procedures, information and resources typical of a workplace. This should include:</w:t>
            </w:r>
          </w:p>
          <w:p w:rsidR="00000000" w:rsidRPr="00B02AD5" w:rsidP="00B02AD5">
            <w:pPr>
              <w:pStyle w:val="ListBullet"/>
            </w:pPr>
            <w:r w:rsidRPr="00B02AD5">
              <w:t>OHS policy and work procedures and instructions.</w:t>
            </w:r>
          </w:p>
          <w:p w:rsidR="00000000" w:rsidRPr="00B02AD5" w:rsidP="00B02AD5">
            <w:pPr>
              <w:pStyle w:val="ListBullet"/>
            </w:pPr>
            <w:r w:rsidRPr="00B02AD5">
              <w:t xml:space="preserve">Suitable work environment, facilities, equipment and materials to undertake actual the testing of primary plant. </w:t>
            </w:r>
          </w:p>
          <w:p w:rsidR="00000000" w:rsidRPr="00B02AD5" w:rsidP="00B02AD5">
            <w:pPr>
              <w:pStyle w:val="ListBullet"/>
            </w:pPr>
            <w:r w:rsidRPr="00B02AD5">
              <w:t>Operational access to relevant plant, protection or metering equipment, scheme drawings, manufacture’s specifications/manuals and testing equi</w:t>
            </w:r>
            <w:r w:rsidRPr="00B02AD5">
              <w:t>pment.</w:t>
            </w:r>
          </w:p>
          <w:p w:rsidR="00000000" w:rsidRPr="00B02AD5" w:rsidP="00B02AD5">
            <w:pPr>
              <w:pStyle w:val="BodyText"/>
            </w:pPr>
            <w:r w:rsidRPr="00B02AD5">
              <w:t>In addition to the resources listed above, in Context of and specific resources for assessment, evidence should show demonstrated competency working in realistic environment and a variety of conditions.</w:t>
            </w:r>
          </w:p>
        </w:tc>
      </w:tr>
    </w:tbl>
    <w:p w:rsidR="00000000" w:rsidRPr="00B02AD5" w:rsidP="00B02AD5">
      <w:pPr>
        <w:pStyle w:val="BodyText"/>
      </w:pPr>
    </w:p>
    <w:tbl>
      <w:tblPr>
        <w:tblW w:w="0" w:type="auto"/>
        <w:tblLayout w:type="fixed"/>
        <w:tblCellMar>
          <w:left w:w="62" w:type="dxa"/>
          <w:right w:w="62" w:type="dxa"/>
        </w:tblCellMar>
        <w:tblLook w:val="0000"/>
      </w:tblPr>
      <w:tblGrid>
        <w:gridCol w:w="1890"/>
        <w:gridCol w:w="6570"/>
      </w:tblGrid>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9.4)</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This Competency Standard Unit shall be assessed by methods given in Volume 1, Part 3 “Assessment Guidelines”.</w:t>
            </w:r>
          </w:p>
          <w:p w:rsidR="00000000" w:rsidRPr="00B02AD5" w:rsidP="00B02AD5">
            <w:pPr>
              <w:pStyle w:val="BodyText"/>
            </w:pPr>
            <w:r w:rsidRPr="00B02AD5">
              <w:t>Note:</w:t>
            </w:r>
          </w:p>
          <w:p w:rsidR="00000000" w:rsidRPr="00B02AD5" w:rsidP="00B02AD5">
            <w:pPr>
              <w:pStyle w:val="BodyText"/>
            </w:pPr>
            <w:r w:rsidRPr="00B02AD5">
              <w:t>Competent performance with inherent safe working practices is expected in the Transmission, Distribution and Rail Traction Industry. This re</w:t>
            </w:r>
            <w:r w:rsidRPr="00B02AD5">
              <w:t>quires that the specified essential knowledge and associated skills are assessed in a structured environment which is primarily intended for learning/assessment and incorporates all necessary equipment and facilities for learners to develop and demonstrate</w:t>
            </w:r>
            <w:r w:rsidRPr="00B02AD5">
              <w:t xml:space="preserve"> the essential knowledge and associated skills described in this unit.</w:t>
            </w:r>
          </w:p>
        </w:tc>
      </w:tr>
    </w:tbl>
    <w:p w:rsidR="00000000" w:rsidRPr="00B02AD5" w:rsidP="00B02AD5">
      <w:pPr>
        <w:pStyle w:val="BodyText"/>
      </w:pPr>
    </w:p>
    <w:tbl>
      <w:tblPr>
        <w:tblW w:w="0" w:type="auto"/>
        <w:tblLayout w:type="fixed"/>
        <w:tblCellMar>
          <w:left w:w="62" w:type="dxa"/>
          <w:right w:w="62" w:type="dxa"/>
        </w:tblCellMar>
        <w:tblLook w:val="0000"/>
      </w:tblPr>
      <w:tblGrid>
        <w:gridCol w:w="1890"/>
        <w:gridCol w:w="6570"/>
      </w:tblGrid>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9.5)</w:t>
            </w:r>
          </w:p>
        </w:tc>
      </w:tr>
      <w:tr w:rsidTr="00AE34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There are no concurrent assessment recommendations for this unit.</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11" w:name="O_464653"/>
      <w:bookmarkEnd w:id="11"/>
      <w:r w:rsidRPr="00B02AD5">
        <w:t>Range Statement</w:t>
      </w:r>
    </w:p>
    <w:tbl>
      <w:tblPr>
        <w:tblW w:w="0" w:type="auto"/>
        <w:tblLayout w:type="fixed"/>
        <w:tblCellMar>
          <w:left w:w="62" w:type="dxa"/>
          <w:right w:w="62" w:type="dxa"/>
        </w:tblCellMar>
        <w:tblLook w:val="0000"/>
      </w:tblPr>
      <w:tblGrid>
        <w:gridCol w:w="8460"/>
      </w:tblGrid>
      <w:tr w:rsidTr="00AE34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RANGE STATEMENT</w:t>
            </w:r>
          </w:p>
        </w:tc>
      </w:tr>
      <w:tr w:rsidTr="00AE34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10)</w:t>
            </w:r>
            <w:r w:rsidRPr="00B02AD5">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B02AD5" w:rsidP="00B02AD5">
            <w:pPr>
              <w:pStyle w:val="BodyText"/>
            </w:pPr>
            <w:r w:rsidRPr="00B02AD5">
              <w:t>This Competency Standard Un</w:t>
            </w:r>
            <w:r w:rsidRPr="00B02AD5">
              <w:t>it shall be demonstrated in relation to testing the primary plant and may include the following: transformers, circuit breakers, capacitor banks, DC supplies, remote operated isolators (ROIs), CT’s, VTs, oil and winding temperature indicators.</w:t>
            </w:r>
          </w:p>
          <w:p w:rsidR="00000000" w:rsidRPr="00B02AD5" w:rsidP="00B02AD5">
            <w:pPr>
              <w:pStyle w:val="BodyText"/>
            </w:pPr>
            <w:r w:rsidRPr="00B02AD5">
              <w:t>The followin</w:t>
            </w:r>
            <w:r w:rsidRPr="00B02AD5">
              <w:t>g constants and variables included in the element/Performance Criteria in this unit are fully described in the Definitions Section 1 of this volume and form an integral part of the Range Statement of this unit:</w:t>
            </w:r>
          </w:p>
          <w:p w:rsidR="00000000" w:rsidRPr="00B02AD5" w:rsidP="00B02AD5">
            <w:pPr>
              <w:pStyle w:val="ListBullet3"/>
            </w:pPr>
            <w:r w:rsidRPr="00B02AD5">
              <w:t>Appropriate and relevant persons (see Person</w:t>
            </w:r>
            <w:r w:rsidRPr="00B02AD5">
              <w:t>nel)</w:t>
            </w:r>
          </w:p>
          <w:p w:rsidR="00000000" w:rsidRPr="00B02AD5" w:rsidP="00B02AD5">
            <w:pPr>
              <w:pStyle w:val="ListBullet3"/>
            </w:pPr>
            <w:r w:rsidRPr="00B02AD5">
              <w:t>Appropriate authorities</w:t>
            </w:r>
          </w:p>
          <w:p w:rsidR="00000000" w:rsidRPr="00B02AD5" w:rsidP="00B02AD5">
            <w:pPr>
              <w:pStyle w:val="ListBullet3"/>
            </w:pPr>
            <w:r w:rsidRPr="00B02AD5">
              <w:t>Appropriate work platform</w:t>
            </w:r>
          </w:p>
          <w:p w:rsidR="00000000" w:rsidRPr="00B02AD5" w:rsidP="00B02AD5">
            <w:pPr>
              <w:pStyle w:val="ListBullet3"/>
            </w:pPr>
            <w:r w:rsidRPr="00B02AD5">
              <w:t>Assessing risk</w:t>
            </w:r>
          </w:p>
          <w:p w:rsidR="00000000" w:rsidRPr="00B02AD5" w:rsidP="00B02AD5">
            <w:pPr>
              <w:pStyle w:val="ListBullet3"/>
            </w:pPr>
            <w:r w:rsidRPr="00B02AD5">
              <w:t>Assessment</w:t>
            </w:r>
          </w:p>
          <w:p w:rsidR="00000000" w:rsidRPr="00B02AD5" w:rsidP="00B02AD5">
            <w:pPr>
              <w:pStyle w:val="ListBullet3"/>
            </w:pPr>
            <w:r w:rsidRPr="00B02AD5">
              <w:t>Authorisation</w:t>
            </w:r>
          </w:p>
          <w:p w:rsidR="00000000" w:rsidRPr="00B02AD5" w:rsidP="00B02AD5">
            <w:pPr>
              <w:pStyle w:val="ListBullet3"/>
            </w:pPr>
            <w:r w:rsidRPr="00B02AD5">
              <w:t>Confined space</w:t>
            </w:r>
          </w:p>
          <w:p w:rsidR="00000000" w:rsidRPr="00B02AD5" w:rsidP="00B02AD5">
            <w:pPr>
              <w:pStyle w:val="ListBullet3"/>
            </w:pPr>
            <w:r w:rsidRPr="00B02AD5">
              <w:t>Diagnostic, testing and restoration</w:t>
            </w:r>
          </w:p>
          <w:p w:rsidR="00000000" w:rsidRPr="00B02AD5" w:rsidP="00B02AD5">
            <w:pPr>
              <w:pStyle w:val="ListBullet3"/>
            </w:pPr>
            <w:r w:rsidRPr="00B02AD5">
              <w:t>Documenting detail work events, record keeping and or storage of information</w:t>
            </w:r>
          </w:p>
          <w:p w:rsidR="00000000" w:rsidRPr="00B02AD5" w:rsidP="00B02AD5">
            <w:pPr>
              <w:pStyle w:val="ListBullet3"/>
            </w:pPr>
            <w:r w:rsidRPr="00B02AD5">
              <w:t>Drawings and specifications</w:t>
            </w:r>
          </w:p>
          <w:p w:rsidR="00000000" w:rsidRPr="00B02AD5" w:rsidP="00B02AD5">
            <w:pPr>
              <w:pStyle w:val="ListBullet3"/>
            </w:pPr>
            <w:r w:rsidRPr="00B02AD5">
              <w:t>Emerg</w:t>
            </w:r>
            <w:r w:rsidRPr="00B02AD5">
              <w:t>ency</w:t>
            </w:r>
          </w:p>
          <w:p w:rsidR="00000000" w:rsidRPr="00B02AD5" w:rsidP="00B02AD5">
            <w:pPr>
              <w:pStyle w:val="ListBullet3"/>
            </w:pPr>
            <w:r w:rsidRPr="00B02AD5">
              <w:t>Environmental and sustainable energy procedures</w:t>
            </w:r>
          </w:p>
          <w:p w:rsidR="00000000" w:rsidRPr="00B02AD5" w:rsidP="00B02AD5">
            <w:pPr>
              <w:pStyle w:val="ListBullet3"/>
            </w:pPr>
            <w:r w:rsidRPr="00B02AD5">
              <w:t>Environmental legislation</w:t>
            </w:r>
          </w:p>
          <w:p w:rsidR="00000000" w:rsidRPr="00B02AD5" w:rsidP="00B02AD5">
            <w:pPr>
              <w:pStyle w:val="ListBullet3"/>
            </w:pPr>
            <w:r w:rsidRPr="00B02AD5">
              <w:t>Environmental management documentation</w:t>
            </w:r>
          </w:p>
          <w:p w:rsidR="00000000" w:rsidRPr="00B02AD5" w:rsidP="00B02AD5">
            <w:pPr>
              <w:pStyle w:val="ListBullet3"/>
            </w:pPr>
            <w:r w:rsidRPr="00B02AD5">
              <w:t>Established procedures</w:t>
            </w:r>
          </w:p>
          <w:p w:rsidR="00000000" w:rsidRPr="00B02AD5" w:rsidP="00B02AD5">
            <w:pPr>
              <w:pStyle w:val="ListBullet3"/>
            </w:pPr>
            <w:r w:rsidRPr="00B02AD5">
              <w:t>Fall prevention</w:t>
            </w:r>
          </w:p>
          <w:p w:rsidR="00000000" w:rsidRPr="00B02AD5" w:rsidP="00B02AD5">
            <w:pPr>
              <w:pStyle w:val="ListBullet3"/>
            </w:pPr>
            <w:r w:rsidRPr="00B02AD5">
              <w:t>Hazards</w:t>
            </w:r>
          </w:p>
          <w:p w:rsidR="00000000" w:rsidRPr="00B02AD5" w:rsidP="00B02AD5">
            <w:pPr>
              <w:pStyle w:val="ListBullet3"/>
            </w:pPr>
            <w:r w:rsidRPr="00B02AD5">
              <w:t>Identifying hazards</w:t>
            </w:r>
          </w:p>
          <w:p w:rsidR="00000000" w:rsidRPr="00B02AD5" w:rsidP="00B02AD5">
            <w:pPr>
              <w:pStyle w:val="ListBullet3"/>
            </w:pPr>
            <w:r w:rsidRPr="00B02AD5">
              <w:t>Inspect</w:t>
            </w:r>
          </w:p>
          <w:p w:rsidR="00000000" w:rsidRPr="00B02AD5" w:rsidP="00B02AD5">
            <w:pPr>
              <w:pStyle w:val="ListBullet3"/>
            </w:pPr>
            <w:r w:rsidRPr="00B02AD5">
              <w:t>Legislation</w:t>
            </w:r>
          </w:p>
          <w:p w:rsidR="00000000" w:rsidRPr="00B02AD5" w:rsidP="00B02AD5">
            <w:pPr>
              <w:pStyle w:val="ListBullet3"/>
            </w:pPr>
            <w:r w:rsidRPr="00B02AD5">
              <w:t>MSDS</w:t>
            </w:r>
          </w:p>
          <w:p w:rsidR="00000000" w:rsidRPr="00B02AD5" w:rsidP="00B02AD5">
            <w:pPr>
              <w:pStyle w:val="ListBullet3"/>
            </w:pPr>
            <w:r w:rsidRPr="00B02AD5">
              <w:t>Notification</w:t>
            </w:r>
          </w:p>
          <w:p w:rsidR="00000000" w:rsidRPr="00B02AD5" w:rsidP="00B02AD5">
            <w:pPr>
              <w:pStyle w:val="ListBullet3"/>
            </w:pPr>
            <w:r w:rsidRPr="00B02AD5">
              <w:t>OHS practices</w:t>
            </w:r>
          </w:p>
          <w:p w:rsidR="00000000" w:rsidRPr="00B02AD5" w:rsidP="00B02AD5">
            <w:pPr>
              <w:pStyle w:val="ListBullet3"/>
            </w:pPr>
            <w:r w:rsidRPr="00B02AD5">
              <w:t>OHS issues</w:t>
            </w:r>
          </w:p>
          <w:p w:rsidR="00000000" w:rsidRPr="00B02AD5" w:rsidP="00B02AD5">
            <w:pPr>
              <w:pStyle w:val="ListBullet3"/>
            </w:pPr>
            <w:r w:rsidRPr="00B02AD5">
              <w:t>Permits and/or permits to work</w:t>
            </w:r>
          </w:p>
          <w:p w:rsidR="00000000" w:rsidRPr="00B02AD5" w:rsidP="00B02AD5">
            <w:pPr>
              <w:pStyle w:val="ListBullet3"/>
            </w:pPr>
            <w:r w:rsidRPr="00B02AD5">
              <w:t>Personnel</w:t>
            </w:r>
          </w:p>
          <w:p w:rsidR="00000000" w:rsidRPr="00B02AD5" w:rsidP="00B02AD5">
            <w:pPr>
              <w:pStyle w:val="ListBullet3"/>
            </w:pPr>
            <w:r w:rsidRPr="00B02AD5">
              <w:t>Quality assurance systems</w:t>
            </w:r>
          </w:p>
          <w:p w:rsidR="00000000" w:rsidRPr="00B02AD5" w:rsidP="00B02AD5">
            <w:pPr>
              <w:pStyle w:val="ListBullet3"/>
            </w:pPr>
            <w:r w:rsidRPr="00B02AD5">
              <w:t>Requirements</w:t>
            </w:r>
          </w:p>
          <w:p w:rsidR="00000000" w:rsidRPr="00B02AD5" w:rsidP="00B02AD5">
            <w:pPr>
              <w:pStyle w:val="ListBullet3"/>
            </w:pPr>
            <w:r w:rsidRPr="00B02AD5">
              <w:t>Testing procedures</w:t>
            </w:r>
          </w:p>
          <w:p w:rsidR="00000000" w:rsidRPr="00B02AD5" w:rsidP="00B02AD5">
            <w:pPr>
              <w:pStyle w:val="ListBullet3"/>
            </w:pPr>
            <w:r w:rsidRPr="00B02AD5">
              <w:t>Work clearance systems</w:t>
            </w:r>
          </w:p>
        </w:tc>
      </w:tr>
    </w:tbl>
    <w:p w:rsidR="00000000" w:rsidRPr="00B02AD5" w:rsidP="00B02AD5">
      <w:pPr>
        <w:pStyle w:val="BodyText"/>
      </w:pPr>
    </w:p>
    <w:p w:rsidR="00000000" w:rsidRPr="00B02AD5" w:rsidP="00B02AD5">
      <w:pPr>
        <w:pStyle w:val="AllowPageBreak"/>
      </w:pPr>
    </w:p>
    <w:p w:rsidR="00000000" w:rsidRPr="00B02AD5" w:rsidP="00B02AD5">
      <w:pPr>
        <w:pStyle w:val="Heading1"/>
      </w:pPr>
      <w:bookmarkStart w:id="12" w:name="O_464656"/>
      <w:bookmarkEnd w:id="12"/>
      <w:r w:rsidRPr="00B02AD5">
        <w:t>Unit Sector(s)</w:t>
      </w:r>
    </w:p>
    <w:p w:rsidR="00000000" w:rsidRPr="00B02AD5" w:rsidP="00B02AD5">
      <w:pPr>
        <w:pStyle w:val="BodyText"/>
      </w:pPr>
      <w:r w:rsidRPr="00B02AD5">
        <w:t>Not applicable.</w:t>
      </w:r>
    </w:p>
    <w:p w:rsidR="00000000" w:rsidRPr="00B02AD5" w:rsidP="00B02AD5">
      <w:pPr>
        <w:pStyle w:val="AllowPageBreak"/>
      </w:pPr>
    </w:p>
    <w:p w:rsidR="00000000" w:rsidRPr="00B02AD5" w:rsidP="00B02AD5">
      <w:pPr>
        <w:pStyle w:val="Heading1"/>
      </w:pPr>
      <w:bookmarkStart w:id="13" w:name="O_464645"/>
      <w:bookmarkEnd w:id="13"/>
      <w:r w:rsidRPr="00B02AD5">
        <w:t>Competency Field</w:t>
      </w:r>
    </w:p>
    <w:tbl>
      <w:tblPr>
        <w:tblW w:w="0" w:type="auto"/>
        <w:tblLayout w:type="fixed"/>
        <w:tblCellMar>
          <w:left w:w="62" w:type="dxa"/>
          <w:right w:w="62" w:type="dxa"/>
        </w:tblCellMar>
        <w:tblLook w:val="0000"/>
      </w:tblPr>
      <w:tblGrid>
        <w:gridCol w:w="2700"/>
        <w:gridCol w:w="5760"/>
      </w:tblGrid>
      <w:tr w:rsidTr="00AE34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2AD5">
            <w:pPr>
              <w:pStyle w:val="BodyText"/>
              <w:rPr>
                <w:lang w:val="en-NZ"/>
              </w:rPr>
            </w:pPr>
            <w:r w:rsidRPr="00B02AD5">
              <w:rPr>
                <w:rStyle w:val="SpecialBold"/>
              </w:rPr>
              <w:t xml:space="preserve">11) </w:t>
            </w:r>
          </w:p>
        </w:tc>
      </w:tr>
      <w:tr w:rsidTr="00AE34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2AD5" w:rsidP="00B02AD5">
            <w:pPr>
              <w:pStyle w:val="BodyText"/>
            </w:pPr>
            <w:r w:rsidRPr="00B02AD5">
              <w:t>Testing Units</w:t>
            </w:r>
          </w:p>
        </w:tc>
      </w:tr>
    </w:tbl>
    <w:p w:rsidR="00000000" w:rsidRPr="00B02AD5" w:rsidP="00B02AD5">
      <w:pPr>
        <w:pStyle w:val="BodyText"/>
      </w:pPr>
    </w:p>
    <w:p w:rsidR="00000000" w:rsidRPr="00B02AD5" w:rsidP="00B02AD5"/>
    <w:sectPr w:rsidSect="00B02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44E" w:rsidP="00AE3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4E" w:rsidP="00B02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E344E" w:rsidP="00B02A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E344E" w:rsidP="00B02A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44E" w:rsidP="00AE34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4E" w:rsidP="00B02AD5">
    <w:pPr>
      <w:pStyle w:val="Header"/>
      <w:framePr w:wrap="around"/>
    </w:pPr>
    <w:r>
      <w:fldChar w:fldCharType="begin"/>
    </w:r>
    <w:r>
      <w:instrText xml:space="preserve"> TITLE   \* MERGEFORMAT </w:instrText>
    </w:r>
    <w:r>
      <w:fldChar w:fldCharType="separate"/>
    </w:r>
    <w:r>
      <w:t>UETTDRTS32A Conduct evaluation of power systems primary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344E" w:rsidP="00B02A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A6E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2F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AA6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A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AD5"/>
    <w:pPr>
      <w:spacing w:before="360" w:after="60"/>
      <w:outlineLvl w:val="0"/>
    </w:pPr>
    <w:rPr>
      <w:sz w:val="32"/>
    </w:rPr>
  </w:style>
  <w:style w:type="paragraph" w:styleId="Heading2">
    <w:name w:val="heading 2"/>
    <w:basedOn w:val="HeadingBase"/>
    <w:next w:val="BodyText"/>
    <w:link w:val="Heading2Char"/>
    <w:qFormat/>
    <w:rsid w:val="00B02AD5"/>
    <w:pPr>
      <w:keepLines/>
      <w:spacing w:before="240" w:after="120"/>
      <w:outlineLvl w:val="1"/>
    </w:pPr>
    <w:rPr>
      <w:sz w:val="28"/>
      <w:szCs w:val="40"/>
    </w:rPr>
  </w:style>
  <w:style w:type="paragraph" w:styleId="Heading3">
    <w:name w:val="heading 3"/>
    <w:basedOn w:val="HeadingBase"/>
    <w:next w:val="BodyText"/>
    <w:link w:val="Heading3Char"/>
    <w:qFormat/>
    <w:rsid w:val="00B02AD5"/>
    <w:pPr>
      <w:spacing w:before="180" w:after="120"/>
      <w:outlineLvl w:val="2"/>
    </w:pPr>
    <w:rPr>
      <w:spacing w:val="-10"/>
      <w:kern w:val="32"/>
    </w:rPr>
  </w:style>
  <w:style w:type="paragraph" w:styleId="Heading4">
    <w:name w:val="heading 4"/>
    <w:basedOn w:val="HeadingBase"/>
    <w:next w:val="BodyText"/>
    <w:link w:val="Heading4Char"/>
    <w:qFormat/>
    <w:rsid w:val="00B02AD5"/>
    <w:pPr>
      <w:spacing w:before="160" w:after="120"/>
      <w:outlineLvl w:val="3"/>
    </w:pPr>
    <w:rPr>
      <w:sz w:val="22"/>
    </w:rPr>
  </w:style>
  <w:style w:type="paragraph" w:styleId="Heading5">
    <w:name w:val="heading 5"/>
    <w:basedOn w:val="HeadingBase"/>
    <w:next w:val="Normal"/>
    <w:link w:val="Heading5Char"/>
    <w:qFormat/>
    <w:rsid w:val="00B02AD5"/>
    <w:pPr>
      <w:spacing w:before="80"/>
      <w:outlineLvl w:val="4"/>
    </w:pPr>
    <w:rPr>
      <w:color w:val="918585"/>
      <w:sz w:val="20"/>
    </w:rPr>
  </w:style>
  <w:style w:type="paragraph" w:styleId="Heading6">
    <w:name w:val="heading 6"/>
    <w:basedOn w:val="HeadingBase"/>
    <w:next w:val="Normal"/>
    <w:link w:val="Heading6Char"/>
    <w:qFormat/>
    <w:rsid w:val="00B02AD5"/>
    <w:pPr>
      <w:spacing w:before="60"/>
      <w:outlineLvl w:val="5"/>
    </w:pPr>
    <w:rPr>
      <w:color w:val="918585"/>
      <w:sz w:val="20"/>
    </w:rPr>
  </w:style>
  <w:style w:type="paragraph" w:styleId="Heading7">
    <w:name w:val="heading 7"/>
    <w:basedOn w:val="Normal"/>
    <w:next w:val="Normal"/>
    <w:link w:val="Heading7Char"/>
    <w:qFormat/>
    <w:rsid w:val="00B02AD5"/>
    <w:pPr>
      <w:ind w:left="720"/>
      <w:outlineLvl w:val="6"/>
    </w:pPr>
    <w:rPr>
      <w:i/>
    </w:rPr>
  </w:style>
  <w:style w:type="paragraph" w:styleId="Heading8">
    <w:name w:val="heading 8"/>
    <w:basedOn w:val="Normal"/>
    <w:next w:val="Normal"/>
    <w:link w:val="Heading8Char"/>
    <w:qFormat/>
    <w:rsid w:val="00B02AD5"/>
    <w:pPr>
      <w:ind w:left="720"/>
      <w:outlineLvl w:val="7"/>
    </w:pPr>
    <w:rPr>
      <w:i/>
    </w:rPr>
  </w:style>
  <w:style w:type="paragraph" w:styleId="Heading9">
    <w:name w:val="heading 9"/>
    <w:basedOn w:val="Normal"/>
    <w:next w:val="Normal"/>
    <w:link w:val="Heading9Char"/>
    <w:qFormat/>
    <w:rsid w:val="00B02AD5"/>
    <w:pPr>
      <w:ind w:left="720"/>
      <w:outlineLvl w:val="8"/>
    </w:pPr>
    <w:rPr>
      <w:i/>
    </w:rPr>
  </w:style>
  <w:style w:type="character" w:default="1" w:styleId="DefaultParagraphFont">
    <w:name w:val="Default Paragraph Font"/>
    <w:uiPriority w:val="1"/>
    <w:unhideWhenUsed/>
    <w:rsid w:val="00B02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AD5"/>
  </w:style>
  <w:style w:type="character" w:customStyle="1" w:styleId="Heading1Char">
    <w:name w:val="Heading 1 Char"/>
    <w:link w:val="Heading1"/>
    <w:rsid w:val="00B02AD5"/>
    <w:rPr>
      <w:rFonts w:ascii="Times New Roman" w:eastAsia="Times New Roman" w:hAnsi="Times New Roman" w:cs="Times New Roman"/>
      <w:b/>
      <w:sz w:val="32"/>
      <w:szCs w:val="20"/>
      <w:lang w:eastAsia="en-US"/>
    </w:rPr>
  </w:style>
  <w:style w:type="paragraph" w:styleId="BodyText">
    <w:name w:val="Body Text"/>
    <w:basedOn w:val="Normal"/>
    <w:link w:val="BodyTextChar"/>
    <w:rsid w:val="00B02AD5"/>
    <w:pPr>
      <w:spacing w:before="120" w:after="120"/>
      <w:contextualSpacing/>
    </w:pPr>
    <w:rPr>
      <w:rFonts w:ascii="Times New Roman" w:hAnsi="Times New Roman"/>
      <w:sz w:val="24"/>
      <w:szCs w:val="22"/>
    </w:rPr>
  </w:style>
  <w:style w:type="character" w:customStyle="1" w:styleId="BodyTextChar">
    <w:name w:val="Body Text Char"/>
    <w:link w:val="BodyText"/>
    <w:rsid w:val="00B02AD5"/>
    <w:rPr>
      <w:rFonts w:ascii="Times New Roman" w:eastAsia="Times New Roman" w:hAnsi="Times New Roman" w:cs="Times New Roman"/>
      <w:sz w:val="24"/>
      <w:lang w:val="en-US" w:eastAsia="en-US"/>
    </w:rPr>
  </w:style>
  <w:style w:type="paragraph" w:styleId="Footer">
    <w:name w:val="footer"/>
    <w:basedOn w:val="Normal"/>
    <w:link w:val="FooterChar"/>
    <w:rsid w:val="00B02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2AD5"/>
    <w:rPr>
      <w:rFonts w:ascii="Times New Roman" w:eastAsia="Times New Roman" w:hAnsi="Times New Roman" w:cs="Times New Roman"/>
      <w:sz w:val="16"/>
      <w:lang w:val="en-US" w:eastAsia="en-US"/>
    </w:rPr>
  </w:style>
  <w:style w:type="paragraph" w:styleId="ListBullet">
    <w:name w:val="List Bullet"/>
    <w:basedOn w:val="List"/>
    <w:rsid w:val="00B02AD5"/>
    <w:pPr>
      <w:numPr>
        <w:numId w:val="14"/>
      </w:numPr>
      <w:tabs>
        <w:tab w:val="clear" w:pos="340"/>
      </w:tabs>
      <w:spacing w:before="40" w:after="40"/>
    </w:pPr>
  </w:style>
  <w:style w:type="character" w:customStyle="1" w:styleId="SpecialBold">
    <w:name w:val="Special Bold"/>
    <w:rsid w:val="00B02AD5"/>
    <w:rPr>
      <w:b/>
      <w:spacing w:val="0"/>
    </w:rPr>
  </w:style>
  <w:style w:type="paragraph" w:styleId="ListBullet2">
    <w:name w:val="List Bullet 2"/>
    <w:basedOn w:val="List2"/>
    <w:rsid w:val="00B02AD5"/>
    <w:pPr>
      <w:numPr>
        <w:numId w:val="15"/>
      </w:numPr>
      <w:tabs>
        <w:tab w:val="clear" w:pos="680"/>
      </w:tabs>
    </w:pPr>
  </w:style>
  <w:style w:type="paragraph" w:styleId="Header">
    <w:name w:val="header"/>
    <w:basedOn w:val="Normal"/>
    <w:link w:val="HeaderChar"/>
    <w:rsid w:val="00B02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2A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2AD5"/>
    <w:pPr>
      <w:spacing w:before="240" w:after="120"/>
      <w:outlineLvl w:val="0"/>
    </w:pPr>
    <w:rPr>
      <w:rFonts w:ascii="Times New Roman" w:hAnsi="Times New Roman"/>
      <w:b/>
      <w:sz w:val="28"/>
    </w:rPr>
  </w:style>
  <w:style w:type="paragraph" w:customStyle="1" w:styleId="AllowPageBreak">
    <w:name w:val="AllowPageBreak"/>
    <w:rsid w:val="00B02A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2AD5"/>
    <w:pPr>
      <w:numPr>
        <w:numId w:val="3"/>
      </w:numPr>
      <w:tabs>
        <w:tab w:val="clear" w:pos="1021"/>
      </w:tabs>
      <w:ind w:left="1037" w:hanging="357"/>
    </w:pPr>
  </w:style>
  <w:style w:type="character" w:customStyle="1" w:styleId="Heading2Char">
    <w:name w:val="Heading 2 Char"/>
    <w:link w:val="Heading2"/>
    <w:rsid w:val="00B02AD5"/>
    <w:rPr>
      <w:rFonts w:ascii="Times New Roman" w:eastAsia="Times New Roman" w:hAnsi="Times New Roman" w:cs="Times New Roman"/>
      <w:b/>
      <w:sz w:val="28"/>
      <w:szCs w:val="40"/>
      <w:lang w:eastAsia="en-US"/>
    </w:rPr>
  </w:style>
  <w:style w:type="character" w:customStyle="1" w:styleId="Heading3Char">
    <w:name w:val="Heading 3 Char"/>
    <w:link w:val="Heading3"/>
    <w:rsid w:val="00B02A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2AD5"/>
    <w:rPr>
      <w:rFonts w:ascii="Times New Roman" w:eastAsia="Times New Roman" w:hAnsi="Times New Roman" w:cs="Times New Roman"/>
      <w:b/>
      <w:szCs w:val="20"/>
      <w:lang w:eastAsia="en-US"/>
    </w:rPr>
  </w:style>
  <w:style w:type="character" w:customStyle="1" w:styleId="Heading5Char">
    <w:name w:val="Heading 5 Char"/>
    <w:link w:val="Heading5"/>
    <w:rsid w:val="00B02A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2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A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A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AD5"/>
    <w:rPr>
      <w:rFonts w:ascii="Courier New" w:eastAsia="Times New Roman" w:hAnsi="Courier New" w:cs="Times New Roman"/>
      <w:i/>
      <w:szCs w:val="20"/>
      <w:lang w:val="en-US" w:eastAsia="en-US"/>
    </w:rPr>
  </w:style>
  <w:style w:type="paragraph" w:customStyle="1" w:styleId="HeadingBase">
    <w:name w:val="Heading Base"/>
    <w:rsid w:val="00B02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AD5"/>
    <w:pPr>
      <w:tabs>
        <w:tab w:val="right" w:leader="dot" w:pos="9072"/>
      </w:tabs>
      <w:ind w:left="567"/>
    </w:pPr>
    <w:rPr>
      <w:szCs w:val="22"/>
    </w:rPr>
  </w:style>
  <w:style w:type="paragraph" w:customStyle="1" w:styleId="TOCBase">
    <w:name w:val="TOC Base"/>
    <w:rsid w:val="00B02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AD5"/>
    <w:pPr>
      <w:tabs>
        <w:tab w:val="right" w:leader="dot" w:pos="9072"/>
      </w:tabs>
      <w:spacing w:before="40" w:after="40"/>
      <w:ind w:left="284"/>
    </w:pPr>
    <w:rPr>
      <w:rFonts w:ascii="Times New Roman" w:hAnsi="Times New Roman"/>
    </w:rPr>
  </w:style>
  <w:style w:type="paragraph" w:styleId="TOC1">
    <w:name w:val="toc 1"/>
    <w:basedOn w:val="TOCBase"/>
    <w:next w:val="Normal"/>
    <w:rsid w:val="00B02A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AD5"/>
    <w:pPr>
      <w:spacing w:before="5040"/>
      <w:jc w:val="center"/>
    </w:pPr>
    <w:rPr>
      <w:sz w:val="48"/>
      <w:szCs w:val="72"/>
      <w:lang w:val="en-US"/>
    </w:rPr>
  </w:style>
  <w:style w:type="character" w:customStyle="1" w:styleId="TitleChar">
    <w:name w:val="Title Char"/>
    <w:link w:val="Title"/>
    <w:rsid w:val="00B02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AD5"/>
    <w:pPr>
      <w:tabs>
        <w:tab w:val="left" w:pos="3600"/>
        <w:tab w:val="left" w:pos="3958"/>
      </w:tabs>
    </w:pPr>
  </w:style>
  <w:style w:type="paragraph" w:styleId="List">
    <w:name w:val="List"/>
    <w:basedOn w:val="BodyText"/>
    <w:next w:val="BodyText"/>
    <w:rsid w:val="00B02AD5"/>
    <w:pPr>
      <w:tabs>
        <w:tab w:val="left" w:pos="340"/>
      </w:tabs>
      <w:spacing w:before="60" w:after="60"/>
      <w:ind w:left="340" w:hanging="340"/>
    </w:pPr>
  </w:style>
  <w:style w:type="paragraph" w:customStyle="1" w:styleId="Note">
    <w:name w:val="Note"/>
    <w:basedOn w:val="BodyText"/>
    <w:rsid w:val="00B02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AD5"/>
    <w:pPr>
      <w:framePr w:wrap="auto" w:hAnchor="text" w:y="6049"/>
    </w:pPr>
    <w:rPr>
      <w:color w:val="000000"/>
      <w:sz w:val="40"/>
    </w:rPr>
  </w:style>
  <w:style w:type="paragraph" w:customStyle="1" w:styleId="TOCTitle">
    <w:name w:val="TOCTitle"/>
    <w:basedOn w:val="Heading1"/>
    <w:rsid w:val="00B02AD5"/>
    <w:pPr>
      <w:spacing w:after="240"/>
      <w:jc w:val="center"/>
      <w:outlineLvl w:val="9"/>
    </w:pPr>
    <w:rPr>
      <w:caps/>
    </w:rPr>
  </w:style>
  <w:style w:type="paragraph" w:customStyle="1" w:styleId="Version">
    <w:name w:val="Version"/>
    <w:rsid w:val="00B02A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AD5"/>
    <w:pPr>
      <w:keepNext w:val="0"/>
      <w:tabs>
        <w:tab w:val="right" w:pos="4176"/>
      </w:tabs>
      <w:ind w:left="198" w:hanging="198"/>
    </w:pPr>
    <w:rPr>
      <w:rFonts w:ascii="Garamond" w:hAnsi="Garamond"/>
    </w:rPr>
  </w:style>
  <w:style w:type="paragraph" w:styleId="IndexHeading">
    <w:name w:val="index heading"/>
    <w:basedOn w:val="Normal"/>
    <w:next w:val="Index1"/>
    <w:semiHidden/>
    <w:rsid w:val="00B02AD5"/>
    <w:pPr>
      <w:spacing w:before="120" w:after="120"/>
    </w:pPr>
    <w:rPr>
      <w:rFonts w:ascii="Arial" w:hAnsi="Arial"/>
      <w:b/>
      <w:color w:val="918585"/>
      <w:sz w:val="24"/>
    </w:rPr>
  </w:style>
  <w:style w:type="paragraph" w:customStyle="1" w:styleId="Chapter">
    <w:name w:val="Chapter"/>
    <w:basedOn w:val="Normal"/>
    <w:rsid w:val="00B02AD5"/>
    <w:pPr>
      <w:spacing w:before="240"/>
    </w:pPr>
    <w:rPr>
      <w:rFonts w:ascii="Times New Roman" w:hAnsi="Times New Roman"/>
      <w:smallCaps/>
      <w:spacing w:val="80"/>
      <w:sz w:val="28"/>
    </w:rPr>
  </w:style>
  <w:style w:type="paragraph" w:customStyle="1" w:styleId="InChapter">
    <w:name w:val="InChapter"/>
    <w:basedOn w:val="Heading3"/>
    <w:rsid w:val="00B02AD5"/>
    <w:pPr>
      <w:spacing w:after="240"/>
      <w:outlineLvl w:val="9"/>
    </w:pPr>
    <w:rPr>
      <w:noProof/>
    </w:rPr>
  </w:style>
  <w:style w:type="paragraph" w:styleId="Index2">
    <w:name w:val="index 2"/>
    <w:basedOn w:val="Normal"/>
    <w:next w:val="Normal"/>
    <w:semiHidden/>
    <w:rsid w:val="00B02AD5"/>
    <w:pPr>
      <w:tabs>
        <w:tab w:val="right" w:pos="4176"/>
      </w:tabs>
      <w:ind w:left="568" w:hanging="284"/>
    </w:pPr>
    <w:rPr>
      <w:rFonts w:ascii="Garamond" w:hAnsi="Garamond"/>
    </w:rPr>
  </w:style>
  <w:style w:type="paragraph" w:customStyle="1" w:styleId="Byline">
    <w:name w:val="Byline"/>
    <w:rsid w:val="00B02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AD5"/>
    <w:pPr>
      <w:tabs>
        <w:tab w:val="clear" w:pos="3600"/>
        <w:tab w:val="clear" w:pos="3958"/>
      </w:tabs>
      <w:jc w:val="right"/>
    </w:pPr>
  </w:style>
  <w:style w:type="character" w:styleId="Emphasis">
    <w:name w:val="Emphasis"/>
    <w:qFormat/>
    <w:rsid w:val="00B02AD5"/>
    <w:rPr>
      <w:i/>
    </w:rPr>
  </w:style>
  <w:style w:type="paragraph" w:styleId="Caption">
    <w:name w:val="caption"/>
    <w:basedOn w:val="BodyText"/>
    <w:next w:val="Normal"/>
    <w:qFormat/>
    <w:rsid w:val="00B02AD5"/>
    <w:pPr>
      <w:framePr w:w="2268" w:hSpace="181" w:vSpace="181" w:wrap="around" w:vAnchor="text" w:hAnchor="page" w:x="1135" w:y="285" w:anchorLock="1"/>
    </w:pPr>
    <w:rPr>
      <w:i/>
    </w:rPr>
  </w:style>
  <w:style w:type="paragraph" w:customStyle="1" w:styleId="MiniTOCTitle">
    <w:name w:val="MiniTOCTitle"/>
    <w:basedOn w:val="Heading4"/>
    <w:rsid w:val="00B02AD5"/>
    <w:pPr>
      <w:spacing w:before="240"/>
      <w:outlineLvl w:val="9"/>
    </w:pPr>
    <w:rPr>
      <w:noProof/>
      <w:sz w:val="24"/>
    </w:rPr>
  </w:style>
  <w:style w:type="paragraph" w:customStyle="1" w:styleId="MiniTOCItem">
    <w:name w:val="MiniTOCItem"/>
    <w:basedOn w:val="ListBullet"/>
    <w:rsid w:val="00B02AD5"/>
    <w:pPr>
      <w:numPr>
        <w:numId w:val="0"/>
      </w:numPr>
      <w:tabs>
        <w:tab w:val="right" w:leader="dot" w:pos="6521"/>
      </w:tabs>
      <w:spacing w:before="0" w:after="0"/>
    </w:pPr>
  </w:style>
  <w:style w:type="paragraph" w:customStyle="1" w:styleId="TOFTitle">
    <w:name w:val="TOFTitle"/>
    <w:basedOn w:val="TOCTitle"/>
    <w:rsid w:val="00B02AD5"/>
  </w:style>
  <w:style w:type="paragraph" w:styleId="TableofFigures">
    <w:name w:val="table of figures"/>
    <w:basedOn w:val="Normal"/>
    <w:next w:val="Normal"/>
    <w:semiHidden/>
    <w:rsid w:val="00B02AD5"/>
    <w:pPr>
      <w:tabs>
        <w:tab w:val="right" w:leader="dot" w:pos="9072"/>
      </w:tabs>
      <w:ind w:left="970" w:hanging="403"/>
    </w:pPr>
    <w:rPr>
      <w:rFonts w:ascii="Times New Roman" w:hAnsi="Times New Roman"/>
      <w:b/>
    </w:rPr>
  </w:style>
  <w:style w:type="paragraph" w:styleId="ListNumber">
    <w:name w:val="List Number"/>
    <w:basedOn w:val="List"/>
    <w:rsid w:val="00B02AD5"/>
    <w:pPr>
      <w:numPr>
        <w:numId w:val="12"/>
      </w:numPr>
    </w:pPr>
  </w:style>
  <w:style w:type="character" w:customStyle="1" w:styleId="WingdingSymbols">
    <w:name w:val="Wingding Symbols"/>
    <w:rsid w:val="00B02AD5"/>
    <w:rPr>
      <w:rFonts w:ascii="Wingdings" w:hAnsi="Wingdings"/>
    </w:rPr>
  </w:style>
  <w:style w:type="paragraph" w:customStyle="1" w:styleId="TableHeading">
    <w:name w:val="Table Heading"/>
    <w:basedOn w:val="HeadingBase"/>
    <w:rsid w:val="00B02AD5"/>
    <w:pPr>
      <w:keepLines/>
      <w:pBdr>
        <w:bottom w:val="single" w:sz="6" w:space="1" w:color="918585"/>
      </w:pBdr>
      <w:spacing w:before="240"/>
    </w:pPr>
  </w:style>
  <w:style w:type="character" w:customStyle="1" w:styleId="HotSpot">
    <w:name w:val="HotSpot"/>
    <w:rsid w:val="00B02AD5"/>
    <w:rPr>
      <w:color w:val="0033CC"/>
      <w:u w:val="none"/>
    </w:rPr>
  </w:style>
  <w:style w:type="paragraph" w:customStyle="1" w:styleId="BodyTextRight">
    <w:name w:val="Body Text Right"/>
    <w:basedOn w:val="BodyText"/>
    <w:rsid w:val="00B02AD5"/>
    <w:pPr>
      <w:spacing w:before="0" w:after="0"/>
      <w:jc w:val="right"/>
    </w:pPr>
  </w:style>
  <w:style w:type="paragraph" w:styleId="Index3">
    <w:name w:val="index 3"/>
    <w:basedOn w:val="ListNumber2"/>
    <w:next w:val="Normal"/>
    <w:semiHidden/>
    <w:rsid w:val="00B02AD5"/>
    <w:pPr>
      <w:numPr>
        <w:numId w:val="0"/>
      </w:numPr>
      <w:tabs>
        <w:tab w:val="right" w:leader="dot" w:pos="4176"/>
      </w:tabs>
    </w:pPr>
  </w:style>
  <w:style w:type="paragraph" w:styleId="ListNumber2">
    <w:name w:val="List Number 2"/>
    <w:basedOn w:val="List2"/>
    <w:rsid w:val="00B02AD5"/>
    <w:pPr>
      <w:numPr>
        <w:numId w:val="11"/>
      </w:numPr>
      <w:tabs>
        <w:tab w:val="clear" w:pos="1060"/>
      </w:tabs>
    </w:pPr>
  </w:style>
  <w:style w:type="paragraph" w:customStyle="1" w:styleId="MarginNote">
    <w:name w:val="Margin Note"/>
    <w:basedOn w:val="BodyText"/>
    <w:rsid w:val="00B02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2A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AD5"/>
    <w:rPr>
      <w:sz w:val="32"/>
    </w:rPr>
  </w:style>
  <w:style w:type="paragraph" w:customStyle="1" w:styleId="HeadingProcedure">
    <w:name w:val="Heading Procedure"/>
    <w:basedOn w:val="HeadingBase"/>
    <w:next w:val="Normal"/>
    <w:rsid w:val="00B02AD5"/>
    <w:pPr>
      <w:tabs>
        <w:tab w:val="left" w:pos="0"/>
      </w:tabs>
      <w:spacing w:before="120" w:after="60"/>
    </w:pPr>
    <w:rPr>
      <w:i/>
      <w:color w:val="918585"/>
      <w:sz w:val="22"/>
    </w:rPr>
  </w:style>
  <w:style w:type="paragraph" w:customStyle="1" w:styleId="TableBodyText">
    <w:name w:val="Table Body Text"/>
    <w:basedOn w:val="BodyText"/>
    <w:rsid w:val="00B02AD5"/>
    <w:pPr>
      <w:spacing w:before="60" w:after="60"/>
    </w:pPr>
  </w:style>
  <w:style w:type="paragraph" w:styleId="ListContinue">
    <w:name w:val="List Continue"/>
    <w:basedOn w:val="List"/>
    <w:rsid w:val="00B02AD5"/>
    <w:pPr>
      <w:ind w:firstLine="0"/>
    </w:pPr>
  </w:style>
  <w:style w:type="paragraph" w:customStyle="1" w:styleId="ListNote">
    <w:name w:val="List Note"/>
    <w:basedOn w:val="List"/>
    <w:rsid w:val="00B02AD5"/>
    <w:pPr>
      <w:pBdr>
        <w:top w:val="single" w:sz="6" w:space="2" w:color="918585"/>
        <w:bottom w:val="single" w:sz="6" w:space="2" w:color="918585"/>
      </w:pBdr>
      <w:tabs>
        <w:tab w:val="left" w:pos="1021"/>
      </w:tabs>
      <w:ind w:firstLine="0"/>
    </w:pPr>
  </w:style>
  <w:style w:type="paragraph" w:customStyle="1" w:styleId="Warning">
    <w:name w:val="Warning"/>
    <w:basedOn w:val="BodyText"/>
    <w:rsid w:val="00B02AD5"/>
    <w:pPr>
      <w:shd w:val="clear" w:color="auto" w:fill="D9D9D9"/>
      <w:tabs>
        <w:tab w:val="left" w:pos="992"/>
      </w:tabs>
      <w:ind w:left="119" w:right="119"/>
    </w:pPr>
    <w:rPr>
      <w:sz w:val="20"/>
    </w:rPr>
  </w:style>
  <w:style w:type="paragraph" w:customStyle="1" w:styleId="MarginIcons">
    <w:name w:val="Margin Icons"/>
    <w:basedOn w:val="BodyText"/>
    <w:rsid w:val="00B02A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2AD5"/>
    <w:rPr>
      <w:rFonts w:ascii="Courier New" w:hAnsi="Courier New"/>
    </w:rPr>
  </w:style>
  <w:style w:type="paragraph" w:customStyle="1" w:styleId="NoteBullet">
    <w:name w:val="Note Bullet"/>
    <w:basedOn w:val="Note"/>
    <w:rsid w:val="00B02AD5"/>
    <w:pPr>
      <w:tabs>
        <w:tab w:val="clear" w:pos="680"/>
      </w:tabs>
      <w:spacing w:before="60" w:after="60"/>
    </w:pPr>
  </w:style>
  <w:style w:type="paragraph" w:customStyle="1" w:styleId="SubHeading2">
    <w:name w:val="SubHeading2"/>
    <w:basedOn w:val="HeadingBase"/>
    <w:rsid w:val="00B02AD5"/>
    <w:pPr>
      <w:spacing w:before="240" w:after="60"/>
    </w:pPr>
    <w:rPr>
      <w:sz w:val="20"/>
    </w:rPr>
  </w:style>
  <w:style w:type="paragraph" w:customStyle="1" w:styleId="SubHeading1">
    <w:name w:val="SubHeading1"/>
    <w:basedOn w:val="HeadingBase"/>
    <w:rsid w:val="00B02AD5"/>
    <w:pPr>
      <w:spacing w:before="240" w:after="60"/>
    </w:pPr>
    <w:rPr>
      <w:color w:val="918585"/>
      <w:sz w:val="22"/>
    </w:rPr>
  </w:style>
  <w:style w:type="paragraph" w:customStyle="1" w:styleId="SideHeading">
    <w:name w:val="Side Heading"/>
    <w:basedOn w:val="HeadingBase"/>
    <w:rsid w:val="00B02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AD5"/>
    <w:pPr>
      <w:numPr>
        <w:numId w:val="13"/>
      </w:numPr>
    </w:pPr>
  </w:style>
  <w:style w:type="paragraph" w:styleId="PlainText">
    <w:name w:val="Plain Text"/>
    <w:basedOn w:val="Normal"/>
    <w:link w:val="PlainTextChar"/>
    <w:rsid w:val="00B02AD5"/>
    <w:rPr>
      <w:sz w:val="20"/>
    </w:rPr>
  </w:style>
  <w:style w:type="character" w:customStyle="1" w:styleId="PlainTextChar">
    <w:name w:val="Plain Text Char"/>
    <w:basedOn w:val="DefaultParagraphFont"/>
    <w:link w:val="PlainText"/>
    <w:rsid w:val="00B02AD5"/>
    <w:rPr>
      <w:rFonts w:ascii="Courier New" w:eastAsia="Times New Roman" w:hAnsi="Courier New" w:cs="Times New Roman"/>
      <w:sz w:val="20"/>
      <w:szCs w:val="20"/>
      <w:lang w:val="en-US" w:eastAsia="en-US"/>
    </w:rPr>
  </w:style>
  <w:style w:type="character" w:customStyle="1" w:styleId="MenuOption">
    <w:name w:val="Menu Option"/>
    <w:rsid w:val="00B02AD5"/>
    <w:rPr>
      <w:b/>
      <w:smallCaps/>
    </w:rPr>
  </w:style>
  <w:style w:type="paragraph" w:customStyle="1" w:styleId="TableListNumber">
    <w:name w:val="Table List Number"/>
    <w:basedOn w:val="ListNumber"/>
    <w:rsid w:val="00B02AD5"/>
    <w:pPr>
      <w:numPr>
        <w:numId w:val="0"/>
      </w:numPr>
    </w:pPr>
  </w:style>
  <w:style w:type="paragraph" w:styleId="TOC4">
    <w:name w:val="toc 4"/>
    <w:basedOn w:val="TOCBase"/>
    <w:next w:val="Normal"/>
    <w:semiHidden/>
    <w:rsid w:val="00B02AD5"/>
    <w:pPr>
      <w:tabs>
        <w:tab w:val="right" w:leader="dot" w:pos="9071"/>
      </w:tabs>
      <w:ind w:left="1701"/>
    </w:pPr>
  </w:style>
  <w:style w:type="paragraph" w:customStyle="1" w:styleId="ListAlpha">
    <w:name w:val="List Alpha"/>
    <w:basedOn w:val="List"/>
    <w:rsid w:val="00B02AD5"/>
    <w:pPr>
      <w:numPr>
        <w:numId w:val="10"/>
      </w:numPr>
    </w:pPr>
  </w:style>
  <w:style w:type="paragraph" w:customStyle="1" w:styleId="ListAlpha2">
    <w:name w:val="List Alpha 2"/>
    <w:basedOn w:val="List2"/>
    <w:rsid w:val="00B02AD5"/>
    <w:pPr>
      <w:numPr>
        <w:numId w:val="9"/>
      </w:numPr>
    </w:pPr>
  </w:style>
  <w:style w:type="paragraph" w:styleId="List2">
    <w:name w:val="List 2"/>
    <w:basedOn w:val="BodyText"/>
    <w:rsid w:val="00B02AD5"/>
    <w:pPr>
      <w:tabs>
        <w:tab w:val="left" w:pos="680"/>
      </w:tabs>
      <w:spacing w:before="60" w:after="60"/>
      <w:ind w:left="680" w:hanging="340"/>
    </w:pPr>
  </w:style>
  <w:style w:type="paragraph" w:styleId="List3">
    <w:name w:val="List 3"/>
    <w:basedOn w:val="BodyText"/>
    <w:rsid w:val="00B02AD5"/>
    <w:pPr>
      <w:tabs>
        <w:tab w:val="left" w:pos="1021"/>
      </w:tabs>
      <w:spacing w:before="60" w:after="60"/>
      <w:ind w:left="1020" w:hanging="340"/>
    </w:pPr>
  </w:style>
  <w:style w:type="paragraph" w:styleId="List4">
    <w:name w:val="List 4"/>
    <w:basedOn w:val="BodyText"/>
    <w:rsid w:val="00B02AD5"/>
    <w:pPr>
      <w:tabs>
        <w:tab w:val="left" w:pos="1361"/>
      </w:tabs>
      <w:spacing w:before="60" w:after="60"/>
      <w:ind w:left="1361" w:hanging="340"/>
    </w:pPr>
  </w:style>
  <w:style w:type="paragraph" w:styleId="List5">
    <w:name w:val="List 5"/>
    <w:basedOn w:val="BodyText"/>
    <w:rsid w:val="00B02AD5"/>
    <w:pPr>
      <w:tabs>
        <w:tab w:val="left" w:pos="1701"/>
      </w:tabs>
      <w:spacing w:before="60" w:after="60"/>
      <w:ind w:left="1701" w:hanging="340"/>
    </w:pPr>
  </w:style>
  <w:style w:type="paragraph" w:styleId="ListBullet4">
    <w:name w:val="List Bullet 4"/>
    <w:basedOn w:val="List4"/>
    <w:rsid w:val="00B02AD5"/>
    <w:pPr>
      <w:numPr>
        <w:numId w:val="4"/>
      </w:numPr>
    </w:pPr>
  </w:style>
  <w:style w:type="paragraph" w:styleId="ListBullet5">
    <w:name w:val="List Bullet 5"/>
    <w:basedOn w:val="List5"/>
    <w:rsid w:val="00B02AD5"/>
    <w:pPr>
      <w:numPr>
        <w:numId w:val="5"/>
      </w:numPr>
    </w:pPr>
  </w:style>
  <w:style w:type="paragraph" w:styleId="ListContinue2">
    <w:name w:val="List Continue 2"/>
    <w:basedOn w:val="List2"/>
    <w:rsid w:val="00B02AD5"/>
    <w:pPr>
      <w:ind w:firstLine="0"/>
    </w:pPr>
  </w:style>
  <w:style w:type="paragraph" w:styleId="ListContinue3">
    <w:name w:val="List Continue 3"/>
    <w:basedOn w:val="List3"/>
    <w:rsid w:val="00B02AD5"/>
    <w:pPr>
      <w:ind w:left="1021" w:firstLine="0"/>
    </w:pPr>
  </w:style>
  <w:style w:type="paragraph" w:styleId="ListContinue4">
    <w:name w:val="List Continue 4"/>
    <w:basedOn w:val="List4"/>
    <w:rsid w:val="00B02AD5"/>
    <w:pPr>
      <w:ind w:firstLine="0"/>
    </w:pPr>
  </w:style>
  <w:style w:type="paragraph" w:styleId="ListContinue5">
    <w:name w:val="List Continue 5"/>
    <w:basedOn w:val="List5"/>
    <w:rsid w:val="00B02AD5"/>
    <w:pPr>
      <w:ind w:firstLine="0"/>
    </w:pPr>
  </w:style>
  <w:style w:type="paragraph" w:styleId="ListNumber3">
    <w:name w:val="List Number 3"/>
    <w:basedOn w:val="List3"/>
    <w:rsid w:val="00B02AD5"/>
    <w:pPr>
      <w:numPr>
        <w:numId w:val="6"/>
      </w:numPr>
    </w:pPr>
  </w:style>
  <w:style w:type="paragraph" w:styleId="ListNumber4">
    <w:name w:val="List Number 4"/>
    <w:basedOn w:val="List4"/>
    <w:rsid w:val="00B02AD5"/>
    <w:pPr>
      <w:numPr>
        <w:numId w:val="7"/>
      </w:numPr>
    </w:pPr>
  </w:style>
  <w:style w:type="paragraph" w:styleId="ListNumber5">
    <w:name w:val="List Number 5"/>
    <w:basedOn w:val="List5"/>
    <w:rsid w:val="00B02AD5"/>
    <w:pPr>
      <w:numPr>
        <w:numId w:val="8"/>
      </w:numPr>
    </w:pPr>
  </w:style>
  <w:style w:type="paragraph" w:styleId="BlockText">
    <w:name w:val="Block Text"/>
    <w:basedOn w:val="Normal"/>
    <w:rsid w:val="00B02AD5"/>
    <w:pPr>
      <w:spacing w:after="120"/>
      <w:ind w:left="1440" w:right="1440"/>
    </w:pPr>
  </w:style>
  <w:style w:type="character" w:customStyle="1" w:styleId="Subscript">
    <w:name w:val="Subscript"/>
    <w:rsid w:val="00B02AD5"/>
    <w:rPr>
      <w:sz w:val="16"/>
      <w:vertAlign w:val="subscript"/>
    </w:rPr>
  </w:style>
  <w:style w:type="character" w:customStyle="1" w:styleId="Superscript">
    <w:name w:val="Superscript"/>
    <w:rsid w:val="00B02AD5"/>
    <w:rPr>
      <w:sz w:val="16"/>
      <w:vertAlign w:val="superscript"/>
    </w:rPr>
  </w:style>
  <w:style w:type="character" w:customStyle="1" w:styleId="Symbols">
    <w:name w:val="Symbols"/>
    <w:rsid w:val="00B02AD5"/>
    <w:rPr>
      <w:rFonts w:ascii="Symbol" w:hAnsi="Symbol"/>
    </w:rPr>
  </w:style>
  <w:style w:type="character" w:customStyle="1" w:styleId="MenuOptions">
    <w:name w:val="Menu Options"/>
    <w:rsid w:val="00B02AD5"/>
    <w:rPr>
      <w:rFonts w:ascii="Arial Narrow" w:hAnsi="Arial Narrow"/>
      <w:smallCaps/>
    </w:rPr>
  </w:style>
  <w:style w:type="character" w:customStyle="1" w:styleId="Buttons">
    <w:name w:val="Buttons"/>
    <w:rsid w:val="00B02AD5"/>
    <w:rPr>
      <w:b/>
    </w:rPr>
  </w:style>
  <w:style w:type="character" w:customStyle="1" w:styleId="Underlined">
    <w:name w:val="Underlined"/>
    <w:rsid w:val="00B02AD5"/>
    <w:rPr>
      <w:u w:val="single"/>
    </w:rPr>
  </w:style>
  <w:style w:type="paragraph" w:customStyle="1" w:styleId="TableBodyTextRight">
    <w:name w:val="Table Body Text Right"/>
    <w:basedOn w:val="TableBodyText"/>
    <w:rsid w:val="00B02AD5"/>
    <w:pPr>
      <w:widowControl w:val="0"/>
      <w:autoSpaceDE w:val="0"/>
      <w:autoSpaceDN w:val="0"/>
      <w:adjustRightInd w:val="0"/>
      <w:jc w:val="right"/>
    </w:pPr>
    <w:rPr>
      <w:rFonts w:cs="Arial"/>
      <w:szCs w:val="18"/>
    </w:rPr>
  </w:style>
  <w:style w:type="paragraph" w:customStyle="1" w:styleId="CopyrightText">
    <w:name w:val="Copyright Text"/>
    <w:basedOn w:val="BodyText"/>
    <w:rsid w:val="00B02AD5"/>
    <w:rPr>
      <w:sz w:val="18"/>
    </w:rPr>
  </w:style>
  <w:style w:type="paragraph" w:customStyle="1" w:styleId="BodySmallRight">
    <w:name w:val="Body Small Right"/>
    <w:basedOn w:val="BodyTextRight"/>
    <w:rsid w:val="00B02AD5"/>
    <w:rPr>
      <w:sz w:val="18"/>
      <w:szCs w:val="18"/>
    </w:rPr>
  </w:style>
  <w:style w:type="paragraph" w:customStyle="1" w:styleId="MarginEdition">
    <w:name w:val="Margin Edition"/>
    <w:basedOn w:val="MarginNote"/>
    <w:rsid w:val="00B02AD5"/>
    <w:pPr>
      <w:spacing w:before="0" w:after="0"/>
    </w:pPr>
    <w:rPr>
      <w:rFonts w:ascii="Times New Roman" w:hAnsi="Times New Roman"/>
      <w:color w:val="999999"/>
    </w:rPr>
  </w:style>
  <w:style w:type="paragraph" w:customStyle="1" w:styleId="Spacer">
    <w:name w:val="Spacer"/>
    <w:basedOn w:val="Normal"/>
    <w:rsid w:val="00B02AD5"/>
    <w:rPr>
      <w:sz w:val="2"/>
      <w:szCs w:val="2"/>
    </w:rPr>
  </w:style>
  <w:style w:type="character" w:customStyle="1" w:styleId="Small">
    <w:name w:val="Small"/>
    <w:rsid w:val="00B02AD5"/>
    <w:rPr>
      <w:sz w:val="16"/>
    </w:rPr>
  </w:style>
  <w:style w:type="paragraph" w:customStyle="1" w:styleId="WideTable">
    <w:name w:val="Wide Table"/>
    <w:basedOn w:val="Normal"/>
    <w:rsid w:val="00B02AD5"/>
    <w:pPr>
      <w:ind w:left="-1418"/>
    </w:pPr>
    <w:rPr>
      <w:sz w:val="2"/>
      <w:szCs w:val="2"/>
    </w:rPr>
  </w:style>
  <w:style w:type="character" w:styleId="PageNumber">
    <w:name w:val="page number"/>
    <w:rsid w:val="00B02AD5"/>
  </w:style>
  <w:style w:type="paragraph" w:styleId="Quote">
    <w:name w:val="Quote"/>
    <w:basedOn w:val="Heading1"/>
    <w:link w:val="QuoteChar"/>
    <w:qFormat/>
    <w:rsid w:val="00B02AD5"/>
    <w:rPr>
      <w:b w:val="0"/>
      <w:sz w:val="72"/>
      <w:szCs w:val="72"/>
      <w:lang w:val="en-NZ"/>
    </w:rPr>
  </w:style>
  <w:style w:type="character" w:customStyle="1" w:styleId="QuoteChar">
    <w:name w:val="Quote Char"/>
    <w:link w:val="Quote"/>
    <w:rsid w:val="00B02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AD5"/>
    <w:pPr>
      <w:pageBreakBefore/>
    </w:pPr>
  </w:style>
  <w:style w:type="paragraph" w:customStyle="1" w:styleId="Border">
    <w:name w:val="Border"/>
    <w:basedOn w:val="Normal"/>
    <w:qFormat/>
    <w:rsid w:val="00B02AD5"/>
    <w:pPr>
      <w:pBdr>
        <w:top w:val="single" w:sz="18" w:space="1" w:color="auto"/>
      </w:pBdr>
    </w:pPr>
    <w:rPr>
      <w:rFonts w:ascii="Times New Roman" w:hAnsi="Times New Roman"/>
      <w:color w:val="FFFFFF"/>
      <w:sz w:val="2"/>
    </w:rPr>
  </w:style>
  <w:style w:type="character" w:styleId="IntenseEmphasis">
    <w:name w:val="Intense Emphasis"/>
    <w:uiPriority w:val="21"/>
    <w:qFormat/>
    <w:rsid w:val="00B02AD5"/>
    <w:rPr>
      <w:b/>
      <w:bCs/>
      <w:i/>
      <w:iCs/>
      <w:color w:val="auto"/>
    </w:rPr>
  </w:style>
  <w:style w:type="paragraph" w:styleId="IntenseQuote">
    <w:name w:val="Intense Quote"/>
    <w:basedOn w:val="Normal"/>
    <w:next w:val="Normal"/>
    <w:link w:val="IntenseQuoteChar"/>
    <w:uiPriority w:val="30"/>
    <w:qFormat/>
    <w:rsid w:val="00B02A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2AD5"/>
    <w:rPr>
      <w:rFonts w:ascii="Courier New" w:eastAsia="Times New Roman" w:hAnsi="Courier New" w:cs="Times New Roman"/>
      <w:b/>
      <w:bCs/>
      <w:i/>
      <w:iCs/>
      <w:szCs w:val="20"/>
      <w:lang w:val="en-US" w:eastAsia="en-US"/>
    </w:rPr>
  </w:style>
  <w:style w:type="character" w:styleId="SubtleReference">
    <w:name w:val="Subtle Reference"/>
    <w:uiPriority w:val="31"/>
    <w:qFormat/>
    <w:rsid w:val="00B02AD5"/>
    <w:rPr>
      <w:smallCaps/>
      <w:color w:val="auto"/>
      <w:u w:val="single"/>
    </w:rPr>
  </w:style>
  <w:style w:type="character" w:styleId="IntenseReference">
    <w:name w:val="Intense Reference"/>
    <w:uiPriority w:val="32"/>
    <w:qFormat/>
    <w:rsid w:val="00B02AD5"/>
    <w:rPr>
      <w:b/>
      <w:bCs/>
      <w:smallCaps/>
      <w:color w:val="auto"/>
      <w:spacing w:val="5"/>
      <w:u w:val="single"/>
    </w:rPr>
  </w:style>
  <w:style w:type="paragraph" w:customStyle="1" w:styleId="2ColumnHeading">
    <w:name w:val="2Column Heading"/>
    <w:basedOn w:val="BodyText"/>
    <w:qFormat/>
    <w:rsid w:val="00B02AD5"/>
    <w:pPr>
      <w:spacing w:after="60"/>
      <w:ind w:left="-2268"/>
    </w:pPr>
    <w:rPr>
      <w:b/>
    </w:rPr>
  </w:style>
  <w:style w:type="paragraph" w:customStyle="1" w:styleId="Heading1TOC">
    <w:name w:val="Heading1 TOC"/>
    <w:basedOn w:val="Normal"/>
    <w:qFormat/>
    <w:rsid w:val="00B02AD5"/>
    <w:pPr>
      <w:spacing w:before="240" w:after="120"/>
    </w:pPr>
    <w:rPr>
      <w:rFonts w:ascii="Times New Roman" w:hAnsi="Times New Roman"/>
      <w:b/>
      <w:sz w:val="32"/>
    </w:rPr>
  </w:style>
  <w:style w:type="paragraph" w:customStyle="1" w:styleId="Heading2TOC">
    <w:name w:val="Heading2 TOC"/>
    <w:basedOn w:val="Normal"/>
    <w:qFormat/>
    <w:rsid w:val="00B02AD5"/>
    <w:pPr>
      <w:spacing w:before="240" w:after="60"/>
    </w:pPr>
    <w:rPr>
      <w:rFonts w:ascii="Times New Roman" w:hAnsi="Times New Roman"/>
      <w:b/>
      <w:sz w:val="28"/>
    </w:rPr>
  </w:style>
  <w:style w:type="character" w:customStyle="1" w:styleId="Underline">
    <w:name w:val="Underline"/>
    <w:qFormat/>
    <w:rsid w:val="00B02AD5"/>
    <w:rPr>
      <w:u w:val="single"/>
    </w:rPr>
  </w:style>
  <w:style w:type="character" w:customStyle="1" w:styleId="BoldandItalics">
    <w:name w:val="Bold and Italics"/>
    <w:qFormat/>
    <w:rsid w:val="00B02AD5"/>
    <w:rPr>
      <w:b/>
      <w:i/>
      <w:u w:val="none"/>
    </w:rPr>
  </w:style>
  <w:style w:type="paragraph" w:styleId="BalloonText">
    <w:name w:val="Balloon Text"/>
    <w:basedOn w:val="Normal"/>
    <w:link w:val="BalloonTextChar"/>
    <w:rsid w:val="00B02AD5"/>
    <w:rPr>
      <w:rFonts w:ascii="Tahoma" w:hAnsi="Tahoma" w:cs="Tahoma"/>
      <w:sz w:val="16"/>
      <w:szCs w:val="16"/>
    </w:rPr>
  </w:style>
  <w:style w:type="character" w:customStyle="1" w:styleId="BalloonTextChar">
    <w:name w:val="Balloon Text Char"/>
    <w:link w:val="BalloonText"/>
    <w:rsid w:val="00B02A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A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2A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2516</Words>
  <Characters>15668</Characters>
  <Application>Microsoft Office Word</Application>
  <DocSecurity>0</DocSecurity>
  <Lines>661</Lines>
  <Paragraphs>269</Paragraphs>
  <ScaleCrop>false</ScaleCrop>
  <Company>Author-it Software Corporation Ltd.</Company>
  <LinksUpToDate>false</LinksUpToDate>
  <CharactersWithSpaces>17982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UETTDRTS32A Conduct evaluation of power systems primary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