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334" w:rsidP="00684334">
      <w:pPr>
        <w:pStyle w:val="Title"/>
      </w:pPr>
      <w:r>
        <w:fldChar w:fldCharType="begin"/>
      </w:r>
      <w:r>
        <w:instrText xml:space="preserve"> TITLE   \* MERGEFORMAT </w:instrText>
      </w:r>
      <w:r>
        <w:fldChar w:fldCharType="separate"/>
      </w:r>
      <w:r>
        <w:t>UETTDRTS30A Design power systems secondary isolation instructional documents</w:t>
      </w:r>
      <w:r>
        <w:fldChar w:fldCharType="end"/>
      </w:r>
    </w:p>
    <w:p w:rsidR="00684334" w:rsidP="00684334">
      <w:pPr>
        <w:pStyle w:val="Version"/>
        <w:sectPr w:rsidSect="00FC7D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DA6" w:rsidP="00FC7DA6">
      <w:pPr>
        <w:pStyle w:val="SuperHeading"/>
      </w:pPr>
      <w:r w:rsidRPr="00FC7DA6">
        <w:t>UETTDRTS30A Design power systems secondary isolation instructional documents</w:t>
      </w:r>
    </w:p>
    <w:p w:rsidR="00000000" w:rsidRPr="00FC7DA6" w:rsidP="00FC7DA6">
      <w:pPr>
        <w:pStyle w:val="Heading1"/>
      </w:pPr>
      <w:bookmarkStart w:id="1" w:name="O_464561"/>
      <w:bookmarkEnd w:id="1"/>
      <w:r w:rsidRPr="00FC7DA6">
        <w:t>Modification History</w:t>
      </w:r>
    </w:p>
    <w:p w:rsidR="00000000" w:rsidRPr="00FC7DA6" w:rsidP="00FC7DA6">
      <w:pPr>
        <w:pStyle w:val="BodyText"/>
      </w:pPr>
      <w:r w:rsidRPr="00FC7DA6">
        <w:t>Not applicable.</w:t>
      </w:r>
    </w:p>
    <w:p w:rsidR="00000000" w:rsidRPr="00FC7DA6" w:rsidP="00FC7DA6">
      <w:pPr>
        <w:pStyle w:val="AllowPageBreak"/>
      </w:pPr>
    </w:p>
    <w:p w:rsidR="00000000" w:rsidRPr="00FC7DA6" w:rsidP="00FC7DA6">
      <w:pPr>
        <w:pStyle w:val="Heading1"/>
      </w:pPr>
      <w:bookmarkStart w:id="2" w:name="O_464559"/>
      <w:bookmarkEnd w:id="2"/>
      <w:r w:rsidRPr="00FC7DA6">
        <w:t>Unit Descriptor</w:t>
      </w:r>
    </w:p>
    <w:tbl>
      <w:tblPr>
        <w:tblW w:w="0" w:type="auto"/>
        <w:tblLayout w:type="fixed"/>
        <w:tblCellMar>
          <w:left w:w="62" w:type="dxa"/>
          <w:right w:w="62" w:type="dxa"/>
        </w:tblCellMar>
        <w:tblLook w:val="0000"/>
      </w:tblPr>
      <w:tblGrid>
        <w:gridCol w:w="2700"/>
        <w:gridCol w:w="5760"/>
      </w:tblGrid>
      <w:tr w:rsidTr="006843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1)</w:t>
            </w:r>
            <w:r w:rsidRPr="00FC7DA6">
              <w:t xml:space="preserve"> </w:t>
            </w:r>
            <w:r w:rsidRPr="00FC7DA6">
              <w:rPr>
                <w:rStyle w:val="SpecialBold"/>
              </w:rPr>
              <w:t>Scope:</w:t>
            </w:r>
          </w:p>
        </w:tc>
      </w:tr>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D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1.1) Descriptor</w:t>
            </w:r>
          </w:p>
        </w:tc>
      </w:tr>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This Competency Standard Unit covers the skills needed to design secondary isolations. This will involve analysis of tripping and a thorough understanding of secondary voltage and current, DC, alarm, metering and communication circuits. It also involves ac</w:t>
            </w:r>
            <w:r w:rsidRPr="00FC7DA6">
              <w:t>curate communication of this information in a format acceptable to the Operating or Testing authority.</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3" w:name="O_464548"/>
      <w:bookmarkEnd w:id="3"/>
      <w:r w:rsidRPr="00FC7DA6">
        <w:t>Application of the Unit</w:t>
      </w:r>
    </w:p>
    <w:tbl>
      <w:tblPr>
        <w:tblW w:w="0" w:type="auto"/>
        <w:tblLayout w:type="fixed"/>
        <w:tblCellMar>
          <w:left w:w="62" w:type="dxa"/>
          <w:right w:w="62" w:type="dxa"/>
        </w:tblCellMar>
        <w:tblLook w:val="0000"/>
      </w:tblPr>
      <w:tblGrid>
        <w:gridCol w:w="2672"/>
        <w:gridCol w:w="5699"/>
      </w:tblGrid>
      <w:tr w:rsidTr="0068433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2)</w:t>
            </w:r>
          </w:p>
        </w:tc>
      </w:tr>
      <w:tr w:rsidTr="0068433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This competency standards unit is intended to apply to any recognised development program that leads to the acquisition of a formal award at AQF level 6 or higher.</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4" w:name="O_464555"/>
      <w:bookmarkEnd w:id="4"/>
      <w:r w:rsidRPr="00FC7DA6">
        <w:t>Licensing/Regulatory Information</w:t>
      </w:r>
    </w:p>
    <w:tbl>
      <w:tblPr>
        <w:tblW w:w="0" w:type="auto"/>
        <w:tblLayout w:type="fixed"/>
        <w:tblCellMar>
          <w:left w:w="62" w:type="dxa"/>
          <w:right w:w="62" w:type="dxa"/>
        </w:tblCellMar>
        <w:tblLook w:val="0000"/>
      </w:tblPr>
      <w:tblGrid>
        <w:gridCol w:w="2700"/>
        <w:gridCol w:w="5760"/>
      </w:tblGrid>
      <w:tr w:rsidTr="006843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 xml:space="preserve">3) </w:t>
            </w:r>
          </w:p>
        </w:tc>
      </w:tr>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The skills and</w:t>
            </w:r>
            <w:r w:rsidRPr="00FC7DA6">
              <w:t xml:space="preserve"> knowledge described in this unit may require a licence/registration to practice in the work place subject to regulations for undertaking of electrical work. Practice in workplace and during training is also subject to regulations directly related to Occup</w:t>
            </w:r>
            <w:r w:rsidRPr="00FC7DA6">
              <w:t xml:space="preserve">ational Health and Safety, electricity/telecommunications/gas/water industry safety and compliance, industrial relations, environmental protection, anti discrimination and training. </w:t>
            </w:r>
            <w:r w:rsidRPr="00FC7DA6">
              <w:t>Commonwealth, State/Territory or Local Government legislation and regulati</w:t>
            </w:r>
            <w:r w:rsidRPr="00FC7DA6">
              <w:t>ons may exist that limits the age of operating certain equipment.</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5" w:name="O_464556"/>
      <w:bookmarkEnd w:id="5"/>
      <w:r w:rsidRPr="00FC7DA6">
        <w:t>Pre-Requisites</w:t>
      </w:r>
    </w:p>
    <w:tbl>
      <w:tblPr>
        <w:tblW w:w="0" w:type="auto"/>
        <w:tblLayout w:type="fixed"/>
        <w:tblCellMar>
          <w:left w:w="62" w:type="dxa"/>
          <w:right w:w="62" w:type="dxa"/>
        </w:tblCellMar>
        <w:tblLook w:val="0000"/>
      </w:tblPr>
      <w:tblGrid>
        <w:gridCol w:w="2686"/>
        <w:gridCol w:w="14"/>
        <w:gridCol w:w="2070"/>
        <w:gridCol w:w="3690"/>
      </w:tblGrid>
      <w:tr w:rsidTr="0068433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 xml:space="preserve">4) </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4.1)</w:t>
            </w:r>
          </w:p>
        </w:tc>
      </w:tr>
      <w:tr w:rsidTr="00684334">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Gr</w:t>
            </w:r>
            <w:r w:rsidRPr="00FC7DA6">
              <w:t>anting of competency in this unit shall be made only after competency in the following unit(s) has/have been confirmed.</w:t>
            </w:r>
          </w:p>
          <w:p w:rsidR="00000000" w:rsidRPr="00FC7DA6" w:rsidP="00FC7DA6">
            <w:pPr>
              <w:pStyle w:val="BodyText"/>
            </w:pPr>
            <w:r w:rsidRPr="00FC7DA6">
              <w:t>Where pre-requisite pathways have been identified. All competencies in the Common Unit Group must be have been completed plus all the co</w:t>
            </w:r>
            <w:r w:rsidRPr="00FC7DA6">
              <w:t>mpetencies in one (1) of the identified Pathway Unit Group(s):</w:t>
            </w:r>
          </w:p>
          <w:p w:rsidR="00000000" w:rsidP="00FC7DA6">
            <w:pPr>
              <w:pStyle w:val="BodyText"/>
              <w:rPr>
                <w:lang w:val="en-NZ"/>
              </w:rPr>
            </w:pPr>
            <w:r w:rsidRPr="00FC7DA6">
              <w:t>Common Unit Group</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Unit Code</w:t>
            </w:r>
            <w:r w:rsidRPr="00FC7DA6">
              <w:tab/>
            </w:r>
          </w:p>
        </w:tc>
        <w:tc>
          <w:tcPr>
            <w:tcW w:w="3690" w:type="dxa"/>
            <w:tcBorders>
              <w:top w:val="nil"/>
              <w:left w:val="nil"/>
              <w:bottom w:val="nil"/>
              <w:right w:val="nil"/>
            </w:tcBorders>
            <w:tcMar>
              <w:top w:w="0" w:type="dxa"/>
              <w:left w:w="62" w:type="dxa"/>
              <w:bottom w:w="0" w:type="dxa"/>
              <w:right w:w="62" w:type="dxa"/>
            </w:tcMar>
            <w:vAlign w:val="bottom"/>
          </w:tcPr>
          <w:p w:rsidR="00000000" w:rsidP="00FC7DA6">
            <w:pPr>
              <w:pStyle w:val="BodyText"/>
              <w:rPr>
                <w:lang w:val="en-NZ"/>
              </w:rPr>
            </w:pPr>
            <w:r w:rsidRPr="00FC7DA6">
              <w:t>Unit Title</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FC7DA6">
            <w:pPr>
              <w:pStyle w:val="BodyText"/>
              <w:rPr>
                <w:lang w:val="en-NZ"/>
              </w:rPr>
            </w:pPr>
            <w:r w:rsidRPr="00FC7DA6">
              <w:t>Use engineering applications software on personal computers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Apply Occupational Health and Safety regulations, codes and practices in the workplace</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Fabricate, assemble and dismantle utilities industry components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Solve problems in d.c. Circuits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Use drawings, diagrams, schedules, standards, codes and specifications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UEENEEE124A</w:t>
            </w:r>
          </w:p>
        </w:tc>
        <w:tc>
          <w:tcPr>
            <w:tcW w:w="369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Compile and produce an energy sector detailed report</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Provide engineering solutions for problems in complex multiple path circuits problems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Prov</w:t>
            </w:r>
            <w:r w:rsidRPr="00FC7DA6">
              <w:t>ide solutions to basic engineering computational problems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Solve problems in electromagnetic devices and related circuits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Solve problems in electromagnetic devices and related circuits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Provide engineering solutions to problems in complex polyphase power circuits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Apply sustainable energy and environmental procedures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 xml:space="preserve">Working safely near live electrical apparatus </w:t>
            </w:r>
          </w:p>
        </w:tc>
      </w:tr>
      <w:tr w:rsidTr="00684334">
        <w:tblPrEx>
          <w:tblW w:w="0" w:type="auto"/>
          <w:tblLayout w:type="fixed"/>
          <w:tblCellMar>
            <w:left w:w="62" w:type="dxa"/>
            <w:right w:w="62" w:type="dxa"/>
          </w:tblCellMar>
          <w:tblLook w:val="0000"/>
        </w:tblPrEx>
        <w:trPr>
          <w:trHeight w:val="900"/>
        </w:trPr>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Implement and monitor the power sys</w:t>
            </w:r>
            <w:r w:rsidRPr="00FC7DA6">
              <w:t>tem organisational OHS policies, procedures and programs</w:t>
            </w:r>
          </w:p>
        </w:tc>
      </w:tr>
      <w:tr w:rsidTr="0068433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C7DA6">
            <w:pPr>
              <w:pStyle w:val="BodyText"/>
              <w:rPr>
                <w:lang w:val="en-NZ"/>
              </w:rPr>
            </w:pPr>
            <w:r w:rsidRPr="00FC7DA6">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FC7DA6" w:rsidP="00FC7DA6">
            <w:pPr>
              <w:pStyle w:val="BodyText"/>
            </w:pPr>
            <w:r w:rsidRPr="00FC7DA6">
              <w:t>Implement and monitor the power system environmental and sustainable energy management policies and procedures</w:t>
            </w:r>
          </w:p>
        </w:tc>
      </w:tr>
    </w:tbl>
    <w:p w:rsidR="00000000" w:rsidRPr="00FC7DA6" w:rsidP="00FC7DA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8433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 xml:space="preserve">4.2) </w:t>
            </w:r>
          </w:p>
        </w:tc>
      </w:tr>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Participants are best equipped to achieve this unit if they have reading, writing and numeracy skills indicated by the following scales. Description of each scale is given in Volume 2, Part 3 “Literacy and Numeracy”</w:t>
            </w:r>
          </w:p>
        </w:tc>
      </w:tr>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Reading</w:t>
            </w:r>
          </w:p>
        </w:tc>
        <w:tc>
          <w:tcPr>
            <w:tcW w:w="81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5</w:t>
            </w:r>
          </w:p>
        </w:tc>
        <w:tc>
          <w:tcPr>
            <w:tcW w:w="99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Writing</w:t>
            </w:r>
          </w:p>
        </w:tc>
        <w:tc>
          <w:tcPr>
            <w:tcW w:w="90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5</w:t>
            </w:r>
          </w:p>
        </w:tc>
        <w:tc>
          <w:tcPr>
            <w:tcW w:w="12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Numeracy</w:t>
            </w:r>
          </w:p>
        </w:tc>
        <w:tc>
          <w:tcPr>
            <w:tcW w:w="72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5</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6" w:name="O_464552"/>
      <w:bookmarkEnd w:id="6"/>
      <w:r w:rsidRPr="00FC7DA6">
        <w:t>Employability Skills Information</w:t>
      </w:r>
    </w:p>
    <w:tbl>
      <w:tblPr>
        <w:tblW w:w="0" w:type="auto"/>
        <w:tblLayout w:type="fixed"/>
        <w:tblCellMar>
          <w:left w:w="62" w:type="dxa"/>
          <w:right w:w="62" w:type="dxa"/>
        </w:tblCellMar>
        <w:tblLook w:val="0000"/>
      </w:tblPr>
      <w:tblGrid>
        <w:gridCol w:w="2700"/>
        <w:gridCol w:w="5760"/>
      </w:tblGrid>
      <w:tr w:rsidTr="006843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 xml:space="preserve">5) </w:t>
            </w:r>
          </w:p>
        </w:tc>
      </w:tr>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The required outcomes described in this unit of competency contain applicable facets of Employability Skills. The Employability Skills Summary of the qualification in which this u</w:t>
            </w:r>
            <w:r w:rsidRPr="00FC7DA6">
              <w:t>nit of competency is packaged will assist in identifying Employability Skill requirements.</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7" w:name="O_464551"/>
      <w:bookmarkEnd w:id="7"/>
      <w:r w:rsidRPr="00FC7DA6">
        <w:t>Elements and Performance Criteria Pre-Content</w:t>
      </w:r>
    </w:p>
    <w:tbl>
      <w:tblPr>
        <w:tblW w:w="0" w:type="auto"/>
        <w:tblLayout w:type="fixed"/>
        <w:tblCellMar>
          <w:left w:w="62" w:type="dxa"/>
          <w:right w:w="62" w:type="dxa"/>
        </w:tblCellMar>
        <w:tblLook w:val="0000"/>
      </w:tblPr>
      <w:tblGrid>
        <w:gridCol w:w="2700"/>
        <w:gridCol w:w="5760"/>
      </w:tblGrid>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6)</w:t>
            </w:r>
            <w:r w:rsidRPr="00FC7DA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Performance Criteria describe the required performance needed to demonstrate achievement of the element. Assessment of performance is to be consistent with the Evidence Guide.</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8" w:name="O_464550"/>
      <w:bookmarkEnd w:id="8"/>
      <w:r w:rsidRPr="00FC7DA6">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68433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PERFORMANCE CRITER</w:t>
            </w:r>
            <w:r w:rsidRPr="00FC7DA6">
              <w:rPr>
                <w:rStyle w:val="SpecialBold"/>
              </w:rPr>
              <w:t>IA</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w:t>
            </w:r>
          </w:p>
        </w:tc>
        <w:tc>
          <w:tcPr>
            <w:tcW w:w="2293"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Plan for the design of secondary isolation instructional documents</w:t>
            </w: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1.1</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 xml:space="preserve">OHS practices/procedures and environmental and sustainable energy procedures, which may influence the design of secondary isolation instructional </w:t>
            </w:r>
            <w:r w:rsidRPr="00FC7DA6">
              <w:t>documents, are reviewed and determined.</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1.2</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Purpose of the design of secondary isolation instructional documents is established after data is analysed and expected outcomes of the work are confirmed with the appropriate personnel.</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1.3</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 xml:space="preserve">Organisational </w:t>
            </w:r>
            <w:r w:rsidRPr="00FC7DA6">
              <w:t>established procedures on policies and specifications for the design of secondary isolation instructional documents are obtained or established with the appropriate personnel.</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1.4</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Testing procedures are discussed with/directed to the appropriate personnel in order to ascertain the project brief.</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1.5</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Testing parameters are established from organisational established procedures on policies and specifications.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1.6</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Equipment/tools</w:t>
            </w:r>
            <w:r w:rsidRPr="00FC7DA6">
              <w:t xml:space="preserve"> and personal protective equipment are selected based on specified Performance Criteria and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1.7</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Work roles and tasks are allocated according to requirements and individuals’ competencies.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1.8</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Work is prioritised and sequenced for the most efficient/effective outcome, completed within an acceptable timeframe to a quality standard and in accordance with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1.9</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Liaison and communication issues with other/authorised personne</w:t>
            </w:r>
            <w:r w:rsidRPr="00FC7DA6">
              <w:t>l, authorities, clients and land owners are resolved and activities coordinated to carry out work.</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1.10</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Risk control measures are identified, prioritised and evaluated against the work schedule.</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1.11</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Relevant work permits are secured to coordinate th</w:t>
            </w:r>
            <w:r w:rsidRPr="00FC7DA6">
              <w:t>e performance of work according to requirements and/or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w:t>
            </w:r>
          </w:p>
        </w:tc>
        <w:tc>
          <w:tcPr>
            <w:tcW w:w="2293" w:type="dxa"/>
            <w:vMerge w:val="restart"/>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Carry out the design of secondary isolation instructional documents</w:t>
            </w: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2.1</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Circuit/systems modelling is used to evaluate alternative proposals as per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2.2</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OHS and sustainable energy principles, functionality and practices to reduce the incidents of accidents and minimise waste are incorporated into the project in accordance with requirements and/or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2.3</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Design of secondary isola</w:t>
            </w:r>
            <w:r w:rsidRPr="00FC7DA6">
              <w:t>tion instructional documents decisions are made on the basis of safety and effective outcomes according to requirements and/or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2.4</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Mathematical and/or engineering models of the design of secondary isolation instructi</w:t>
            </w:r>
            <w:r w:rsidRPr="00FC7DA6">
              <w:t>onal documents are used to analyse the effectiveness of the finished project as per requirements and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2.5</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Technical advice is given regarding potential hazards, safety risks and control measures so that monitoring and preventative</w:t>
            </w:r>
            <w:r w:rsidRPr="00FC7DA6">
              <w:t xml:space="preserve"> action can be undertaken and/or appropriate authorities consulted, where necessary, in accordance with requirements and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2.6</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Essential knowledge and associated skills are applied to analyse specific data and compare it with compl</w:t>
            </w:r>
            <w:r w:rsidRPr="00FC7DA6">
              <w:t>iance specifications to ensure completion of the project within an agreed timeframe according to requirements.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2.7</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Testing of the design of secondary isolation instructional documents is undertaken according to requirements and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2.8</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Work teams/groups are arranged/coordinated/evaluated to ensure planned goals are met according to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2.9</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Solutions to non-routine problems are identified and actioned, using acquired essential knowledge and associated skills, according to requirements.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2.10</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Quality of work is monitored against personal performance agreement and/or established organisationa</w:t>
            </w:r>
            <w:r w:rsidRPr="00FC7DA6">
              <w:t>l and professional standards.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2.11</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Strategic plans are developed incorporating organisation initiatives as per established procedures.</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3</w:t>
            </w:r>
          </w:p>
        </w:tc>
        <w:tc>
          <w:tcPr>
            <w:tcW w:w="2293"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Complete the design of secondary isolation instructional documents</w:t>
            </w: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3.1</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Final inspections of the design of secondary</w:t>
            </w:r>
            <w:r w:rsidRPr="00FC7DA6">
              <w:t xml:space="preserve"> isolation instructional documents are undertaken to ensure they comply with all requirements and include all specifications and documentations needed to complete the project.</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3.2</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Appropriate personnel are notified of completion and reports and/or completion documents are finalised/commissioned.</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3.3</w:t>
            </w:r>
          </w:p>
        </w:tc>
        <w:tc>
          <w:tcPr>
            <w:tcW w:w="4916"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 xml:space="preserve">Reports and/or completion documents are submitted to relevant personnel/organisations for approval and, where applicable, statutory </w:t>
            </w:r>
            <w:r w:rsidRPr="00FC7DA6">
              <w:t>or regulatory approval.</w:t>
            </w:r>
          </w:p>
        </w:tc>
      </w:tr>
      <w:tr w:rsidTr="0068433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t>3.4</w:t>
            </w:r>
          </w:p>
        </w:tc>
        <w:tc>
          <w:tcPr>
            <w:tcW w:w="4916"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Approved copies of the design of secondary isolation instructional documents are issued and records are updated in accordance with established procedures.</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9" w:name="O_464558"/>
      <w:bookmarkEnd w:id="9"/>
      <w:r w:rsidRPr="00FC7DA6">
        <w:t>Required Skills and Knowledge</w:t>
      </w:r>
    </w:p>
    <w:tbl>
      <w:tblPr>
        <w:tblW w:w="0" w:type="auto"/>
        <w:tblLayout w:type="fixed"/>
        <w:tblCellMar>
          <w:left w:w="62" w:type="dxa"/>
          <w:right w:w="62" w:type="dxa"/>
        </w:tblCellMar>
        <w:tblLook w:val="0000"/>
      </w:tblPr>
      <w:tblGrid>
        <w:gridCol w:w="8460"/>
      </w:tblGrid>
      <w:tr w:rsidTr="006843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REQUIRED SKILLS AND K</w:t>
            </w:r>
            <w:r w:rsidRPr="00FC7DA6">
              <w:rPr>
                <w:rStyle w:val="SpecialBold"/>
              </w:rPr>
              <w:t>NOWLEDGE</w:t>
            </w:r>
          </w:p>
        </w:tc>
      </w:tr>
      <w:tr w:rsidTr="0068433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8)</w:t>
            </w:r>
            <w:r w:rsidRPr="00FC7DA6">
              <w:t xml:space="preserve"> Essential Knowledge and Associated Skills (EKAS): This describes the essential skills and knowledge and their level, required for this unit.</w:t>
            </w:r>
          </w:p>
          <w:p w:rsidR="00000000" w:rsidRPr="00FC7DA6" w:rsidP="00FC7DA6">
            <w:pPr>
              <w:pStyle w:val="BodyText"/>
            </w:pPr>
            <w:r w:rsidRPr="00FC7DA6">
              <w:t xml:space="preserve">Evidence shall show that knowledge has been acquired of designing secondary isolation instructional documents. </w:t>
            </w:r>
          </w:p>
          <w:p w:rsidR="00000000" w:rsidRPr="00FC7DA6" w:rsidP="00FC7DA6">
            <w:pPr>
              <w:pStyle w:val="BodyText"/>
            </w:pPr>
            <w:r w:rsidRPr="00FC7DA6">
              <w:t>All knowledge and skills detailed in this unit should be contextualised to current industry practices and technologies.</w:t>
            </w:r>
          </w:p>
          <w:p w:rsidR="00000000" w:rsidRPr="00FC7DA6" w:rsidP="00FC7DA6">
            <w:pPr>
              <w:pStyle w:val="BodyText"/>
            </w:pPr>
            <w:r w:rsidRPr="00FC7DA6">
              <w:t xml:space="preserve">KS01-TTS30A </w:t>
            </w:r>
            <w:r w:rsidRPr="00FC7DA6">
              <w:tab/>
              <w:t>Power syste</w:t>
            </w:r>
            <w:r w:rsidRPr="00FC7DA6">
              <w:t>ms secondary isolation instructional documents - design</w:t>
            </w:r>
          </w:p>
          <w:p w:rsidR="00000000" w:rsidRPr="00FC7DA6" w:rsidP="00FC7DA6">
            <w:pPr>
              <w:pStyle w:val="BodyText"/>
            </w:pPr>
            <w:r w:rsidRPr="00FC7DA6">
              <w:t xml:space="preserve">Evidence shall show an understanding of power systems secondary isolation instructional documents - design to an extent indicated by the following aspects: </w:t>
            </w:r>
          </w:p>
          <w:p w:rsidR="00000000" w:rsidRPr="00FC7DA6" w:rsidP="00FC7DA6">
            <w:pPr>
              <w:pStyle w:val="BodyText"/>
            </w:pPr>
            <w:r w:rsidRPr="00FC7DA6">
              <w:t>T1</w:t>
            </w:r>
            <w:r w:rsidRPr="00FC7DA6">
              <w:tab/>
              <w:t>OHS enterprise responsibilities encompas</w:t>
            </w:r>
            <w:r w:rsidRPr="00FC7DA6">
              <w:t xml:space="preserve">sing: </w:t>
            </w:r>
          </w:p>
          <w:p w:rsidR="00000000" w:rsidRPr="00FC7DA6" w:rsidP="00FC7DA6">
            <w:pPr>
              <w:pStyle w:val="ListBullet"/>
            </w:pPr>
            <w:r w:rsidRPr="00FC7DA6">
              <w:t>Provisions of relevant health and safety legislation</w:t>
            </w:r>
          </w:p>
          <w:p w:rsidR="00000000" w:rsidRPr="00FC7DA6" w:rsidP="00FC7DA6">
            <w:pPr>
              <w:pStyle w:val="ListBullet"/>
            </w:pPr>
            <w:r w:rsidRPr="00FC7DA6">
              <w:t>Principles and practice of effective occupational health and safety management</w:t>
            </w:r>
          </w:p>
          <w:p w:rsidR="00000000" w:rsidRPr="00FC7DA6" w:rsidP="00FC7DA6">
            <w:pPr>
              <w:pStyle w:val="ListBullet"/>
            </w:pPr>
            <w:r w:rsidRPr="00FC7DA6">
              <w:t>Management arrangements relating to regulatory compliance</w:t>
            </w:r>
          </w:p>
          <w:p w:rsidR="00000000" w:rsidRPr="00FC7DA6" w:rsidP="00FC7DA6">
            <w:pPr>
              <w:pStyle w:val="ListBullet"/>
            </w:pPr>
            <w:r w:rsidRPr="00FC7DA6">
              <w:t>Enterprise hazards and risks, control measures and relevan</w:t>
            </w:r>
            <w:r w:rsidRPr="00FC7DA6">
              <w:t>t expertise required</w:t>
            </w:r>
          </w:p>
          <w:p w:rsidR="00000000" w:rsidRPr="00FC7DA6" w:rsidP="00FC7DA6">
            <w:pPr>
              <w:pStyle w:val="ListBullet"/>
            </w:pPr>
            <w:r w:rsidRPr="00FC7DA6">
              <w:t>Characteristics and composition of workforce and their impact on occupational health and safety management</w:t>
            </w:r>
          </w:p>
          <w:p w:rsidR="00000000" w:rsidRPr="00FC7DA6" w:rsidP="00FC7DA6">
            <w:pPr>
              <w:pStyle w:val="ListBullet"/>
            </w:pPr>
            <w:r w:rsidRPr="00FC7DA6">
              <w:t>Relevance of enterprise management systems to occupational health and safety management</w:t>
            </w:r>
          </w:p>
          <w:p w:rsidR="00000000" w:rsidRPr="00FC7DA6" w:rsidP="00FC7DA6">
            <w:pPr>
              <w:pStyle w:val="ListBullet"/>
            </w:pPr>
            <w:r w:rsidRPr="00FC7DA6">
              <w:t>Analysis of working environment and desi</w:t>
            </w:r>
            <w:r w:rsidRPr="00FC7DA6">
              <w:t>gn of appropriate occupational health and safety management systems</w:t>
            </w:r>
          </w:p>
          <w:p w:rsidR="00000000" w:rsidRPr="00FC7DA6" w:rsidP="00FC7DA6">
            <w:pPr>
              <w:pStyle w:val="ListBullet"/>
            </w:pPr>
            <w:r w:rsidRPr="00FC7DA6">
              <w:t>Analysis of relevant data and evaluation of occupational health and safety system effectiveness</w:t>
            </w:r>
          </w:p>
          <w:p w:rsidR="00000000" w:rsidRPr="00FC7DA6" w:rsidP="00FC7DA6">
            <w:pPr>
              <w:pStyle w:val="ListBullet"/>
            </w:pPr>
            <w:r w:rsidRPr="00FC7DA6">
              <w:t xml:space="preserve">Assess resources to establish and </w:t>
            </w:r>
            <w:r w:rsidRPr="00FC7DA6">
              <w:t>maintain occupational health and safety management systems.</w:t>
            </w:r>
          </w:p>
          <w:p w:rsidR="00000000" w:rsidRPr="00FC7DA6" w:rsidP="00FC7DA6">
            <w:pPr>
              <w:pStyle w:val="BodyText"/>
            </w:pPr>
            <w:r w:rsidRPr="00FC7DA6">
              <w:t>T2</w:t>
            </w:r>
            <w:r w:rsidRPr="00FC7DA6">
              <w:tab/>
              <w:t>Secondary switching/isolation principles and sheet preparation encompassing:</w:t>
            </w:r>
          </w:p>
          <w:p w:rsidR="00000000" w:rsidRPr="00FC7DA6" w:rsidP="00FC7DA6">
            <w:pPr>
              <w:pStyle w:val="ListBullet"/>
            </w:pPr>
            <w:r w:rsidRPr="00FC7DA6">
              <w:t>Techniques in performing and demonstrating correct sequence of isolation and/or restoration - communications with a</w:t>
            </w:r>
            <w:r w:rsidRPr="00FC7DA6">
              <w:t>ppropriate authorities, ensuring adequate protection remains in service to provide plant protection, reading and interpreting drawings for switching /isolating, sheet/instruction preparation.</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10" w:name="O_464553"/>
      <w:bookmarkEnd w:id="10"/>
      <w:r w:rsidRPr="00FC7DA6">
        <w:t>Evidence Guide</w:t>
      </w:r>
    </w:p>
    <w:tbl>
      <w:tblPr>
        <w:tblW w:w="0" w:type="auto"/>
        <w:tblLayout w:type="fixed"/>
        <w:tblCellMar>
          <w:left w:w="62" w:type="dxa"/>
          <w:right w:w="62" w:type="dxa"/>
        </w:tblCellMar>
        <w:tblLook w:val="0000"/>
      </w:tblPr>
      <w:tblGrid>
        <w:gridCol w:w="8460"/>
      </w:tblGrid>
      <w:tr w:rsidTr="006843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EVIDENCE GUIDE</w:t>
            </w:r>
          </w:p>
        </w:tc>
      </w:tr>
      <w:tr w:rsidTr="006843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9)</w:t>
            </w:r>
            <w:r w:rsidRPr="00FC7DA6">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FC7DA6" w:rsidP="00FC7DA6">
            <w:pPr>
              <w:pStyle w:val="BodyText"/>
            </w:pPr>
            <w:r w:rsidRPr="00FC7DA6">
              <w:t>The Evidence Guide form</w:t>
            </w:r>
            <w:r w:rsidRPr="00FC7DA6">
              <w:t>s an integral part of this Competency Standard Unit and shall be used in conjunction with all component parts of this unit and, performed in accordance with the Assessment Guidelines of this Training Package.</w:t>
            </w:r>
          </w:p>
        </w:tc>
      </w:tr>
    </w:tbl>
    <w:p w:rsidR="00000000" w:rsidRPr="00FC7DA6" w:rsidP="00FC7DA6">
      <w:pPr>
        <w:pStyle w:val="BodyText"/>
      </w:pPr>
    </w:p>
    <w:tbl>
      <w:tblPr>
        <w:tblW w:w="0" w:type="auto"/>
        <w:tblLayout w:type="fixed"/>
        <w:tblCellMar>
          <w:left w:w="62" w:type="dxa"/>
          <w:right w:w="62" w:type="dxa"/>
        </w:tblCellMar>
        <w:tblLook w:val="0000"/>
      </w:tblPr>
      <w:tblGrid>
        <w:gridCol w:w="1890"/>
        <w:gridCol w:w="6570"/>
      </w:tblGrid>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9.1)</w:t>
            </w:r>
          </w:p>
        </w:tc>
      </w:tr>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Longitudinal co</w:t>
            </w:r>
            <w:r w:rsidRPr="00FC7DA6">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FC7DA6">
              <w:t>It is the Industry’s preferred model for apprenticeships. However, where summative (or final) assessment is used it is to include the application of the competency in the normal work environment or, at a minimum, the application of the competency in a real</w:t>
            </w:r>
            <w:r w:rsidRPr="00FC7DA6">
              <w:t>istically simulated work environment. It is recognised that, in some circumstances, assessment in part or full can occur outside the workplace. However, it must be in accord with Industry and, Regulatory policy in this regard.</w:t>
            </w:r>
          </w:p>
          <w:p w:rsidR="00000000" w:rsidRPr="00FC7DA6" w:rsidP="00FC7DA6">
            <w:pPr>
              <w:pStyle w:val="BodyText"/>
            </w:pPr>
            <w:r w:rsidRPr="00FC7DA6">
              <w:t>Methods chosen for a particul</w:t>
            </w:r>
            <w:r w:rsidRPr="00FC7DA6">
              <w:t>ar assessment will be influenced by various factors. These include the extent of the assessment, the most effective locations for the assessment activities to take place, access to physical resources, additional safety measures that may be required and the</w:t>
            </w:r>
            <w:r w:rsidRPr="00FC7DA6">
              <w:t xml:space="preserve"> critical nature of the competencies being assessed.</w:t>
            </w:r>
          </w:p>
          <w:p w:rsidR="00000000" w:rsidRPr="00FC7DA6" w:rsidP="00FC7DA6">
            <w:pPr>
              <w:pStyle w:val="BodyText"/>
            </w:pPr>
            <w:r w:rsidRPr="00FC7DA6">
              <w:t xml:space="preserve">The critical safety nature of working with electricity, electrical equipment, gas or any other hazardous substance/material carries risk in deeming a person competent. Hence, sources of evidence need to </w:t>
            </w:r>
            <w:r w:rsidRPr="00FC7DA6">
              <w:t>be ‘rich’ in nature so as to minimise error in judgment.</w:t>
            </w:r>
          </w:p>
          <w:p w:rsidR="00000000" w:rsidRPr="00FC7DA6" w:rsidP="00FC7DA6">
            <w:pPr>
              <w:pStyle w:val="BodyText"/>
            </w:pPr>
            <w:r w:rsidRPr="00FC7DA6">
              <w:t>Activities associated with normal every day work have a bearing on the decision as to how much and how detailed the data gathered will contribute to its ‘richness’</w:t>
            </w:r>
            <w:r w:rsidRPr="00FC7DA6">
              <w:t>. Some skills are more critical to safety and operational requirements while the same skills may be more or less frequently practiced. These points are raised for the assessors to consider when choosing an assessment method and developing assessment instru</w:t>
            </w:r>
            <w:r w:rsidRPr="00FC7DA6">
              <w:t>ments. Sample assessment instruments are included for Assessors in the Assessment Guidelines of this Training Package.</w:t>
            </w:r>
          </w:p>
        </w:tc>
      </w:tr>
    </w:tbl>
    <w:p w:rsidR="00000000" w:rsidRPr="00FC7DA6" w:rsidP="00FC7DA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9.2)</w:t>
            </w:r>
          </w:p>
        </w:tc>
      </w:tr>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Before the critical aspects of evidence are cons</w:t>
            </w:r>
            <w:r w:rsidRPr="00FC7DA6">
              <w:t>idered all prerequisites shall be met.</w:t>
            </w:r>
          </w:p>
          <w:p w:rsidR="00000000" w:rsidRPr="00FC7DA6" w:rsidP="00FC7DA6">
            <w:pPr>
              <w:pStyle w:val="BodyText"/>
            </w:pPr>
            <w:r w:rsidRPr="00FC7DA6">
              <w:t>Evidence for competence in this unit shall be considered holistically. Each element and associated Performance Criteria shall be demonstrated on at least two occasions in accordance with the “Assessment Guidelines – U</w:t>
            </w:r>
            <w:r w:rsidRPr="00FC7DA6">
              <w:t>ET12”. Evidence shall also comprise:</w:t>
            </w:r>
          </w:p>
          <w:p w:rsidR="00000000" w:rsidRPr="00FC7DA6" w:rsidP="00FC7DA6">
            <w:pPr>
              <w:pStyle w:val="ListBullet"/>
            </w:pPr>
            <w:r w:rsidRPr="00FC7DA6">
              <w:t xml:space="preserve">A representative body of Performance Criteria demonstrated within the timeframes typically expected of the discipline, work function and industrial environment. In particular this shall incorporate evidence that shows </w:t>
            </w:r>
            <w:r w:rsidRPr="00FC7DA6">
              <w:t>a candidate is able to:</w:t>
            </w:r>
          </w:p>
          <w:p w:rsidR="00000000" w:rsidRPr="00FC7DA6" w:rsidP="00FC7DA6">
            <w:pPr>
              <w:pStyle w:val="ListBullet2"/>
            </w:pPr>
            <w:r w:rsidRPr="00FC7DA6">
              <w:t>Implement Occupational Health and Safety workplace procedures and practices including the use of risk control measures as specified in the Performance Criteria and range; and</w:t>
            </w:r>
          </w:p>
          <w:p w:rsidR="00000000" w:rsidRPr="00FC7DA6" w:rsidP="00FC7DA6">
            <w:pPr>
              <w:pStyle w:val="ListBullet2"/>
            </w:pPr>
            <w:r w:rsidRPr="00FC7DA6">
              <w:t>Apply sustainable energy principles and practices as specified in the Performance Criteria and range; and</w:t>
            </w:r>
          </w:p>
          <w:p w:rsidR="00000000" w:rsidRPr="00FC7DA6" w:rsidP="00FC7DA6">
            <w:pPr>
              <w:pStyle w:val="ListBullet2"/>
            </w:pPr>
            <w:r w:rsidRPr="00FC7DA6">
              <w:t>Demonstrate an understanding of the essential knowledge and associated skills as described in this unit to such an extent that the learner’s performan</w:t>
            </w:r>
            <w:r w:rsidRPr="00FC7DA6">
              <w:t>ce outcome is reported in accordance with the preferred approach; namely a percentile graded result, where required by the regulated environment; and</w:t>
            </w:r>
          </w:p>
          <w:p w:rsidR="00000000" w:rsidRPr="00FC7DA6" w:rsidP="00FC7DA6">
            <w:pPr>
              <w:pStyle w:val="ListBullet2"/>
            </w:pPr>
            <w:r w:rsidRPr="00FC7DA6">
              <w:t>Demonstrate an appropriate level of employability skills; and</w:t>
            </w:r>
          </w:p>
          <w:p w:rsidR="00000000" w:rsidRPr="00FC7DA6" w:rsidP="00FC7DA6">
            <w:pPr>
              <w:pStyle w:val="ListBullet"/>
            </w:pPr>
            <w:r w:rsidRPr="00FC7DA6">
              <w:t>Conduct work observing the relevant Anti di</w:t>
            </w:r>
            <w:r w:rsidRPr="00FC7DA6">
              <w:t>scrimination legislation, regulations, policies and workplace procedures; and</w:t>
            </w:r>
          </w:p>
          <w:p w:rsidR="00000000" w:rsidP="00FC7DA6">
            <w:pPr>
              <w:pStyle w:val="ListBullet2"/>
              <w:rPr>
                <w:lang w:val="en-NZ"/>
              </w:rPr>
            </w:pPr>
            <w:r w:rsidRPr="00FC7DA6">
              <w:t>Demonstrated performance across a representative range of contexts from the prescribed items below:</w:t>
            </w:r>
          </w:p>
        </w:tc>
      </w:tr>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C7DA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DA6">
            <w:pPr>
              <w:pStyle w:val="BodyText"/>
              <w:rPr>
                <w:lang w:val="en-NZ"/>
              </w:rPr>
            </w:pPr>
            <w:r w:rsidRPr="00FC7DA6">
              <w:rPr>
                <w:rStyle w:val="SpecialBold"/>
              </w:rPr>
              <w:t>Range of tools/equipment/materials/procedures/workplaces/other variables</w:t>
            </w:r>
          </w:p>
        </w:tc>
      </w:tr>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C7DA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DA6" w:rsidP="00FC7DA6">
            <w:pPr>
              <w:pStyle w:val="BodyText"/>
            </w:pPr>
            <w:r w:rsidRPr="00FC7DA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DA6" w:rsidP="00FC7DA6">
            <w:pPr>
              <w:pStyle w:val="BodyText"/>
            </w:pPr>
            <w:r w:rsidRPr="00FC7DA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DA6">
            <w:pPr>
              <w:pStyle w:val="BodyText"/>
              <w:rPr>
                <w:lang w:val="en-NZ"/>
              </w:rPr>
            </w:pPr>
            <w:r w:rsidRPr="00FC7DA6">
              <w:rPr>
                <w:rStyle w:val="SpecialBold"/>
              </w:rPr>
              <w:t>Item List</w:t>
            </w:r>
          </w:p>
        </w:tc>
      </w:tr>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DA6">
            <w:pPr>
              <w:pStyle w:val="BodyText"/>
              <w:rPr>
                <w:lang w:val="en-NZ"/>
              </w:rPr>
            </w:pPr>
            <w:r w:rsidRPr="00FC7DA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DA6">
            <w:pPr>
              <w:pStyle w:val="BodyText"/>
              <w:rPr>
                <w:lang w:val="en-NZ"/>
              </w:rPr>
            </w:pPr>
            <w:r w:rsidRPr="00FC7DA6">
              <w:t>Design secondary isolation instructional documents for four (4) of the following substation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DA6" w:rsidP="00FC7DA6">
            <w:pPr>
              <w:pStyle w:val="BodyText"/>
            </w:pPr>
            <w:r w:rsidRPr="00FC7DA6">
              <w:t>Bus protection</w:t>
            </w:r>
          </w:p>
          <w:p w:rsidR="00000000" w:rsidRPr="00FC7DA6" w:rsidP="00FC7DA6">
            <w:pPr>
              <w:pStyle w:val="BodyText"/>
            </w:pPr>
            <w:r w:rsidRPr="00FC7DA6">
              <w:t>High impedance bus protection</w:t>
            </w:r>
          </w:p>
          <w:p w:rsidR="00000000" w:rsidRPr="00FC7DA6" w:rsidP="00FC7DA6">
            <w:pPr>
              <w:pStyle w:val="BodyText"/>
            </w:pPr>
            <w:r w:rsidRPr="00FC7DA6">
              <w:t>Feeder/line protection</w:t>
            </w:r>
          </w:p>
          <w:p w:rsidR="00000000" w:rsidRPr="00FC7DA6" w:rsidP="00FC7DA6">
            <w:pPr>
              <w:pStyle w:val="BodyText"/>
            </w:pPr>
            <w:r w:rsidRPr="00FC7DA6">
              <w:t>Transformer protection</w:t>
            </w:r>
          </w:p>
          <w:p w:rsidR="00000000" w:rsidRPr="00FC7DA6" w:rsidP="00FC7DA6">
            <w:pPr>
              <w:pStyle w:val="BodyText"/>
            </w:pPr>
            <w:r w:rsidRPr="00FC7DA6">
              <w:t>Earth fault protection</w:t>
            </w:r>
          </w:p>
          <w:p w:rsidR="00000000" w:rsidRPr="00FC7DA6" w:rsidP="00FC7DA6">
            <w:pPr>
              <w:pStyle w:val="BodyText"/>
            </w:pPr>
            <w:r w:rsidRPr="00FC7DA6">
              <w:t>Backup protection</w:t>
            </w:r>
          </w:p>
          <w:p w:rsidR="00000000" w:rsidP="00FC7DA6">
            <w:pPr>
              <w:pStyle w:val="BodyText"/>
              <w:rPr>
                <w:lang w:val="en-NZ"/>
              </w:rPr>
            </w:pPr>
            <w:r w:rsidRPr="00FC7DA6">
              <w:t>Pilot wire protection</w:t>
            </w:r>
          </w:p>
        </w:tc>
      </w:tr>
      <w:tr w:rsidTr="00684334">
        <w:tblPrEx>
          <w:tblW w:w="0" w:type="auto"/>
          <w:tblLayout w:type="fixed"/>
          <w:tblCellMar>
            <w:left w:w="62" w:type="dxa"/>
            <w:right w:w="62" w:type="dxa"/>
          </w:tblCellMar>
          <w:tblLook w:val="0000"/>
        </w:tblPrEx>
        <w:trPr>
          <w:trHeight w:val="209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DA6">
            <w:pPr>
              <w:pStyle w:val="BodyText"/>
              <w:rPr>
                <w:lang w:val="en-NZ"/>
              </w:rPr>
            </w:pPr>
            <w:r w:rsidRPr="00FC7DA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DA6">
            <w:pPr>
              <w:pStyle w:val="BodyText"/>
              <w:rPr>
                <w:lang w:val="en-NZ"/>
              </w:rPr>
            </w:pPr>
            <w:r w:rsidRPr="00FC7DA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DA6" w:rsidP="00FC7DA6">
            <w:pPr>
              <w:pStyle w:val="BodyText"/>
            </w:pPr>
            <w:r w:rsidRPr="00FC7DA6">
              <w:t>Dealing with an unplanned event by drawing on essential knowledge and associated skills to provide appropriate solutions incorporated in the holistic assessment with the above listed items.</w:t>
            </w:r>
          </w:p>
        </w:tc>
      </w:tr>
    </w:tbl>
    <w:p w:rsidR="00000000" w:rsidRPr="00FC7DA6" w:rsidP="00FC7DA6">
      <w:pPr>
        <w:pStyle w:val="BodyText"/>
      </w:pPr>
    </w:p>
    <w:tbl>
      <w:tblPr>
        <w:tblW w:w="0" w:type="auto"/>
        <w:tblLayout w:type="fixed"/>
        <w:tblCellMar>
          <w:left w:w="62" w:type="dxa"/>
          <w:right w:w="62" w:type="dxa"/>
        </w:tblCellMar>
        <w:tblLook w:val="0000"/>
      </w:tblPr>
      <w:tblGrid>
        <w:gridCol w:w="1890"/>
        <w:gridCol w:w="6570"/>
      </w:tblGrid>
      <w:tr w:rsidTr="0068433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9.3)</w:t>
            </w:r>
          </w:p>
        </w:tc>
      </w:tr>
      <w:tr w:rsidTr="0068433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This unit should be assessed as it relates to normal work practice using procedures, information and resources typical of a workplace. This should include:</w:t>
            </w:r>
          </w:p>
          <w:p w:rsidR="00000000" w:rsidRPr="00FC7DA6" w:rsidP="00FC7DA6">
            <w:pPr>
              <w:pStyle w:val="ListBullet"/>
            </w:pPr>
            <w:r w:rsidRPr="00FC7DA6">
              <w:t>OHS policy and work procedures and instruct</w:t>
            </w:r>
            <w:r w:rsidRPr="00FC7DA6">
              <w:t>ions.</w:t>
            </w:r>
          </w:p>
          <w:p w:rsidR="00000000" w:rsidRPr="00FC7DA6" w:rsidP="00FC7DA6">
            <w:pPr>
              <w:pStyle w:val="ListBullet"/>
            </w:pPr>
            <w:r w:rsidRPr="00FC7DA6">
              <w:t>Suitable work environment, facilities, equipment and materials to undertake actual design of secondary isolation instructional documents</w:t>
            </w:r>
          </w:p>
          <w:p w:rsidR="00000000" w:rsidRPr="00FC7DA6" w:rsidP="00FC7DA6">
            <w:pPr>
              <w:pStyle w:val="ListBullet"/>
            </w:pPr>
            <w:r w:rsidRPr="00FC7DA6">
              <w:t>Operational access to relevant plant, protection or metering equipment, scheme drawings, manufacture’</w:t>
            </w:r>
            <w:r w:rsidRPr="00FC7DA6">
              <w:t>s specifications/manuals and testing equipment.</w:t>
            </w:r>
          </w:p>
          <w:p w:rsidR="00000000" w:rsidRPr="00FC7DA6" w:rsidP="00FC7DA6">
            <w:pPr>
              <w:pStyle w:val="BodyText"/>
            </w:pPr>
            <w:r w:rsidRPr="00FC7DA6">
              <w:t>In addition to the resources listed above, in Context of and specific resources for assessment, evidence should show demonstrated competency working in realistic environment and a variety of conditions.</w:t>
            </w:r>
          </w:p>
        </w:tc>
      </w:tr>
    </w:tbl>
    <w:p w:rsidR="00000000" w:rsidRPr="00FC7DA6" w:rsidP="00FC7DA6">
      <w:pPr>
        <w:pStyle w:val="BodyText"/>
      </w:pPr>
    </w:p>
    <w:tbl>
      <w:tblPr>
        <w:tblW w:w="0" w:type="auto"/>
        <w:tblLayout w:type="fixed"/>
        <w:tblCellMar>
          <w:left w:w="62" w:type="dxa"/>
          <w:right w:w="62" w:type="dxa"/>
        </w:tblCellMar>
        <w:tblLook w:val="0000"/>
      </w:tblPr>
      <w:tblGrid>
        <w:gridCol w:w="1890"/>
        <w:gridCol w:w="6570"/>
      </w:tblGrid>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Met</w:t>
            </w:r>
            <w:r w:rsidRPr="00FC7DA6">
              <w:rPr>
                <w:rStyle w:val="SpecialBold"/>
              </w:rPr>
              <w:t>hod of assessment</w:t>
            </w:r>
          </w:p>
        </w:tc>
        <w:tc>
          <w:tcPr>
            <w:tcW w:w="657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9.4)</w:t>
            </w:r>
          </w:p>
        </w:tc>
      </w:tr>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This Competency Standard Unit shall be assessed by methods given in Volume 1, Part 3 “Assessment Guidelines”.</w:t>
            </w:r>
          </w:p>
          <w:p w:rsidR="00000000" w:rsidRPr="00FC7DA6" w:rsidP="00FC7DA6">
            <w:pPr>
              <w:pStyle w:val="BodyText"/>
            </w:pPr>
            <w:r w:rsidRPr="00FC7DA6">
              <w:t>Note:</w:t>
            </w:r>
          </w:p>
          <w:p w:rsidR="00000000" w:rsidRPr="00FC7DA6" w:rsidP="00FC7DA6">
            <w:pPr>
              <w:pStyle w:val="BodyText"/>
            </w:pPr>
            <w:r w:rsidRPr="00FC7DA6">
              <w:t>Competent performance with inherent safe working practices is expected in the Transmission, Distribution and Rail Traction Industry. This requires that the specified essential knowledge and associated skills are assessed in a structured environment which i</w:t>
            </w:r>
            <w:r w:rsidRPr="00FC7DA6">
              <w:t>s primarily intended for learning/assessment and incorporates all necessary equipment and facilities for learners to develop and demonstrate the essential knowledge and associated skills described in this unit.</w:t>
            </w:r>
          </w:p>
        </w:tc>
      </w:tr>
    </w:tbl>
    <w:p w:rsidR="00000000" w:rsidRPr="00FC7DA6" w:rsidP="00FC7DA6">
      <w:pPr>
        <w:pStyle w:val="BodyText"/>
      </w:pPr>
    </w:p>
    <w:tbl>
      <w:tblPr>
        <w:tblW w:w="0" w:type="auto"/>
        <w:tblLayout w:type="fixed"/>
        <w:tblCellMar>
          <w:left w:w="62" w:type="dxa"/>
          <w:right w:w="62" w:type="dxa"/>
        </w:tblCellMar>
        <w:tblLook w:val="0000"/>
      </w:tblPr>
      <w:tblGrid>
        <w:gridCol w:w="1890"/>
        <w:gridCol w:w="6570"/>
      </w:tblGrid>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Concurrent assessment and relationship with</w:t>
            </w:r>
            <w:r w:rsidRPr="00FC7DA6">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9.5)</w:t>
            </w:r>
          </w:p>
        </w:tc>
      </w:tr>
      <w:tr w:rsidTr="006843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There are no concurrent assessment recommendations for this unit.</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11" w:name="O_464557"/>
      <w:bookmarkEnd w:id="11"/>
      <w:r w:rsidRPr="00FC7DA6">
        <w:t>Range Statement</w:t>
      </w:r>
    </w:p>
    <w:tbl>
      <w:tblPr>
        <w:tblW w:w="0" w:type="auto"/>
        <w:tblLayout w:type="fixed"/>
        <w:tblCellMar>
          <w:left w:w="62" w:type="dxa"/>
          <w:right w:w="62" w:type="dxa"/>
        </w:tblCellMar>
        <w:tblLook w:val="0000"/>
      </w:tblPr>
      <w:tblGrid>
        <w:gridCol w:w="8460"/>
      </w:tblGrid>
      <w:tr w:rsidTr="006843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RANGE STATEMENT</w:t>
            </w:r>
          </w:p>
        </w:tc>
      </w:tr>
      <w:tr w:rsidTr="006843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10)</w:t>
            </w:r>
            <w:r w:rsidRPr="00FC7DA6">
              <w:t xml:space="preserve"> This relates to the unit of competency as a whole providing the range of contexts and conditions </w:t>
            </w:r>
            <w:r w:rsidRPr="00FC7DA6">
              <w:t>to which the Performance Criteria apply. It allows for different work environments and situations that will affect performance.</w:t>
            </w:r>
          </w:p>
          <w:p w:rsidR="00000000" w:rsidRPr="00FC7DA6" w:rsidP="00FC7DA6">
            <w:pPr>
              <w:pStyle w:val="BodyText"/>
            </w:pPr>
            <w:r w:rsidRPr="00FC7DA6">
              <w:t>This Competency Standard Unit shall be demonstrated in relation to the design of secondary isolation instructional documents.</w:t>
            </w:r>
          </w:p>
          <w:p w:rsidR="00000000" w:rsidRPr="00FC7DA6" w:rsidP="00FC7DA6">
            <w:pPr>
              <w:pStyle w:val="BodyText"/>
            </w:pPr>
            <w:r w:rsidRPr="00FC7DA6">
              <w:t>Te</w:t>
            </w:r>
            <w:r w:rsidRPr="00FC7DA6">
              <w:t>sts may include: DC/AC measurements, error, continuity, noise level, return loss, spectrum analysis, radio on receiver sensibility, surveys - mobile phones/pager, end to end, line levels both in and out, transmitter power, transmitter frequency, transmitte</w:t>
            </w:r>
            <w:r w:rsidRPr="00FC7DA6">
              <w:t>r deviation, receiver frequency and sensitivity, level and quality of demodulated output - audio/bit error rate, antenna sweep measurements, power and environmental conditions including emergency power plant.</w:t>
            </w:r>
          </w:p>
          <w:p w:rsidR="00000000" w:rsidRPr="00FC7DA6" w:rsidP="00FC7DA6">
            <w:pPr>
              <w:pStyle w:val="BodyText"/>
            </w:pPr>
            <w:r w:rsidRPr="00FC7DA6">
              <w:t>Diagnostic, testing and restoration may involve</w:t>
            </w:r>
            <w:r w:rsidRPr="00FC7DA6">
              <w:t>: Appropriate documentation relating to the protection device; Voltage, current and resistance measuring instruments; Microprocessor based diagnostic test equipment; Laptop computer and diagnostic software; Loop control test instruments.</w:t>
            </w:r>
          </w:p>
          <w:p w:rsidR="00000000" w:rsidRPr="00FC7DA6" w:rsidP="00FC7DA6">
            <w:pPr>
              <w:pStyle w:val="BodyText"/>
            </w:pPr>
            <w:r w:rsidRPr="00FC7DA6">
              <w:t>Complex testing re</w:t>
            </w:r>
            <w:r w:rsidRPr="00FC7DA6">
              <w:t>fers to dielectric dissipation factors tests, partial discharge, applied and induced HV tests, CT and VT accuracy tests (calibration), watts loss, ratio confirmation tests, tests on interconnected equipment, sf6 tests.</w:t>
            </w:r>
          </w:p>
          <w:p w:rsidR="00000000" w:rsidRPr="00FC7DA6" w:rsidP="00FC7DA6">
            <w:pPr>
              <w:pStyle w:val="BodyText"/>
            </w:pPr>
            <w:r w:rsidRPr="00FC7DA6">
              <w:t>Testing and recording equipment could</w:t>
            </w:r>
            <w:r w:rsidRPr="00FC7DA6">
              <w:t xml:space="preserve"> include: Digital bearer test equipment; Voice frequency analysers; RF mounting equipment; RF spectrum equipment; Multimeters; Communication testers; Transmission measuring sets; Directional couplers; Laptop computers.</w:t>
            </w:r>
          </w:p>
          <w:p w:rsidR="00000000" w:rsidRPr="00FC7DA6" w:rsidP="00FC7DA6">
            <w:pPr>
              <w:pStyle w:val="BodyText"/>
            </w:pPr>
            <w:r w:rsidRPr="00FC7DA6">
              <w:t>Test and recording equipment may incl</w:t>
            </w:r>
            <w:r w:rsidRPr="00FC7DA6">
              <w:t xml:space="preserve">ude: Infrascan equipment; Phasing equipment; Recording meters; Trend monitoring equipment; Condition monitoring equipment; Diagnostic testing devices using computer hardware and software; Taplon sticks; Insulation and continuity test instruments; Voltage, </w:t>
            </w:r>
            <w:r w:rsidRPr="00FC7DA6">
              <w:t>resistance and current testers; Ductors; Ratio meters; Earth systems testing devices; Capacitor bridge meters; Doble Test sets devices; High voltage alternating current test sets; Scope meters; Clip on ammeters; Test plans for automatic relay testing SCADA</w:t>
            </w:r>
            <w:r w:rsidRPr="00FC7DA6">
              <w:t xml:space="preserve"> systems used for developing and evaluating voltage regulation systems, circuit breaker reclosing systems, VAR’s monitoring and similar computer controlled diagnostic testing and recording.</w:t>
            </w:r>
          </w:p>
          <w:p w:rsidR="00000000" w:rsidRPr="00FC7DA6" w:rsidP="00FC7DA6">
            <w:pPr>
              <w:pStyle w:val="BodyText"/>
            </w:pPr>
            <w:r w:rsidRPr="00FC7DA6">
              <w:t>Test and recording equipment may include: AC/DC test sets; IR test</w:t>
            </w:r>
            <w:r w:rsidRPr="00FC7DA6">
              <w:t>ers; earth resistance meters; cable fault location equipment; circuit breaker timers; recording equipment; devices utilising computer hardware and software; oil dielectric strength equipment; trend monitoring equipment; infrared thermographic equipment; sc</w:t>
            </w:r>
            <w:r w:rsidRPr="00FC7DA6">
              <w:t>hering bridge; partial discharge test equipment; double insulation test set; primary injection test sets; CT and VT calibration equipment and sf6 leakage testers.</w:t>
            </w:r>
          </w:p>
          <w:p w:rsidR="00000000" w:rsidRPr="00FC7DA6" w:rsidP="00FC7DA6">
            <w:pPr>
              <w:pStyle w:val="BodyText"/>
            </w:pPr>
            <w:r w:rsidRPr="00FC7DA6">
              <w:t>Computerised test equipment work may include, for example: Secondary injection test sets, pri</w:t>
            </w:r>
            <w:r w:rsidRPr="00FC7DA6">
              <w:t>mary test sets, insulation test sets, timing test sets, Circuit breaker test sets, magnetic test sets.</w:t>
            </w:r>
          </w:p>
          <w:p w:rsidR="00000000" w:rsidRPr="00FC7DA6" w:rsidP="00FC7DA6">
            <w:pPr>
              <w:pStyle w:val="BodyText"/>
            </w:pPr>
            <w:r w:rsidRPr="00FC7DA6">
              <w:t xml:space="preserve">The following constants and variables included in the element/Performance Criteria in this unit are fully described in the Definitions Section 1 of this </w:t>
            </w:r>
            <w:r w:rsidRPr="00FC7DA6">
              <w:t>volume and form an integral part of the Range Statement of this unit:</w:t>
            </w:r>
          </w:p>
          <w:p w:rsidR="00000000" w:rsidRPr="00FC7DA6" w:rsidP="00FC7DA6">
            <w:pPr>
              <w:pStyle w:val="ListBullet3"/>
            </w:pPr>
            <w:r w:rsidRPr="00FC7DA6">
              <w:t>Appropriate and relevant persons (see Personnel)</w:t>
            </w:r>
          </w:p>
          <w:p w:rsidR="00000000" w:rsidRPr="00FC7DA6" w:rsidP="00FC7DA6">
            <w:pPr>
              <w:pStyle w:val="ListBullet3"/>
            </w:pPr>
            <w:r w:rsidRPr="00FC7DA6">
              <w:t>Appropriate authorities</w:t>
            </w:r>
          </w:p>
          <w:p w:rsidR="00000000" w:rsidRPr="00FC7DA6" w:rsidP="00FC7DA6">
            <w:pPr>
              <w:pStyle w:val="ListBullet3"/>
            </w:pPr>
            <w:r w:rsidRPr="00FC7DA6">
              <w:t>Appropriate work platform</w:t>
            </w:r>
          </w:p>
          <w:p w:rsidR="00000000" w:rsidRPr="00FC7DA6" w:rsidP="00FC7DA6">
            <w:pPr>
              <w:pStyle w:val="ListBullet3"/>
            </w:pPr>
            <w:r w:rsidRPr="00FC7DA6">
              <w:t>Assessing risk</w:t>
            </w:r>
          </w:p>
          <w:p w:rsidR="00000000" w:rsidRPr="00FC7DA6" w:rsidP="00FC7DA6">
            <w:pPr>
              <w:pStyle w:val="ListBullet3"/>
            </w:pPr>
            <w:r w:rsidRPr="00FC7DA6">
              <w:t>Assessment</w:t>
            </w:r>
          </w:p>
          <w:p w:rsidR="00000000" w:rsidRPr="00FC7DA6" w:rsidP="00FC7DA6">
            <w:pPr>
              <w:pStyle w:val="ListBullet3"/>
            </w:pPr>
            <w:r w:rsidRPr="00FC7DA6">
              <w:t>Authorisation</w:t>
            </w:r>
          </w:p>
          <w:p w:rsidR="00000000" w:rsidRPr="00FC7DA6" w:rsidP="00FC7DA6">
            <w:pPr>
              <w:pStyle w:val="ListBullet3"/>
            </w:pPr>
            <w:r w:rsidRPr="00FC7DA6">
              <w:t>Confined space</w:t>
            </w:r>
          </w:p>
          <w:p w:rsidR="00000000" w:rsidRPr="00FC7DA6" w:rsidP="00FC7DA6">
            <w:pPr>
              <w:pStyle w:val="ListBullet3"/>
            </w:pPr>
            <w:r w:rsidRPr="00FC7DA6">
              <w:t>Diagnostic, testing and restoration</w:t>
            </w:r>
          </w:p>
          <w:p w:rsidR="00000000" w:rsidRPr="00FC7DA6" w:rsidP="00FC7DA6">
            <w:pPr>
              <w:pStyle w:val="ListBullet3"/>
            </w:pPr>
            <w:r w:rsidRPr="00FC7DA6">
              <w:t>Documenting detail work events, record keeping and or storage of information</w:t>
            </w:r>
          </w:p>
          <w:p w:rsidR="00000000" w:rsidRPr="00FC7DA6" w:rsidP="00FC7DA6">
            <w:pPr>
              <w:pStyle w:val="ListBullet3"/>
            </w:pPr>
            <w:r w:rsidRPr="00FC7DA6">
              <w:t>Drawings and specifications</w:t>
            </w:r>
          </w:p>
          <w:p w:rsidR="00000000" w:rsidRPr="00FC7DA6" w:rsidP="00FC7DA6">
            <w:pPr>
              <w:pStyle w:val="ListBullet3"/>
            </w:pPr>
            <w:r w:rsidRPr="00FC7DA6">
              <w:t>Emergency</w:t>
            </w:r>
          </w:p>
          <w:p w:rsidR="00000000" w:rsidRPr="00FC7DA6" w:rsidP="00FC7DA6">
            <w:pPr>
              <w:pStyle w:val="ListBullet3"/>
            </w:pPr>
            <w:r w:rsidRPr="00FC7DA6">
              <w:t>Environmental and sustainable energy procedures</w:t>
            </w:r>
          </w:p>
          <w:p w:rsidR="00000000" w:rsidRPr="00FC7DA6" w:rsidP="00FC7DA6">
            <w:pPr>
              <w:pStyle w:val="ListBullet3"/>
            </w:pPr>
            <w:r w:rsidRPr="00FC7DA6">
              <w:t>Environmental legislation</w:t>
            </w:r>
          </w:p>
          <w:p w:rsidR="00000000" w:rsidRPr="00FC7DA6" w:rsidP="00FC7DA6">
            <w:pPr>
              <w:pStyle w:val="ListBullet3"/>
            </w:pPr>
            <w:r w:rsidRPr="00FC7DA6">
              <w:t>Environmental management docume</w:t>
            </w:r>
            <w:r w:rsidRPr="00FC7DA6">
              <w:t>ntation</w:t>
            </w:r>
          </w:p>
          <w:p w:rsidR="00000000" w:rsidRPr="00FC7DA6" w:rsidP="00FC7DA6">
            <w:pPr>
              <w:pStyle w:val="ListBullet3"/>
            </w:pPr>
            <w:r w:rsidRPr="00FC7DA6">
              <w:t>Established procedures</w:t>
            </w:r>
          </w:p>
          <w:p w:rsidR="00000000" w:rsidRPr="00FC7DA6" w:rsidP="00FC7DA6">
            <w:pPr>
              <w:pStyle w:val="ListBullet3"/>
            </w:pPr>
            <w:r w:rsidRPr="00FC7DA6">
              <w:t>Fall prevention</w:t>
            </w:r>
          </w:p>
          <w:p w:rsidR="00000000" w:rsidRPr="00FC7DA6" w:rsidP="00FC7DA6">
            <w:pPr>
              <w:pStyle w:val="ListBullet3"/>
            </w:pPr>
            <w:r w:rsidRPr="00FC7DA6">
              <w:t>Hazards</w:t>
            </w:r>
          </w:p>
          <w:p w:rsidR="00000000" w:rsidRPr="00FC7DA6" w:rsidP="00FC7DA6">
            <w:pPr>
              <w:pStyle w:val="ListBullet3"/>
            </w:pPr>
            <w:r w:rsidRPr="00FC7DA6">
              <w:t>Identifying hazards</w:t>
            </w:r>
          </w:p>
          <w:p w:rsidR="00000000" w:rsidRPr="00FC7DA6" w:rsidP="00FC7DA6">
            <w:pPr>
              <w:pStyle w:val="ListBullet3"/>
            </w:pPr>
            <w:r w:rsidRPr="00FC7DA6">
              <w:t>Inspect</w:t>
            </w:r>
          </w:p>
          <w:p w:rsidR="00000000" w:rsidRPr="00FC7DA6" w:rsidP="00FC7DA6">
            <w:pPr>
              <w:pStyle w:val="ListBullet3"/>
            </w:pPr>
            <w:r w:rsidRPr="00FC7DA6">
              <w:t>Legislation</w:t>
            </w:r>
          </w:p>
          <w:p w:rsidR="00000000" w:rsidRPr="00FC7DA6" w:rsidP="00FC7DA6">
            <w:pPr>
              <w:pStyle w:val="ListBullet3"/>
            </w:pPr>
            <w:r w:rsidRPr="00FC7DA6">
              <w:t>MSDS</w:t>
            </w:r>
          </w:p>
          <w:p w:rsidR="00000000" w:rsidRPr="00FC7DA6" w:rsidP="00FC7DA6">
            <w:pPr>
              <w:pStyle w:val="ListBullet3"/>
            </w:pPr>
            <w:r w:rsidRPr="00FC7DA6">
              <w:t>Notification</w:t>
            </w:r>
          </w:p>
          <w:p w:rsidR="00000000" w:rsidRPr="00FC7DA6" w:rsidP="00FC7DA6">
            <w:pPr>
              <w:pStyle w:val="ListBullet3"/>
            </w:pPr>
            <w:r w:rsidRPr="00FC7DA6">
              <w:t>OHS practices</w:t>
            </w:r>
          </w:p>
          <w:p w:rsidR="00000000" w:rsidRPr="00FC7DA6" w:rsidP="00FC7DA6">
            <w:pPr>
              <w:pStyle w:val="ListBullet3"/>
            </w:pPr>
            <w:r w:rsidRPr="00FC7DA6">
              <w:t>OHS issues</w:t>
            </w:r>
          </w:p>
          <w:p w:rsidR="00000000" w:rsidRPr="00FC7DA6" w:rsidP="00FC7DA6">
            <w:pPr>
              <w:pStyle w:val="ListBullet3"/>
            </w:pPr>
            <w:r w:rsidRPr="00FC7DA6">
              <w:t>Permits and/or permits to work</w:t>
            </w:r>
          </w:p>
          <w:p w:rsidR="00000000" w:rsidRPr="00FC7DA6" w:rsidP="00FC7DA6">
            <w:pPr>
              <w:pStyle w:val="ListBullet3"/>
            </w:pPr>
            <w:r w:rsidRPr="00FC7DA6">
              <w:t>Personnel</w:t>
            </w:r>
          </w:p>
          <w:p w:rsidR="00000000" w:rsidRPr="00FC7DA6" w:rsidP="00FC7DA6">
            <w:pPr>
              <w:pStyle w:val="ListBullet3"/>
            </w:pPr>
            <w:r w:rsidRPr="00FC7DA6">
              <w:t>Quality assurance systems</w:t>
            </w:r>
          </w:p>
          <w:p w:rsidR="00000000" w:rsidRPr="00FC7DA6" w:rsidP="00FC7DA6">
            <w:pPr>
              <w:pStyle w:val="ListBullet3"/>
            </w:pPr>
            <w:r w:rsidRPr="00FC7DA6">
              <w:t>Requirements</w:t>
            </w:r>
          </w:p>
          <w:p w:rsidR="00000000" w:rsidRPr="00FC7DA6" w:rsidP="00FC7DA6">
            <w:pPr>
              <w:pStyle w:val="ListBullet3"/>
            </w:pPr>
            <w:r w:rsidRPr="00FC7DA6">
              <w:t>Testing procedures</w:t>
            </w:r>
          </w:p>
          <w:p w:rsidR="00000000" w:rsidRPr="00FC7DA6" w:rsidP="00FC7DA6">
            <w:pPr>
              <w:pStyle w:val="ListBullet3"/>
            </w:pPr>
            <w:r w:rsidRPr="00FC7DA6">
              <w:t>Work clearance systems</w:t>
            </w:r>
          </w:p>
        </w:tc>
      </w:tr>
    </w:tbl>
    <w:p w:rsidR="00000000" w:rsidRPr="00FC7DA6" w:rsidP="00FC7DA6">
      <w:pPr>
        <w:pStyle w:val="BodyText"/>
      </w:pPr>
    </w:p>
    <w:p w:rsidR="00000000" w:rsidRPr="00FC7DA6" w:rsidP="00FC7DA6">
      <w:pPr>
        <w:pStyle w:val="AllowPageBreak"/>
      </w:pPr>
    </w:p>
    <w:p w:rsidR="00000000" w:rsidRPr="00FC7DA6" w:rsidP="00FC7DA6">
      <w:pPr>
        <w:pStyle w:val="Heading1"/>
      </w:pPr>
      <w:bookmarkStart w:id="12" w:name="O_464560"/>
      <w:bookmarkEnd w:id="12"/>
      <w:r w:rsidRPr="00FC7DA6">
        <w:t>Unit Sector(s)</w:t>
      </w:r>
    </w:p>
    <w:p w:rsidR="00000000" w:rsidRPr="00FC7DA6" w:rsidP="00FC7DA6">
      <w:pPr>
        <w:pStyle w:val="BodyText"/>
      </w:pPr>
      <w:r w:rsidRPr="00FC7DA6">
        <w:t>Not applicable.</w:t>
      </w:r>
    </w:p>
    <w:p w:rsidR="00000000" w:rsidRPr="00FC7DA6" w:rsidP="00FC7DA6">
      <w:pPr>
        <w:pStyle w:val="AllowPageBreak"/>
      </w:pPr>
    </w:p>
    <w:p w:rsidR="00000000" w:rsidRPr="00FC7DA6" w:rsidP="00FC7DA6">
      <w:pPr>
        <w:pStyle w:val="Heading1"/>
      </w:pPr>
      <w:bookmarkStart w:id="13" w:name="O_464549"/>
      <w:bookmarkEnd w:id="13"/>
      <w:r w:rsidRPr="00FC7DA6">
        <w:t>Competency Field</w:t>
      </w:r>
    </w:p>
    <w:tbl>
      <w:tblPr>
        <w:tblW w:w="0" w:type="auto"/>
        <w:tblLayout w:type="fixed"/>
        <w:tblCellMar>
          <w:left w:w="62" w:type="dxa"/>
          <w:right w:w="62" w:type="dxa"/>
        </w:tblCellMar>
        <w:tblLook w:val="0000"/>
      </w:tblPr>
      <w:tblGrid>
        <w:gridCol w:w="2700"/>
        <w:gridCol w:w="5760"/>
      </w:tblGrid>
      <w:tr w:rsidTr="006843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7DA6">
            <w:pPr>
              <w:pStyle w:val="BodyText"/>
              <w:rPr>
                <w:lang w:val="en-NZ"/>
              </w:rPr>
            </w:pPr>
            <w:r w:rsidRPr="00FC7DA6">
              <w:rPr>
                <w:rStyle w:val="SpecialBold"/>
              </w:rPr>
              <w:t xml:space="preserve">11) </w:t>
            </w:r>
          </w:p>
        </w:tc>
      </w:tr>
      <w:tr w:rsidTr="006843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A6" w:rsidP="00FC7DA6">
            <w:pPr>
              <w:pStyle w:val="BodyText"/>
            </w:pPr>
            <w:r w:rsidRPr="00FC7DA6">
              <w:t>Testing Units</w:t>
            </w:r>
          </w:p>
        </w:tc>
      </w:tr>
    </w:tbl>
    <w:p w:rsidR="00000000" w:rsidRPr="00FC7DA6" w:rsidP="00FC7DA6">
      <w:pPr>
        <w:pStyle w:val="BodyText"/>
      </w:pPr>
    </w:p>
    <w:p w:rsidR="00000000" w:rsidRPr="00FC7DA6" w:rsidP="00FC7DA6"/>
    <w:sectPr w:rsidSect="00FC7D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334" w:rsidP="00684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34" w:rsidP="00FC7D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84334" w:rsidP="00FC7D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4334" w:rsidP="00FC7D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334" w:rsidP="006843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34" w:rsidP="00FC7DA6">
    <w:pPr>
      <w:pStyle w:val="Header"/>
      <w:framePr w:wrap="around"/>
    </w:pPr>
    <w:r>
      <w:fldChar w:fldCharType="begin"/>
    </w:r>
    <w:r>
      <w:instrText xml:space="preserve"> TITLE   \* MERGEFORMAT </w:instrText>
    </w:r>
    <w:r>
      <w:fldChar w:fldCharType="separate"/>
    </w:r>
    <w:r>
      <w:t>UETTDRTS30A Design power systems secondary isolation instructional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4334" w:rsidP="00FC7D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29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2E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8AB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D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DA6"/>
    <w:pPr>
      <w:spacing w:before="360" w:after="60"/>
      <w:outlineLvl w:val="0"/>
    </w:pPr>
    <w:rPr>
      <w:sz w:val="32"/>
    </w:rPr>
  </w:style>
  <w:style w:type="paragraph" w:styleId="Heading2">
    <w:name w:val="heading 2"/>
    <w:basedOn w:val="HeadingBase"/>
    <w:next w:val="BodyText"/>
    <w:link w:val="Heading2Char"/>
    <w:qFormat/>
    <w:rsid w:val="00FC7DA6"/>
    <w:pPr>
      <w:keepLines/>
      <w:spacing w:before="240" w:after="120"/>
      <w:outlineLvl w:val="1"/>
    </w:pPr>
    <w:rPr>
      <w:sz w:val="28"/>
      <w:szCs w:val="40"/>
    </w:rPr>
  </w:style>
  <w:style w:type="paragraph" w:styleId="Heading3">
    <w:name w:val="heading 3"/>
    <w:basedOn w:val="HeadingBase"/>
    <w:next w:val="BodyText"/>
    <w:link w:val="Heading3Char"/>
    <w:qFormat/>
    <w:rsid w:val="00FC7DA6"/>
    <w:pPr>
      <w:spacing w:before="180" w:after="120"/>
      <w:outlineLvl w:val="2"/>
    </w:pPr>
    <w:rPr>
      <w:spacing w:val="-10"/>
      <w:kern w:val="32"/>
    </w:rPr>
  </w:style>
  <w:style w:type="paragraph" w:styleId="Heading4">
    <w:name w:val="heading 4"/>
    <w:basedOn w:val="HeadingBase"/>
    <w:next w:val="BodyText"/>
    <w:link w:val="Heading4Char"/>
    <w:qFormat/>
    <w:rsid w:val="00FC7DA6"/>
    <w:pPr>
      <w:spacing w:before="160" w:after="120"/>
      <w:outlineLvl w:val="3"/>
    </w:pPr>
    <w:rPr>
      <w:sz w:val="22"/>
    </w:rPr>
  </w:style>
  <w:style w:type="paragraph" w:styleId="Heading5">
    <w:name w:val="heading 5"/>
    <w:basedOn w:val="HeadingBase"/>
    <w:next w:val="Normal"/>
    <w:link w:val="Heading5Char"/>
    <w:qFormat/>
    <w:rsid w:val="00FC7DA6"/>
    <w:pPr>
      <w:spacing w:before="80"/>
      <w:outlineLvl w:val="4"/>
    </w:pPr>
    <w:rPr>
      <w:color w:val="918585"/>
      <w:sz w:val="20"/>
    </w:rPr>
  </w:style>
  <w:style w:type="paragraph" w:styleId="Heading6">
    <w:name w:val="heading 6"/>
    <w:basedOn w:val="HeadingBase"/>
    <w:next w:val="Normal"/>
    <w:link w:val="Heading6Char"/>
    <w:qFormat/>
    <w:rsid w:val="00FC7DA6"/>
    <w:pPr>
      <w:spacing w:before="60"/>
      <w:outlineLvl w:val="5"/>
    </w:pPr>
    <w:rPr>
      <w:color w:val="918585"/>
      <w:sz w:val="20"/>
    </w:rPr>
  </w:style>
  <w:style w:type="paragraph" w:styleId="Heading7">
    <w:name w:val="heading 7"/>
    <w:basedOn w:val="Normal"/>
    <w:next w:val="Normal"/>
    <w:link w:val="Heading7Char"/>
    <w:qFormat/>
    <w:rsid w:val="00FC7DA6"/>
    <w:pPr>
      <w:ind w:left="720"/>
      <w:outlineLvl w:val="6"/>
    </w:pPr>
    <w:rPr>
      <w:i/>
    </w:rPr>
  </w:style>
  <w:style w:type="paragraph" w:styleId="Heading8">
    <w:name w:val="heading 8"/>
    <w:basedOn w:val="Normal"/>
    <w:next w:val="Normal"/>
    <w:link w:val="Heading8Char"/>
    <w:qFormat/>
    <w:rsid w:val="00FC7DA6"/>
    <w:pPr>
      <w:ind w:left="720"/>
      <w:outlineLvl w:val="7"/>
    </w:pPr>
    <w:rPr>
      <w:i/>
    </w:rPr>
  </w:style>
  <w:style w:type="paragraph" w:styleId="Heading9">
    <w:name w:val="heading 9"/>
    <w:basedOn w:val="Normal"/>
    <w:next w:val="Normal"/>
    <w:link w:val="Heading9Char"/>
    <w:qFormat/>
    <w:rsid w:val="00FC7DA6"/>
    <w:pPr>
      <w:ind w:left="720"/>
      <w:outlineLvl w:val="8"/>
    </w:pPr>
    <w:rPr>
      <w:i/>
    </w:rPr>
  </w:style>
  <w:style w:type="character" w:default="1" w:styleId="DefaultParagraphFont">
    <w:name w:val="Default Paragraph Font"/>
    <w:uiPriority w:val="1"/>
    <w:unhideWhenUsed/>
    <w:rsid w:val="00FC7D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DA6"/>
  </w:style>
  <w:style w:type="character" w:customStyle="1" w:styleId="Heading1Char">
    <w:name w:val="Heading 1 Char"/>
    <w:link w:val="Heading1"/>
    <w:rsid w:val="00FC7DA6"/>
    <w:rPr>
      <w:rFonts w:ascii="Times New Roman" w:eastAsia="Times New Roman" w:hAnsi="Times New Roman" w:cs="Times New Roman"/>
      <w:b/>
      <w:sz w:val="32"/>
      <w:szCs w:val="20"/>
      <w:lang w:eastAsia="en-US"/>
    </w:rPr>
  </w:style>
  <w:style w:type="paragraph" w:styleId="BodyText">
    <w:name w:val="Body Text"/>
    <w:basedOn w:val="Normal"/>
    <w:link w:val="BodyTextChar"/>
    <w:rsid w:val="00FC7DA6"/>
    <w:pPr>
      <w:spacing w:before="120" w:after="120"/>
      <w:contextualSpacing/>
    </w:pPr>
    <w:rPr>
      <w:rFonts w:ascii="Times New Roman" w:hAnsi="Times New Roman"/>
      <w:sz w:val="24"/>
      <w:szCs w:val="22"/>
    </w:rPr>
  </w:style>
  <w:style w:type="character" w:customStyle="1" w:styleId="BodyTextChar">
    <w:name w:val="Body Text Char"/>
    <w:link w:val="BodyText"/>
    <w:rsid w:val="00FC7DA6"/>
    <w:rPr>
      <w:rFonts w:ascii="Times New Roman" w:eastAsia="Times New Roman" w:hAnsi="Times New Roman" w:cs="Times New Roman"/>
      <w:sz w:val="24"/>
      <w:lang w:val="en-US" w:eastAsia="en-US"/>
    </w:rPr>
  </w:style>
  <w:style w:type="paragraph" w:styleId="Footer">
    <w:name w:val="footer"/>
    <w:basedOn w:val="Normal"/>
    <w:link w:val="FooterChar"/>
    <w:rsid w:val="00FC7D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7DA6"/>
    <w:rPr>
      <w:rFonts w:ascii="Times New Roman" w:eastAsia="Times New Roman" w:hAnsi="Times New Roman" w:cs="Times New Roman"/>
      <w:sz w:val="16"/>
      <w:lang w:val="en-US" w:eastAsia="en-US"/>
    </w:rPr>
  </w:style>
  <w:style w:type="paragraph" w:styleId="ListBullet">
    <w:name w:val="List Bullet"/>
    <w:basedOn w:val="List"/>
    <w:rsid w:val="00FC7DA6"/>
    <w:pPr>
      <w:numPr>
        <w:numId w:val="14"/>
      </w:numPr>
      <w:tabs>
        <w:tab w:val="clear" w:pos="340"/>
      </w:tabs>
      <w:spacing w:before="40" w:after="40"/>
    </w:pPr>
  </w:style>
  <w:style w:type="character" w:customStyle="1" w:styleId="SpecialBold">
    <w:name w:val="Special Bold"/>
    <w:rsid w:val="00FC7DA6"/>
    <w:rPr>
      <w:b/>
      <w:spacing w:val="0"/>
    </w:rPr>
  </w:style>
  <w:style w:type="paragraph" w:styleId="ListBullet2">
    <w:name w:val="List Bullet 2"/>
    <w:basedOn w:val="List2"/>
    <w:rsid w:val="00FC7DA6"/>
    <w:pPr>
      <w:numPr>
        <w:numId w:val="15"/>
      </w:numPr>
      <w:tabs>
        <w:tab w:val="clear" w:pos="680"/>
      </w:tabs>
    </w:pPr>
  </w:style>
  <w:style w:type="paragraph" w:styleId="Header">
    <w:name w:val="header"/>
    <w:basedOn w:val="Normal"/>
    <w:link w:val="HeaderChar"/>
    <w:rsid w:val="00FC7D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7D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DA6"/>
    <w:pPr>
      <w:spacing w:before="240" w:after="120"/>
      <w:outlineLvl w:val="0"/>
    </w:pPr>
    <w:rPr>
      <w:rFonts w:ascii="Times New Roman" w:hAnsi="Times New Roman"/>
      <w:b/>
      <w:sz w:val="28"/>
    </w:rPr>
  </w:style>
  <w:style w:type="paragraph" w:customStyle="1" w:styleId="AllowPageBreak">
    <w:name w:val="AllowPageBreak"/>
    <w:rsid w:val="00FC7D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7DA6"/>
    <w:pPr>
      <w:numPr>
        <w:numId w:val="3"/>
      </w:numPr>
      <w:tabs>
        <w:tab w:val="clear" w:pos="1021"/>
      </w:tabs>
      <w:ind w:left="1037" w:hanging="357"/>
    </w:pPr>
  </w:style>
  <w:style w:type="character" w:customStyle="1" w:styleId="Heading2Char">
    <w:name w:val="Heading 2 Char"/>
    <w:link w:val="Heading2"/>
    <w:rsid w:val="00FC7DA6"/>
    <w:rPr>
      <w:rFonts w:ascii="Times New Roman" w:eastAsia="Times New Roman" w:hAnsi="Times New Roman" w:cs="Times New Roman"/>
      <w:b/>
      <w:sz w:val="28"/>
      <w:szCs w:val="40"/>
      <w:lang w:eastAsia="en-US"/>
    </w:rPr>
  </w:style>
  <w:style w:type="character" w:customStyle="1" w:styleId="Heading3Char">
    <w:name w:val="Heading 3 Char"/>
    <w:link w:val="Heading3"/>
    <w:rsid w:val="00FC7D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7DA6"/>
    <w:rPr>
      <w:rFonts w:ascii="Times New Roman" w:eastAsia="Times New Roman" w:hAnsi="Times New Roman" w:cs="Times New Roman"/>
      <w:b/>
      <w:szCs w:val="20"/>
      <w:lang w:eastAsia="en-US"/>
    </w:rPr>
  </w:style>
  <w:style w:type="character" w:customStyle="1" w:styleId="Heading5Char">
    <w:name w:val="Heading 5 Char"/>
    <w:link w:val="Heading5"/>
    <w:rsid w:val="00FC7D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7D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D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D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DA6"/>
    <w:rPr>
      <w:rFonts w:ascii="Courier New" w:eastAsia="Times New Roman" w:hAnsi="Courier New" w:cs="Times New Roman"/>
      <w:i/>
      <w:szCs w:val="20"/>
      <w:lang w:val="en-US" w:eastAsia="en-US"/>
    </w:rPr>
  </w:style>
  <w:style w:type="paragraph" w:customStyle="1" w:styleId="HeadingBase">
    <w:name w:val="Heading Base"/>
    <w:rsid w:val="00FC7D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DA6"/>
    <w:pPr>
      <w:tabs>
        <w:tab w:val="right" w:leader="dot" w:pos="9072"/>
      </w:tabs>
      <w:ind w:left="567"/>
    </w:pPr>
    <w:rPr>
      <w:szCs w:val="22"/>
    </w:rPr>
  </w:style>
  <w:style w:type="paragraph" w:customStyle="1" w:styleId="TOCBase">
    <w:name w:val="TOC Base"/>
    <w:rsid w:val="00FC7D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DA6"/>
    <w:pPr>
      <w:tabs>
        <w:tab w:val="right" w:leader="dot" w:pos="9072"/>
      </w:tabs>
      <w:spacing w:before="40" w:after="40"/>
      <w:ind w:left="284"/>
    </w:pPr>
    <w:rPr>
      <w:rFonts w:ascii="Times New Roman" w:hAnsi="Times New Roman"/>
    </w:rPr>
  </w:style>
  <w:style w:type="paragraph" w:styleId="TOC1">
    <w:name w:val="toc 1"/>
    <w:basedOn w:val="TOCBase"/>
    <w:next w:val="Normal"/>
    <w:rsid w:val="00FC7D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DA6"/>
    <w:pPr>
      <w:spacing w:before="5040"/>
      <w:jc w:val="center"/>
    </w:pPr>
    <w:rPr>
      <w:sz w:val="48"/>
      <w:szCs w:val="72"/>
      <w:lang w:val="en-US"/>
    </w:rPr>
  </w:style>
  <w:style w:type="character" w:customStyle="1" w:styleId="TitleChar">
    <w:name w:val="Title Char"/>
    <w:link w:val="Title"/>
    <w:rsid w:val="00FC7D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DA6"/>
    <w:pPr>
      <w:tabs>
        <w:tab w:val="left" w:pos="3600"/>
        <w:tab w:val="left" w:pos="3958"/>
      </w:tabs>
    </w:pPr>
  </w:style>
  <w:style w:type="paragraph" w:styleId="List">
    <w:name w:val="List"/>
    <w:basedOn w:val="BodyText"/>
    <w:next w:val="BodyText"/>
    <w:rsid w:val="00FC7DA6"/>
    <w:pPr>
      <w:tabs>
        <w:tab w:val="left" w:pos="340"/>
      </w:tabs>
      <w:spacing w:before="60" w:after="60"/>
      <w:ind w:left="340" w:hanging="340"/>
    </w:pPr>
  </w:style>
  <w:style w:type="paragraph" w:customStyle="1" w:styleId="Note">
    <w:name w:val="Note"/>
    <w:basedOn w:val="BodyText"/>
    <w:rsid w:val="00FC7D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DA6"/>
    <w:pPr>
      <w:framePr w:wrap="auto" w:hAnchor="text" w:y="6049"/>
    </w:pPr>
    <w:rPr>
      <w:color w:val="000000"/>
      <w:sz w:val="40"/>
    </w:rPr>
  </w:style>
  <w:style w:type="paragraph" w:customStyle="1" w:styleId="TOCTitle">
    <w:name w:val="TOCTitle"/>
    <w:basedOn w:val="Heading1"/>
    <w:rsid w:val="00FC7DA6"/>
    <w:pPr>
      <w:spacing w:after="240"/>
      <w:jc w:val="center"/>
      <w:outlineLvl w:val="9"/>
    </w:pPr>
    <w:rPr>
      <w:caps/>
    </w:rPr>
  </w:style>
  <w:style w:type="paragraph" w:customStyle="1" w:styleId="Version">
    <w:name w:val="Version"/>
    <w:rsid w:val="00FC7D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DA6"/>
    <w:pPr>
      <w:keepNext w:val="0"/>
      <w:tabs>
        <w:tab w:val="right" w:pos="4176"/>
      </w:tabs>
      <w:ind w:left="198" w:hanging="198"/>
    </w:pPr>
    <w:rPr>
      <w:rFonts w:ascii="Garamond" w:hAnsi="Garamond"/>
    </w:rPr>
  </w:style>
  <w:style w:type="paragraph" w:styleId="IndexHeading">
    <w:name w:val="index heading"/>
    <w:basedOn w:val="Normal"/>
    <w:next w:val="Index1"/>
    <w:semiHidden/>
    <w:rsid w:val="00FC7DA6"/>
    <w:pPr>
      <w:spacing w:before="120" w:after="120"/>
    </w:pPr>
    <w:rPr>
      <w:rFonts w:ascii="Arial" w:hAnsi="Arial"/>
      <w:b/>
      <w:color w:val="918585"/>
      <w:sz w:val="24"/>
    </w:rPr>
  </w:style>
  <w:style w:type="paragraph" w:customStyle="1" w:styleId="Chapter">
    <w:name w:val="Chapter"/>
    <w:basedOn w:val="Normal"/>
    <w:rsid w:val="00FC7DA6"/>
    <w:pPr>
      <w:spacing w:before="240"/>
    </w:pPr>
    <w:rPr>
      <w:rFonts w:ascii="Times New Roman" w:hAnsi="Times New Roman"/>
      <w:smallCaps/>
      <w:spacing w:val="80"/>
      <w:sz w:val="28"/>
    </w:rPr>
  </w:style>
  <w:style w:type="paragraph" w:customStyle="1" w:styleId="InChapter">
    <w:name w:val="InChapter"/>
    <w:basedOn w:val="Heading3"/>
    <w:rsid w:val="00FC7DA6"/>
    <w:pPr>
      <w:spacing w:after="240"/>
      <w:outlineLvl w:val="9"/>
    </w:pPr>
    <w:rPr>
      <w:noProof/>
    </w:rPr>
  </w:style>
  <w:style w:type="paragraph" w:styleId="Index2">
    <w:name w:val="index 2"/>
    <w:basedOn w:val="Normal"/>
    <w:next w:val="Normal"/>
    <w:semiHidden/>
    <w:rsid w:val="00FC7DA6"/>
    <w:pPr>
      <w:tabs>
        <w:tab w:val="right" w:pos="4176"/>
      </w:tabs>
      <w:ind w:left="568" w:hanging="284"/>
    </w:pPr>
    <w:rPr>
      <w:rFonts w:ascii="Garamond" w:hAnsi="Garamond"/>
    </w:rPr>
  </w:style>
  <w:style w:type="paragraph" w:customStyle="1" w:styleId="Byline">
    <w:name w:val="Byline"/>
    <w:rsid w:val="00FC7D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DA6"/>
    <w:pPr>
      <w:tabs>
        <w:tab w:val="clear" w:pos="3600"/>
        <w:tab w:val="clear" w:pos="3958"/>
      </w:tabs>
      <w:jc w:val="right"/>
    </w:pPr>
  </w:style>
  <w:style w:type="character" w:styleId="Emphasis">
    <w:name w:val="Emphasis"/>
    <w:qFormat/>
    <w:rsid w:val="00FC7DA6"/>
    <w:rPr>
      <w:i/>
    </w:rPr>
  </w:style>
  <w:style w:type="paragraph" w:styleId="Caption">
    <w:name w:val="caption"/>
    <w:basedOn w:val="BodyText"/>
    <w:next w:val="Normal"/>
    <w:qFormat/>
    <w:rsid w:val="00FC7DA6"/>
    <w:pPr>
      <w:framePr w:w="2268" w:hSpace="181" w:vSpace="181" w:wrap="around" w:vAnchor="text" w:hAnchor="page" w:x="1135" w:y="285" w:anchorLock="1"/>
    </w:pPr>
    <w:rPr>
      <w:i/>
    </w:rPr>
  </w:style>
  <w:style w:type="paragraph" w:customStyle="1" w:styleId="MiniTOCTitle">
    <w:name w:val="MiniTOCTitle"/>
    <w:basedOn w:val="Heading4"/>
    <w:rsid w:val="00FC7DA6"/>
    <w:pPr>
      <w:spacing w:before="240"/>
      <w:outlineLvl w:val="9"/>
    </w:pPr>
    <w:rPr>
      <w:noProof/>
      <w:sz w:val="24"/>
    </w:rPr>
  </w:style>
  <w:style w:type="paragraph" w:customStyle="1" w:styleId="MiniTOCItem">
    <w:name w:val="MiniTOCItem"/>
    <w:basedOn w:val="ListBullet"/>
    <w:rsid w:val="00FC7DA6"/>
    <w:pPr>
      <w:numPr>
        <w:numId w:val="0"/>
      </w:numPr>
      <w:tabs>
        <w:tab w:val="right" w:leader="dot" w:pos="6521"/>
      </w:tabs>
      <w:spacing w:before="0" w:after="0"/>
    </w:pPr>
  </w:style>
  <w:style w:type="paragraph" w:customStyle="1" w:styleId="TOFTitle">
    <w:name w:val="TOFTitle"/>
    <w:basedOn w:val="TOCTitle"/>
    <w:rsid w:val="00FC7DA6"/>
  </w:style>
  <w:style w:type="paragraph" w:styleId="TableofFigures">
    <w:name w:val="table of figures"/>
    <w:basedOn w:val="Normal"/>
    <w:next w:val="Normal"/>
    <w:semiHidden/>
    <w:rsid w:val="00FC7DA6"/>
    <w:pPr>
      <w:tabs>
        <w:tab w:val="right" w:leader="dot" w:pos="9072"/>
      </w:tabs>
      <w:ind w:left="970" w:hanging="403"/>
    </w:pPr>
    <w:rPr>
      <w:rFonts w:ascii="Times New Roman" w:hAnsi="Times New Roman"/>
      <w:b/>
    </w:rPr>
  </w:style>
  <w:style w:type="paragraph" w:styleId="ListNumber">
    <w:name w:val="List Number"/>
    <w:basedOn w:val="List"/>
    <w:rsid w:val="00FC7DA6"/>
    <w:pPr>
      <w:numPr>
        <w:numId w:val="12"/>
      </w:numPr>
    </w:pPr>
  </w:style>
  <w:style w:type="character" w:customStyle="1" w:styleId="WingdingSymbols">
    <w:name w:val="Wingding Symbols"/>
    <w:rsid w:val="00FC7DA6"/>
    <w:rPr>
      <w:rFonts w:ascii="Wingdings" w:hAnsi="Wingdings"/>
    </w:rPr>
  </w:style>
  <w:style w:type="paragraph" w:customStyle="1" w:styleId="TableHeading">
    <w:name w:val="Table Heading"/>
    <w:basedOn w:val="HeadingBase"/>
    <w:rsid w:val="00FC7DA6"/>
    <w:pPr>
      <w:keepLines/>
      <w:pBdr>
        <w:bottom w:val="single" w:sz="6" w:space="1" w:color="918585"/>
      </w:pBdr>
      <w:spacing w:before="240"/>
    </w:pPr>
  </w:style>
  <w:style w:type="character" w:customStyle="1" w:styleId="HotSpot">
    <w:name w:val="HotSpot"/>
    <w:rsid w:val="00FC7DA6"/>
    <w:rPr>
      <w:color w:val="0033CC"/>
      <w:u w:val="none"/>
    </w:rPr>
  </w:style>
  <w:style w:type="paragraph" w:customStyle="1" w:styleId="BodyTextRight">
    <w:name w:val="Body Text Right"/>
    <w:basedOn w:val="BodyText"/>
    <w:rsid w:val="00FC7DA6"/>
    <w:pPr>
      <w:spacing w:before="0" w:after="0"/>
      <w:jc w:val="right"/>
    </w:pPr>
  </w:style>
  <w:style w:type="paragraph" w:styleId="Index3">
    <w:name w:val="index 3"/>
    <w:basedOn w:val="ListNumber2"/>
    <w:next w:val="Normal"/>
    <w:semiHidden/>
    <w:rsid w:val="00FC7DA6"/>
    <w:pPr>
      <w:numPr>
        <w:numId w:val="0"/>
      </w:numPr>
      <w:tabs>
        <w:tab w:val="right" w:leader="dot" w:pos="4176"/>
      </w:tabs>
    </w:pPr>
  </w:style>
  <w:style w:type="paragraph" w:styleId="ListNumber2">
    <w:name w:val="List Number 2"/>
    <w:basedOn w:val="List2"/>
    <w:rsid w:val="00FC7DA6"/>
    <w:pPr>
      <w:numPr>
        <w:numId w:val="11"/>
      </w:numPr>
      <w:tabs>
        <w:tab w:val="clear" w:pos="1060"/>
      </w:tabs>
    </w:pPr>
  </w:style>
  <w:style w:type="paragraph" w:customStyle="1" w:styleId="MarginNote">
    <w:name w:val="Margin Note"/>
    <w:basedOn w:val="BodyText"/>
    <w:rsid w:val="00FC7D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D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7D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DA6"/>
    <w:rPr>
      <w:sz w:val="32"/>
    </w:rPr>
  </w:style>
  <w:style w:type="paragraph" w:customStyle="1" w:styleId="HeadingProcedure">
    <w:name w:val="Heading Procedure"/>
    <w:basedOn w:val="HeadingBase"/>
    <w:next w:val="Normal"/>
    <w:rsid w:val="00FC7DA6"/>
    <w:pPr>
      <w:tabs>
        <w:tab w:val="left" w:pos="0"/>
      </w:tabs>
      <w:spacing w:before="120" w:after="60"/>
    </w:pPr>
    <w:rPr>
      <w:i/>
      <w:color w:val="918585"/>
      <w:sz w:val="22"/>
    </w:rPr>
  </w:style>
  <w:style w:type="paragraph" w:customStyle="1" w:styleId="TableBodyText">
    <w:name w:val="Table Body Text"/>
    <w:basedOn w:val="BodyText"/>
    <w:rsid w:val="00FC7DA6"/>
    <w:pPr>
      <w:spacing w:before="60" w:after="60"/>
    </w:pPr>
  </w:style>
  <w:style w:type="paragraph" w:styleId="ListContinue">
    <w:name w:val="List Continue"/>
    <w:basedOn w:val="List"/>
    <w:rsid w:val="00FC7DA6"/>
    <w:pPr>
      <w:ind w:firstLine="0"/>
    </w:pPr>
  </w:style>
  <w:style w:type="paragraph" w:customStyle="1" w:styleId="ListNote">
    <w:name w:val="List Note"/>
    <w:basedOn w:val="List"/>
    <w:rsid w:val="00FC7DA6"/>
    <w:pPr>
      <w:pBdr>
        <w:top w:val="single" w:sz="6" w:space="2" w:color="918585"/>
        <w:bottom w:val="single" w:sz="6" w:space="2" w:color="918585"/>
      </w:pBdr>
      <w:tabs>
        <w:tab w:val="left" w:pos="1021"/>
      </w:tabs>
      <w:ind w:firstLine="0"/>
    </w:pPr>
  </w:style>
  <w:style w:type="paragraph" w:customStyle="1" w:styleId="Warning">
    <w:name w:val="Warning"/>
    <w:basedOn w:val="BodyText"/>
    <w:rsid w:val="00FC7DA6"/>
    <w:pPr>
      <w:shd w:val="clear" w:color="auto" w:fill="D9D9D9"/>
      <w:tabs>
        <w:tab w:val="left" w:pos="992"/>
      </w:tabs>
      <w:ind w:left="119" w:right="119"/>
    </w:pPr>
    <w:rPr>
      <w:sz w:val="20"/>
    </w:rPr>
  </w:style>
  <w:style w:type="paragraph" w:customStyle="1" w:styleId="MarginIcons">
    <w:name w:val="Margin Icons"/>
    <w:basedOn w:val="BodyText"/>
    <w:rsid w:val="00FC7D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7DA6"/>
    <w:rPr>
      <w:rFonts w:ascii="Courier New" w:hAnsi="Courier New"/>
    </w:rPr>
  </w:style>
  <w:style w:type="paragraph" w:customStyle="1" w:styleId="NoteBullet">
    <w:name w:val="Note Bullet"/>
    <w:basedOn w:val="Note"/>
    <w:rsid w:val="00FC7DA6"/>
    <w:pPr>
      <w:tabs>
        <w:tab w:val="clear" w:pos="680"/>
      </w:tabs>
      <w:spacing w:before="60" w:after="60"/>
    </w:pPr>
  </w:style>
  <w:style w:type="paragraph" w:customStyle="1" w:styleId="SubHeading2">
    <w:name w:val="SubHeading2"/>
    <w:basedOn w:val="HeadingBase"/>
    <w:rsid w:val="00FC7DA6"/>
    <w:pPr>
      <w:spacing w:before="240" w:after="60"/>
    </w:pPr>
    <w:rPr>
      <w:sz w:val="20"/>
    </w:rPr>
  </w:style>
  <w:style w:type="paragraph" w:customStyle="1" w:styleId="SubHeading1">
    <w:name w:val="SubHeading1"/>
    <w:basedOn w:val="HeadingBase"/>
    <w:rsid w:val="00FC7DA6"/>
    <w:pPr>
      <w:spacing w:before="240" w:after="60"/>
    </w:pPr>
    <w:rPr>
      <w:color w:val="918585"/>
      <w:sz w:val="22"/>
    </w:rPr>
  </w:style>
  <w:style w:type="paragraph" w:customStyle="1" w:styleId="SideHeading">
    <w:name w:val="Side Heading"/>
    <w:basedOn w:val="HeadingBase"/>
    <w:rsid w:val="00FC7D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DA6"/>
    <w:pPr>
      <w:numPr>
        <w:numId w:val="13"/>
      </w:numPr>
    </w:pPr>
  </w:style>
  <w:style w:type="paragraph" w:styleId="PlainText">
    <w:name w:val="Plain Text"/>
    <w:basedOn w:val="Normal"/>
    <w:link w:val="PlainTextChar"/>
    <w:rsid w:val="00FC7DA6"/>
    <w:rPr>
      <w:sz w:val="20"/>
    </w:rPr>
  </w:style>
  <w:style w:type="character" w:customStyle="1" w:styleId="PlainTextChar">
    <w:name w:val="Plain Text Char"/>
    <w:basedOn w:val="DefaultParagraphFont"/>
    <w:link w:val="PlainText"/>
    <w:rsid w:val="00FC7DA6"/>
    <w:rPr>
      <w:rFonts w:ascii="Courier New" w:eastAsia="Times New Roman" w:hAnsi="Courier New" w:cs="Times New Roman"/>
      <w:sz w:val="20"/>
      <w:szCs w:val="20"/>
      <w:lang w:val="en-US" w:eastAsia="en-US"/>
    </w:rPr>
  </w:style>
  <w:style w:type="character" w:customStyle="1" w:styleId="MenuOption">
    <w:name w:val="Menu Option"/>
    <w:rsid w:val="00FC7DA6"/>
    <w:rPr>
      <w:b/>
      <w:smallCaps/>
    </w:rPr>
  </w:style>
  <w:style w:type="paragraph" w:customStyle="1" w:styleId="TableListNumber">
    <w:name w:val="Table List Number"/>
    <w:basedOn w:val="ListNumber"/>
    <w:rsid w:val="00FC7DA6"/>
    <w:pPr>
      <w:numPr>
        <w:numId w:val="0"/>
      </w:numPr>
    </w:pPr>
  </w:style>
  <w:style w:type="paragraph" w:styleId="TOC4">
    <w:name w:val="toc 4"/>
    <w:basedOn w:val="TOCBase"/>
    <w:next w:val="Normal"/>
    <w:semiHidden/>
    <w:rsid w:val="00FC7DA6"/>
    <w:pPr>
      <w:tabs>
        <w:tab w:val="right" w:leader="dot" w:pos="9071"/>
      </w:tabs>
      <w:ind w:left="1701"/>
    </w:pPr>
  </w:style>
  <w:style w:type="paragraph" w:customStyle="1" w:styleId="ListAlpha">
    <w:name w:val="List Alpha"/>
    <w:basedOn w:val="List"/>
    <w:rsid w:val="00FC7DA6"/>
    <w:pPr>
      <w:numPr>
        <w:numId w:val="10"/>
      </w:numPr>
    </w:pPr>
  </w:style>
  <w:style w:type="paragraph" w:customStyle="1" w:styleId="ListAlpha2">
    <w:name w:val="List Alpha 2"/>
    <w:basedOn w:val="List2"/>
    <w:rsid w:val="00FC7DA6"/>
    <w:pPr>
      <w:numPr>
        <w:numId w:val="9"/>
      </w:numPr>
    </w:pPr>
  </w:style>
  <w:style w:type="paragraph" w:styleId="List2">
    <w:name w:val="List 2"/>
    <w:basedOn w:val="BodyText"/>
    <w:rsid w:val="00FC7DA6"/>
    <w:pPr>
      <w:tabs>
        <w:tab w:val="left" w:pos="680"/>
      </w:tabs>
      <w:spacing w:before="60" w:after="60"/>
      <w:ind w:left="680" w:hanging="340"/>
    </w:pPr>
  </w:style>
  <w:style w:type="paragraph" w:styleId="List3">
    <w:name w:val="List 3"/>
    <w:basedOn w:val="BodyText"/>
    <w:rsid w:val="00FC7DA6"/>
    <w:pPr>
      <w:tabs>
        <w:tab w:val="left" w:pos="1021"/>
      </w:tabs>
      <w:spacing w:before="60" w:after="60"/>
      <w:ind w:left="1020" w:hanging="340"/>
    </w:pPr>
  </w:style>
  <w:style w:type="paragraph" w:styleId="List4">
    <w:name w:val="List 4"/>
    <w:basedOn w:val="BodyText"/>
    <w:rsid w:val="00FC7DA6"/>
    <w:pPr>
      <w:tabs>
        <w:tab w:val="left" w:pos="1361"/>
      </w:tabs>
      <w:spacing w:before="60" w:after="60"/>
      <w:ind w:left="1361" w:hanging="340"/>
    </w:pPr>
  </w:style>
  <w:style w:type="paragraph" w:styleId="List5">
    <w:name w:val="List 5"/>
    <w:basedOn w:val="BodyText"/>
    <w:rsid w:val="00FC7DA6"/>
    <w:pPr>
      <w:tabs>
        <w:tab w:val="left" w:pos="1701"/>
      </w:tabs>
      <w:spacing w:before="60" w:after="60"/>
      <w:ind w:left="1701" w:hanging="340"/>
    </w:pPr>
  </w:style>
  <w:style w:type="paragraph" w:styleId="ListBullet4">
    <w:name w:val="List Bullet 4"/>
    <w:basedOn w:val="List4"/>
    <w:rsid w:val="00FC7DA6"/>
    <w:pPr>
      <w:numPr>
        <w:numId w:val="4"/>
      </w:numPr>
    </w:pPr>
  </w:style>
  <w:style w:type="paragraph" w:styleId="ListBullet5">
    <w:name w:val="List Bullet 5"/>
    <w:basedOn w:val="List5"/>
    <w:rsid w:val="00FC7DA6"/>
    <w:pPr>
      <w:numPr>
        <w:numId w:val="5"/>
      </w:numPr>
    </w:pPr>
  </w:style>
  <w:style w:type="paragraph" w:styleId="ListContinue2">
    <w:name w:val="List Continue 2"/>
    <w:basedOn w:val="List2"/>
    <w:rsid w:val="00FC7DA6"/>
    <w:pPr>
      <w:ind w:firstLine="0"/>
    </w:pPr>
  </w:style>
  <w:style w:type="paragraph" w:styleId="ListContinue3">
    <w:name w:val="List Continue 3"/>
    <w:basedOn w:val="List3"/>
    <w:rsid w:val="00FC7DA6"/>
    <w:pPr>
      <w:ind w:left="1021" w:firstLine="0"/>
    </w:pPr>
  </w:style>
  <w:style w:type="paragraph" w:styleId="ListContinue4">
    <w:name w:val="List Continue 4"/>
    <w:basedOn w:val="List4"/>
    <w:rsid w:val="00FC7DA6"/>
    <w:pPr>
      <w:ind w:firstLine="0"/>
    </w:pPr>
  </w:style>
  <w:style w:type="paragraph" w:styleId="ListContinue5">
    <w:name w:val="List Continue 5"/>
    <w:basedOn w:val="List5"/>
    <w:rsid w:val="00FC7DA6"/>
    <w:pPr>
      <w:ind w:firstLine="0"/>
    </w:pPr>
  </w:style>
  <w:style w:type="paragraph" w:styleId="ListNumber3">
    <w:name w:val="List Number 3"/>
    <w:basedOn w:val="List3"/>
    <w:rsid w:val="00FC7DA6"/>
    <w:pPr>
      <w:numPr>
        <w:numId w:val="6"/>
      </w:numPr>
    </w:pPr>
  </w:style>
  <w:style w:type="paragraph" w:styleId="ListNumber4">
    <w:name w:val="List Number 4"/>
    <w:basedOn w:val="List4"/>
    <w:rsid w:val="00FC7DA6"/>
    <w:pPr>
      <w:numPr>
        <w:numId w:val="7"/>
      </w:numPr>
    </w:pPr>
  </w:style>
  <w:style w:type="paragraph" w:styleId="ListNumber5">
    <w:name w:val="List Number 5"/>
    <w:basedOn w:val="List5"/>
    <w:rsid w:val="00FC7DA6"/>
    <w:pPr>
      <w:numPr>
        <w:numId w:val="8"/>
      </w:numPr>
    </w:pPr>
  </w:style>
  <w:style w:type="paragraph" w:styleId="BlockText">
    <w:name w:val="Block Text"/>
    <w:basedOn w:val="Normal"/>
    <w:rsid w:val="00FC7DA6"/>
    <w:pPr>
      <w:spacing w:after="120"/>
      <w:ind w:left="1440" w:right="1440"/>
    </w:pPr>
  </w:style>
  <w:style w:type="character" w:customStyle="1" w:styleId="Subscript">
    <w:name w:val="Subscript"/>
    <w:rsid w:val="00FC7DA6"/>
    <w:rPr>
      <w:sz w:val="16"/>
      <w:vertAlign w:val="subscript"/>
    </w:rPr>
  </w:style>
  <w:style w:type="character" w:customStyle="1" w:styleId="Superscript">
    <w:name w:val="Superscript"/>
    <w:rsid w:val="00FC7DA6"/>
    <w:rPr>
      <w:sz w:val="16"/>
      <w:vertAlign w:val="superscript"/>
    </w:rPr>
  </w:style>
  <w:style w:type="character" w:customStyle="1" w:styleId="Symbols">
    <w:name w:val="Symbols"/>
    <w:rsid w:val="00FC7DA6"/>
    <w:rPr>
      <w:rFonts w:ascii="Symbol" w:hAnsi="Symbol"/>
    </w:rPr>
  </w:style>
  <w:style w:type="character" w:customStyle="1" w:styleId="MenuOptions">
    <w:name w:val="Menu Options"/>
    <w:rsid w:val="00FC7DA6"/>
    <w:rPr>
      <w:rFonts w:ascii="Arial Narrow" w:hAnsi="Arial Narrow"/>
      <w:smallCaps/>
    </w:rPr>
  </w:style>
  <w:style w:type="character" w:customStyle="1" w:styleId="Buttons">
    <w:name w:val="Buttons"/>
    <w:rsid w:val="00FC7DA6"/>
    <w:rPr>
      <w:b/>
    </w:rPr>
  </w:style>
  <w:style w:type="character" w:customStyle="1" w:styleId="Underlined">
    <w:name w:val="Underlined"/>
    <w:rsid w:val="00FC7DA6"/>
    <w:rPr>
      <w:u w:val="single"/>
    </w:rPr>
  </w:style>
  <w:style w:type="paragraph" w:customStyle="1" w:styleId="TableBodyTextRight">
    <w:name w:val="Table Body Text Right"/>
    <w:basedOn w:val="TableBodyText"/>
    <w:rsid w:val="00FC7DA6"/>
    <w:pPr>
      <w:widowControl w:val="0"/>
      <w:autoSpaceDE w:val="0"/>
      <w:autoSpaceDN w:val="0"/>
      <w:adjustRightInd w:val="0"/>
      <w:jc w:val="right"/>
    </w:pPr>
    <w:rPr>
      <w:rFonts w:cs="Arial"/>
      <w:szCs w:val="18"/>
    </w:rPr>
  </w:style>
  <w:style w:type="paragraph" w:customStyle="1" w:styleId="CopyrightText">
    <w:name w:val="Copyright Text"/>
    <w:basedOn w:val="BodyText"/>
    <w:rsid w:val="00FC7DA6"/>
    <w:rPr>
      <w:sz w:val="18"/>
    </w:rPr>
  </w:style>
  <w:style w:type="paragraph" w:customStyle="1" w:styleId="BodySmallRight">
    <w:name w:val="Body Small Right"/>
    <w:basedOn w:val="BodyTextRight"/>
    <w:rsid w:val="00FC7DA6"/>
    <w:rPr>
      <w:sz w:val="18"/>
      <w:szCs w:val="18"/>
    </w:rPr>
  </w:style>
  <w:style w:type="paragraph" w:customStyle="1" w:styleId="MarginEdition">
    <w:name w:val="Margin Edition"/>
    <w:basedOn w:val="MarginNote"/>
    <w:rsid w:val="00FC7DA6"/>
    <w:pPr>
      <w:spacing w:before="0" w:after="0"/>
    </w:pPr>
    <w:rPr>
      <w:rFonts w:ascii="Times New Roman" w:hAnsi="Times New Roman"/>
      <w:color w:val="999999"/>
    </w:rPr>
  </w:style>
  <w:style w:type="paragraph" w:customStyle="1" w:styleId="Spacer">
    <w:name w:val="Spacer"/>
    <w:basedOn w:val="Normal"/>
    <w:rsid w:val="00FC7DA6"/>
    <w:rPr>
      <w:sz w:val="2"/>
      <w:szCs w:val="2"/>
    </w:rPr>
  </w:style>
  <w:style w:type="character" w:customStyle="1" w:styleId="Small">
    <w:name w:val="Small"/>
    <w:rsid w:val="00FC7DA6"/>
    <w:rPr>
      <w:sz w:val="16"/>
    </w:rPr>
  </w:style>
  <w:style w:type="paragraph" w:customStyle="1" w:styleId="WideTable">
    <w:name w:val="Wide Table"/>
    <w:basedOn w:val="Normal"/>
    <w:rsid w:val="00FC7DA6"/>
    <w:pPr>
      <w:ind w:left="-1418"/>
    </w:pPr>
    <w:rPr>
      <w:sz w:val="2"/>
      <w:szCs w:val="2"/>
    </w:rPr>
  </w:style>
  <w:style w:type="character" w:styleId="PageNumber">
    <w:name w:val="page number"/>
    <w:rsid w:val="00FC7DA6"/>
  </w:style>
  <w:style w:type="paragraph" w:styleId="Quote">
    <w:name w:val="Quote"/>
    <w:basedOn w:val="Heading1"/>
    <w:link w:val="QuoteChar"/>
    <w:qFormat/>
    <w:rsid w:val="00FC7DA6"/>
    <w:rPr>
      <w:b w:val="0"/>
      <w:sz w:val="72"/>
      <w:szCs w:val="72"/>
      <w:lang w:val="en-NZ"/>
    </w:rPr>
  </w:style>
  <w:style w:type="character" w:customStyle="1" w:styleId="QuoteChar">
    <w:name w:val="Quote Char"/>
    <w:link w:val="Quote"/>
    <w:rsid w:val="00FC7D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DA6"/>
    <w:pPr>
      <w:pageBreakBefore/>
    </w:pPr>
  </w:style>
  <w:style w:type="paragraph" w:customStyle="1" w:styleId="Border">
    <w:name w:val="Border"/>
    <w:basedOn w:val="Normal"/>
    <w:qFormat/>
    <w:rsid w:val="00FC7DA6"/>
    <w:pPr>
      <w:pBdr>
        <w:top w:val="single" w:sz="18" w:space="1" w:color="auto"/>
      </w:pBdr>
    </w:pPr>
    <w:rPr>
      <w:rFonts w:ascii="Times New Roman" w:hAnsi="Times New Roman"/>
      <w:color w:val="FFFFFF"/>
      <w:sz w:val="2"/>
    </w:rPr>
  </w:style>
  <w:style w:type="character" w:styleId="IntenseEmphasis">
    <w:name w:val="Intense Emphasis"/>
    <w:uiPriority w:val="21"/>
    <w:qFormat/>
    <w:rsid w:val="00FC7DA6"/>
    <w:rPr>
      <w:b/>
      <w:bCs/>
      <w:i/>
      <w:iCs/>
      <w:color w:val="auto"/>
    </w:rPr>
  </w:style>
  <w:style w:type="paragraph" w:styleId="IntenseQuote">
    <w:name w:val="Intense Quote"/>
    <w:basedOn w:val="Normal"/>
    <w:next w:val="Normal"/>
    <w:link w:val="IntenseQuoteChar"/>
    <w:uiPriority w:val="30"/>
    <w:qFormat/>
    <w:rsid w:val="00FC7D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7DA6"/>
    <w:rPr>
      <w:rFonts w:ascii="Courier New" w:eastAsia="Times New Roman" w:hAnsi="Courier New" w:cs="Times New Roman"/>
      <w:b/>
      <w:bCs/>
      <w:i/>
      <w:iCs/>
      <w:szCs w:val="20"/>
      <w:lang w:val="en-US" w:eastAsia="en-US"/>
    </w:rPr>
  </w:style>
  <w:style w:type="character" w:styleId="SubtleReference">
    <w:name w:val="Subtle Reference"/>
    <w:uiPriority w:val="31"/>
    <w:qFormat/>
    <w:rsid w:val="00FC7DA6"/>
    <w:rPr>
      <w:smallCaps/>
      <w:color w:val="auto"/>
      <w:u w:val="single"/>
    </w:rPr>
  </w:style>
  <w:style w:type="character" w:styleId="IntenseReference">
    <w:name w:val="Intense Reference"/>
    <w:uiPriority w:val="32"/>
    <w:qFormat/>
    <w:rsid w:val="00FC7DA6"/>
    <w:rPr>
      <w:b/>
      <w:bCs/>
      <w:smallCaps/>
      <w:color w:val="auto"/>
      <w:spacing w:val="5"/>
      <w:u w:val="single"/>
    </w:rPr>
  </w:style>
  <w:style w:type="paragraph" w:customStyle="1" w:styleId="2ColumnHeading">
    <w:name w:val="2Column Heading"/>
    <w:basedOn w:val="BodyText"/>
    <w:qFormat/>
    <w:rsid w:val="00FC7DA6"/>
    <w:pPr>
      <w:spacing w:after="60"/>
      <w:ind w:left="-2268"/>
    </w:pPr>
    <w:rPr>
      <w:b/>
    </w:rPr>
  </w:style>
  <w:style w:type="paragraph" w:customStyle="1" w:styleId="Heading1TOC">
    <w:name w:val="Heading1 TOC"/>
    <w:basedOn w:val="Normal"/>
    <w:qFormat/>
    <w:rsid w:val="00FC7DA6"/>
    <w:pPr>
      <w:spacing w:before="240" w:after="120"/>
    </w:pPr>
    <w:rPr>
      <w:rFonts w:ascii="Times New Roman" w:hAnsi="Times New Roman"/>
      <w:b/>
      <w:sz w:val="32"/>
    </w:rPr>
  </w:style>
  <w:style w:type="paragraph" w:customStyle="1" w:styleId="Heading2TOC">
    <w:name w:val="Heading2 TOC"/>
    <w:basedOn w:val="Normal"/>
    <w:qFormat/>
    <w:rsid w:val="00FC7DA6"/>
    <w:pPr>
      <w:spacing w:before="240" w:after="60"/>
    </w:pPr>
    <w:rPr>
      <w:rFonts w:ascii="Times New Roman" w:hAnsi="Times New Roman"/>
      <w:b/>
      <w:sz w:val="28"/>
    </w:rPr>
  </w:style>
  <w:style w:type="character" w:customStyle="1" w:styleId="Underline">
    <w:name w:val="Underline"/>
    <w:qFormat/>
    <w:rsid w:val="00FC7DA6"/>
    <w:rPr>
      <w:u w:val="single"/>
    </w:rPr>
  </w:style>
  <w:style w:type="character" w:customStyle="1" w:styleId="BoldandItalics">
    <w:name w:val="Bold and Italics"/>
    <w:qFormat/>
    <w:rsid w:val="00FC7DA6"/>
    <w:rPr>
      <w:b/>
      <w:i/>
      <w:u w:val="none"/>
    </w:rPr>
  </w:style>
  <w:style w:type="paragraph" w:styleId="BalloonText">
    <w:name w:val="Balloon Text"/>
    <w:basedOn w:val="Normal"/>
    <w:link w:val="BalloonTextChar"/>
    <w:rsid w:val="00FC7DA6"/>
    <w:rPr>
      <w:rFonts w:ascii="Tahoma" w:hAnsi="Tahoma" w:cs="Tahoma"/>
      <w:sz w:val="16"/>
      <w:szCs w:val="16"/>
    </w:rPr>
  </w:style>
  <w:style w:type="character" w:customStyle="1" w:styleId="BalloonTextChar">
    <w:name w:val="Balloon Text Char"/>
    <w:link w:val="BalloonText"/>
    <w:rsid w:val="00FC7D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D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7D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2730</Words>
  <Characters>17713</Characters>
  <Application>Microsoft Office Word</Application>
  <DocSecurity>0</DocSecurity>
  <Lines>657</Lines>
  <Paragraphs>254</Paragraphs>
  <ScaleCrop>false</ScaleCrop>
  <Company>Author-it Software Corporation Ltd.</Company>
  <LinksUpToDate>false</LinksUpToDate>
  <CharactersWithSpaces>20250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UETTDRTS30A Design power systems secondary isolation instructional documents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