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365" w:rsidP="00403365">
      <w:pPr>
        <w:pStyle w:val="Title"/>
      </w:pPr>
      <w:r>
        <w:fldChar w:fldCharType="begin"/>
      </w:r>
      <w:r>
        <w:instrText xml:space="preserve"> TITLE   \* MERGEFORMAT </w:instrText>
      </w:r>
      <w:r>
        <w:fldChar w:fldCharType="separate"/>
      </w:r>
      <w:r>
        <w:t>UETTDRTS29A Develop power systems secondary isolation instructional documents</w:t>
      </w:r>
      <w:r>
        <w:fldChar w:fldCharType="end"/>
      </w:r>
    </w:p>
    <w:p w:rsidR="00403365" w:rsidP="00403365">
      <w:pPr>
        <w:pStyle w:val="Version"/>
        <w:sectPr w:rsidSect="00E03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BF2" w:rsidP="00E03BF2">
      <w:pPr>
        <w:pStyle w:val="SuperHeading"/>
      </w:pPr>
      <w:r w:rsidRPr="00E03BF2">
        <w:t>UETTDRTS29A Develop power systems secondary isolation instructional documents</w:t>
      </w:r>
    </w:p>
    <w:p w:rsidR="00000000" w:rsidRPr="00E03BF2" w:rsidP="00E03BF2">
      <w:pPr>
        <w:pStyle w:val="Heading1"/>
      </w:pPr>
      <w:bookmarkStart w:id="1" w:name="O_464546"/>
      <w:bookmarkEnd w:id="1"/>
      <w:r w:rsidRPr="00E03BF2">
        <w:t>Modification History</w:t>
      </w:r>
    </w:p>
    <w:p w:rsidR="00000000" w:rsidRPr="00E03BF2" w:rsidP="00E03BF2">
      <w:pPr>
        <w:pStyle w:val="BodyText"/>
      </w:pPr>
      <w:r w:rsidRPr="00E03BF2">
        <w:t>Not applicable.</w:t>
      </w:r>
    </w:p>
    <w:p w:rsidR="00000000" w:rsidRPr="00E03BF2" w:rsidP="00E03BF2">
      <w:pPr>
        <w:pStyle w:val="AllowPageBreak"/>
      </w:pPr>
    </w:p>
    <w:p w:rsidR="00000000" w:rsidRPr="00E03BF2" w:rsidP="00E03BF2">
      <w:pPr>
        <w:pStyle w:val="Heading1"/>
      </w:pPr>
      <w:bookmarkStart w:id="2" w:name="O_464544"/>
      <w:bookmarkEnd w:id="2"/>
      <w:r w:rsidRPr="00E03BF2">
        <w:t>Unit Descriptor</w:t>
      </w:r>
    </w:p>
    <w:tbl>
      <w:tblPr>
        <w:tblW w:w="0" w:type="auto"/>
        <w:tblLayout w:type="fixed"/>
        <w:tblCellMar>
          <w:left w:w="62" w:type="dxa"/>
          <w:right w:w="62" w:type="dxa"/>
        </w:tblCellMar>
        <w:tblLook w:val="0000"/>
      </w:tblPr>
      <w:tblGrid>
        <w:gridCol w:w="2700"/>
        <w:gridCol w:w="5760"/>
      </w:tblGrid>
      <w:tr w:rsidTr="004033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1)</w:t>
            </w:r>
            <w:r w:rsidRPr="00E03BF2">
              <w:t xml:space="preserve"> </w:t>
            </w:r>
            <w:r w:rsidRPr="00E03BF2">
              <w:rPr>
                <w:rStyle w:val="SpecialBold"/>
              </w:rPr>
              <w:t>Scope:</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03BF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1.1) Descriptor</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This Competency Standard Unit covers the skills needed to develop secondary isolations. This will involve analysis of tripping and a thorough understanding of secondary voltage and current, DC, alarm, metering and communication circuits. It also involves a</w:t>
            </w:r>
            <w:r w:rsidRPr="00E03BF2">
              <w:t>ccurate communication of this information in a format acceptable to the Operating or Testing authority.</w:t>
            </w:r>
          </w:p>
        </w:tc>
      </w:tr>
    </w:tbl>
    <w:p w:rsidR="00000000" w:rsidRPr="00E03BF2" w:rsidP="00E03BF2">
      <w:pPr>
        <w:pStyle w:val="BodyText"/>
      </w:pPr>
    </w:p>
    <w:p w:rsidR="00000000" w:rsidRPr="00E03BF2" w:rsidP="00E03BF2">
      <w:pPr>
        <w:pStyle w:val="AllowPageBreak"/>
      </w:pPr>
    </w:p>
    <w:p w:rsidR="00000000" w:rsidRPr="00E03BF2" w:rsidP="00E03BF2">
      <w:pPr>
        <w:pStyle w:val="Heading1"/>
      </w:pPr>
      <w:bookmarkStart w:id="3" w:name="O_464533"/>
      <w:bookmarkEnd w:id="3"/>
      <w:r w:rsidRPr="00E03BF2">
        <w:t>Application of the Unit</w:t>
      </w:r>
    </w:p>
    <w:tbl>
      <w:tblPr>
        <w:tblW w:w="0" w:type="auto"/>
        <w:tblLayout w:type="fixed"/>
        <w:tblCellMar>
          <w:left w:w="62" w:type="dxa"/>
          <w:right w:w="62" w:type="dxa"/>
        </w:tblCellMar>
        <w:tblLook w:val="0000"/>
      </w:tblPr>
      <w:tblGrid>
        <w:gridCol w:w="2672"/>
        <w:gridCol w:w="5699"/>
      </w:tblGrid>
      <w:tr w:rsidTr="004033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2)</w:t>
            </w:r>
          </w:p>
        </w:tc>
      </w:tr>
      <w:tr w:rsidTr="004033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This competency standards unit is intended to apply to any recognised development program that leads to the acquisition of a formal award at AQF level 5 or higher.</w:t>
            </w:r>
          </w:p>
        </w:tc>
      </w:tr>
    </w:tbl>
    <w:p w:rsidR="00000000" w:rsidRPr="00E03BF2" w:rsidP="00E03BF2">
      <w:pPr>
        <w:pStyle w:val="BodyText"/>
      </w:pPr>
    </w:p>
    <w:p w:rsidR="00000000" w:rsidRPr="00E03BF2" w:rsidP="00E03BF2">
      <w:pPr>
        <w:pStyle w:val="AllowPageBreak"/>
      </w:pPr>
    </w:p>
    <w:p w:rsidR="00000000" w:rsidRPr="00E03BF2" w:rsidP="00E03BF2">
      <w:pPr>
        <w:pStyle w:val="Heading1"/>
      </w:pPr>
      <w:bookmarkStart w:id="4" w:name="O_464540"/>
      <w:bookmarkEnd w:id="4"/>
      <w:r w:rsidRPr="00E03BF2">
        <w:t>Licensing/Regulatory Information</w:t>
      </w:r>
    </w:p>
    <w:tbl>
      <w:tblPr>
        <w:tblW w:w="0" w:type="auto"/>
        <w:tblLayout w:type="fixed"/>
        <w:tblCellMar>
          <w:left w:w="62" w:type="dxa"/>
          <w:right w:w="62" w:type="dxa"/>
        </w:tblCellMar>
        <w:tblLook w:val="0000"/>
      </w:tblPr>
      <w:tblGrid>
        <w:gridCol w:w="2700"/>
        <w:gridCol w:w="5760"/>
      </w:tblGrid>
      <w:tr w:rsidTr="004033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 xml:space="preserve">3) </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The skills and</w:t>
            </w:r>
            <w:r w:rsidRPr="00E03BF2">
              <w:t xml:space="preserve"> knowledge described in this unit may require a licence/registration to practice in the work place subject to regulations for undertaking of electrical work. Practice in workplace and during training is also subject to regulations directly related to Occup</w:t>
            </w:r>
            <w:r w:rsidRPr="00E03BF2">
              <w:t xml:space="preserve">ational Health and Safety, electricity/telecommunications/gas/water industry safety and compliance, industrial relations, environmental protection, anti discrimination and training. </w:t>
            </w:r>
            <w:r w:rsidRPr="00E03BF2">
              <w:t>Commonwealth, State/Territory or Local Government legislation and regulati</w:t>
            </w:r>
            <w:r w:rsidRPr="00E03BF2">
              <w:t>ons may exist that limits the age of operating certain equipment.</w:t>
            </w:r>
          </w:p>
        </w:tc>
      </w:tr>
    </w:tbl>
    <w:p w:rsidR="00000000" w:rsidRPr="00E03BF2" w:rsidP="00E03BF2">
      <w:pPr>
        <w:pStyle w:val="BodyText"/>
      </w:pPr>
    </w:p>
    <w:p w:rsidR="00000000" w:rsidRPr="00E03BF2" w:rsidP="00E03BF2">
      <w:pPr>
        <w:pStyle w:val="AllowPageBreak"/>
      </w:pPr>
    </w:p>
    <w:p w:rsidR="00000000" w:rsidRPr="00E03BF2" w:rsidP="00E03BF2">
      <w:pPr>
        <w:pStyle w:val="Heading1"/>
      </w:pPr>
      <w:bookmarkStart w:id="5" w:name="O_464541"/>
      <w:bookmarkEnd w:id="5"/>
      <w:r w:rsidRPr="00E03BF2">
        <w:t>Pre-Requisites</w:t>
      </w:r>
    </w:p>
    <w:tbl>
      <w:tblPr>
        <w:tblW w:w="0" w:type="auto"/>
        <w:tblLayout w:type="fixed"/>
        <w:tblCellMar>
          <w:left w:w="62" w:type="dxa"/>
          <w:right w:w="62" w:type="dxa"/>
        </w:tblCellMar>
        <w:tblLook w:val="0000"/>
      </w:tblPr>
      <w:tblGrid>
        <w:gridCol w:w="2700"/>
        <w:gridCol w:w="11"/>
        <w:gridCol w:w="2059"/>
        <w:gridCol w:w="3690"/>
      </w:tblGrid>
      <w:tr w:rsidTr="004033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 xml:space="preserve">4) </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4.1)</w:t>
            </w:r>
          </w:p>
        </w:tc>
      </w:tr>
      <w:tr w:rsidTr="00403365">
        <w:tblPrEx>
          <w:tblW w:w="0" w:type="auto"/>
          <w:tblLayout w:type="fixed"/>
          <w:tblCellMar>
            <w:left w:w="62" w:type="dxa"/>
            <w:right w:w="62" w:type="dxa"/>
          </w:tblCellMar>
          <w:tblLook w:val="0000"/>
        </w:tblPrEx>
        <w:tc>
          <w:tcPr>
            <w:tcW w:w="271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9" w:type="dxa"/>
            <w:gridSpan w:val="2"/>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Granting of competency in this unit shall be made only after competency in the following unit(s) has/have been confirmed.</w:t>
            </w:r>
          </w:p>
          <w:p w:rsidR="00000000" w:rsidRPr="00E03BF2" w:rsidP="00E03BF2">
            <w:pPr>
              <w:pStyle w:val="BodyText"/>
            </w:pPr>
            <w:r w:rsidRPr="00E03BF2">
              <w:t xml:space="preserve">Where pre-requisite pathways have been identified. All competencies in the Common Unit Group must be have been completed plus all the </w:t>
            </w:r>
            <w:r w:rsidRPr="00E03BF2">
              <w:t>competencies in one (1) of the identified Pathway Unit Group(s):</w:t>
            </w:r>
          </w:p>
          <w:p w:rsidR="00000000" w:rsidP="00E03BF2">
            <w:pPr>
              <w:pStyle w:val="BodyText"/>
              <w:rPr>
                <w:lang w:val="en-NZ"/>
              </w:rPr>
            </w:pPr>
            <w:r w:rsidRPr="00E03BF2">
              <w:t>Common Unit Group</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Unit Code</w:t>
            </w:r>
            <w:r w:rsidRPr="00E03BF2">
              <w:tab/>
            </w:r>
          </w:p>
        </w:tc>
        <w:tc>
          <w:tcPr>
            <w:tcW w:w="3690" w:type="dxa"/>
            <w:tcBorders>
              <w:top w:val="nil"/>
              <w:left w:val="nil"/>
              <w:bottom w:val="nil"/>
              <w:right w:val="nil"/>
            </w:tcBorders>
            <w:tcMar>
              <w:top w:w="0" w:type="dxa"/>
              <w:left w:w="62" w:type="dxa"/>
              <w:bottom w:w="0" w:type="dxa"/>
              <w:right w:w="62" w:type="dxa"/>
            </w:tcMar>
            <w:vAlign w:val="bottom"/>
          </w:tcPr>
          <w:p w:rsidR="00000000" w:rsidP="00E03BF2">
            <w:pPr>
              <w:pStyle w:val="BodyText"/>
              <w:rPr>
                <w:lang w:val="en-NZ"/>
              </w:rPr>
            </w:pPr>
            <w:r w:rsidRPr="00E03BF2">
              <w:t>Unit Title</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E03BF2">
            <w:pPr>
              <w:pStyle w:val="BodyText"/>
              <w:rPr>
                <w:lang w:val="en-NZ"/>
              </w:rPr>
            </w:pPr>
            <w:r w:rsidRPr="00E03BF2">
              <w:t>Use engineering applications software on personal computers</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Apply Occupational Health and Safety regulations, codes and practices in the workplace</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Fabricate, assemble and dismantle utilities industry components</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Solve problems in d.c. Circuits</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Use drawings, diagrams, schedules, standards, codes and specifications</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UEENEEE124A</w:t>
            </w:r>
          </w:p>
        </w:tc>
        <w:tc>
          <w:tcPr>
            <w:tcW w:w="369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Compile and produce an energy sector detailed report</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Provide engineering solutions for problems in complex multiple path circuits problems</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Prov</w:t>
            </w:r>
            <w:r w:rsidRPr="00E03BF2">
              <w:t>ide solutions to basic engineering computational problems</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Solve problems in electromagnetic devices and related circuits</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Solve problems in electromagnetic devices and related circuits</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Provide engineering solutions to problems in complex polyphase power circuits</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Apply sustainable energy and environmental procedures</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 xml:space="preserve">Working safely near live electrical apparatus </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Implement and monitor the power sys</w:t>
            </w:r>
            <w:r w:rsidRPr="00E03BF2">
              <w:t>tem organisational OHS policies, procedures and programs</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gridSpan w:val="2"/>
            <w:tcBorders>
              <w:top w:val="nil"/>
              <w:left w:val="nil"/>
              <w:bottom w:val="nil"/>
              <w:right w:val="nil"/>
            </w:tcBorders>
            <w:tcMar>
              <w:top w:w="0" w:type="dxa"/>
              <w:left w:w="62" w:type="dxa"/>
              <w:bottom w:w="0" w:type="dxa"/>
              <w:right w:w="62" w:type="dxa"/>
            </w:tcMar>
            <w:vAlign w:val="center"/>
          </w:tcPr>
          <w:p w:rsidR="00000000" w:rsidP="00E03BF2">
            <w:pPr>
              <w:pStyle w:val="BodyText"/>
              <w:rPr>
                <w:lang w:val="en-NZ"/>
              </w:rPr>
            </w:pPr>
            <w:r w:rsidRPr="00E03BF2">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E03BF2" w:rsidP="00E03BF2">
            <w:pPr>
              <w:pStyle w:val="BodyText"/>
            </w:pPr>
            <w:r w:rsidRPr="00E03BF2">
              <w:t>Implement and monitor the power system environmental and sustainable energy management policies and procedures</w:t>
            </w:r>
          </w:p>
        </w:tc>
      </w:tr>
    </w:tbl>
    <w:p w:rsidR="00000000" w:rsidRPr="00E03BF2" w:rsidP="00E03BF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0336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 xml:space="preserve">4.2) </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Participants are best equipped to achieve this unit if they have reading, writing and numeracy skills indicated by the following scales. Description of each scale is given in Volume 2, Part 3 “Literacy and Numeracy”</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Reading</w:t>
            </w:r>
          </w:p>
        </w:tc>
        <w:tc>
          <w:tcPr>
            <w:tcW w:w="81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5</w:t>
            </w:r>
          </w:p>
        </w:tc>
        <w:tc>
          <w:tcPr>
            <w:tcW w:w="99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Writing</w:t>
            </w:r>
          </w:p>
        </w:tc>
        <w:tc>
          <w:tcPr>
            <w:tcW w:w="90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5</w:t>
            </w:r>
          </w:p>
        </w:tc>
        <w:tc>
          <w:tcPr>
            <w:tcW w:w="126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Numeracy</w:t>
            </w:r>
          </w:p>
        </w:tc>
        <w:tc>
          <w:tcPr>
            <w:tcW w:w="72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5</w:t>
            </w:r>
          </w:p>
        </w:tc>
      </w:tr>
    </w:tbl>
    <w:p w:rsidR="00000000" w:rsidRPr="00E03BF2" w:rsidP="00E03BF2">
      <w:pPr>
        <w:pStyle w:val="BodyText"/>
      </w:pPr>
    </w:p>
    <w:p w:rsidR="00000000" w:rsidRPr="00E03BF2" w:rsidP="00E03BF2">
      <w:pPr>
        <w:pStyle w:val="AllowPageBreak"/>
      </w:pPr>
    </w:p>
    <w:p w:rsidR="00000000" w:rsidRPr="00E03BF2" w:rsidP="00E03BF2">
      <w:pPr>
        <w:pStyle w:val="Heading1"/>
      </w:pPr>
      <w:bookmarkStart w:id="6" w:name="O_464537"/>
      <w:bookmarkEnd w:id="6"/>
      <w:r w:rsidRPr="00E03BF2">
        <w:t>Employability Skills Information</w:t>
      </w:r>
    </w:p>
    <w:tbl>
      <w:tblPr>
        <w:tblW w:w="0" w:type="auto"/>
        <w:tblLayout w:type="fixed"/>
        <w:tblCellMar>
          <w:left w:w="62" w:type="dxa"/>
          <w:right w:w="62" w:type="dxa"/>
        </w:tblCellMar>
        <w:tblLook w:val="0000"/>
      </w:tblPr>
      <w:tblGrid>
        <w:gridCol w:w="2700"/>
        <w:gridCol w:w="5760"/>
      </w:tblGrid>
      <w:tr w:rsidTr="004033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 xml:space="preserve">5) </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The required outcomes described in this unit of competency contain applicable facets of Employability Skills. The Employability Skills Summary of the qualification in which this u</w:t>
            </w:r>
            <w:r w:rsidRPr="00E03BF2">
              <w:t>nit of competency is packaged will assist in identifying Employability Skill requirements.</w:t>
            </w:r>
          </w:p>
        </w:tc>
      </w:tr>
    </w:tbl>
    <w:p w:rsidR="00000000" w:rsidRPr="00E03BF2" w:rsidP="00E03BF2">
      <w:pPr>
        <w:pStyle w:val="BodyText"/>
      </w:pPr>
    </w:p>
    <w:p w:rsidR="00000000" w:rsidRPr="00E03BF2" w:rsidP="00E03BF2">
      <w:pPr>
        <w:pStyle w:val="AllowPageBreak"/>
      </w:pPr>
    </w:p>
    <w:p w:rsidR="00000000" w:rsidRPr="00E03BF2" w:rsidP="00E03BF2">
      <w:pPr>
        <w:pStyle w:val="Heading1"/>
      </w:pPr>
      <w:bookmarkStart w:id="7" w:name="O_464536"/>
      <w:bookmarkEnd w:id="7"/>
      <w:r w:rsidRPr="00E03BF2">
        <w:t>Elements and Performance Criteria Pre-Content</w:t>
      </w:r>
    </w:p>
    <w:tbl>
      <w:tblPr>
        <w:tblW w:w="0" w:type="auto"/>
        <w:tblLayout w:type="fixed"/>
        <w:tblCellMar>
          <w:left w:w="62" w:type="dxa"/>
          <w:right w:w="62" w:type="dxa"/>
        </w:tblCellMar>
        <w:tblLook w:val="0000"/>
      </w:tblPr>
      <w:tblGrid>
        <w:gridCol w:w="2700"/>
        <w:gridCol w:w="5760"/>
      </w:tblGrid>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6)</w:t>
            </w:r>
            <w:r w:rsidRPr="00E03BF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Performance Criteria describe the required performance needed to demonstrate achievement of the element. Assessment of performance is to be consistent with the Evidence Guide.</w:t>
            </w:r>
          </w:p>
        </w:tc>
      </w:tr>
    </w:tbl>
    <w:p w:rsidR="00000000" w:rsidRPr="00E03BF2" w:rsidP="00E03BF2">
      <w:pPr>
        <w:pStyle w:val="BodyText"/>
      </w:pPr>
    </w:p>
    <w:p w:rsidR="00000000" w:rsidRPr="00E03BF2" w:rsidP="00E03BF2">
      <w:pPr>
        <w:pStyle w:val="AllowPageBreak"/>
      </w:pPr>
    </w:p>
    <w:p w:rsidR="00000000" w:rsidRPr="00E03BF2" w:rsidP="00E03BF2">
      <w:pPr>
        <w:pStyle w:val="Heading1"/>
      </w:pPr>
      <w:bookmarkStart w:id="8" w:name="O_464535"/>
      <w:bookmarkEnd w:id="8"/>
      <w:r w:rsidRPr="00E03BF2">
        <w:t>Elements and Performance Criteria</w:t>
      </w:r>
    </w:p>
    <w:tbl>
      <w:tblPr>
        <w:tblW w:w="0" w:type="auto"/>
        <w:tblLayout w:type="fixed"/>
        <w:tblCellMar>
          <w:left w:w="62" w:type="dxa"/>
          <w:right w:w="62" w:type="dxa"/>
        </w:tblCellMar>
        <w:tblLook w:val="0000"/>
      </w:tblPr>
      <w:tblGrid>
        <w:gridCol w:w="403"/>
        <w:gridCol w:w="2297"/>
        <w:gridCol w:w="839"/>
        <w:gridCol w:w="4921"/>
      </w:tblGrid>
      <w:tr w:rsidTr="0040336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PERFORMANCE CRITER</w:t>
            </w:r>
            <w:r w:rsidRPr="00E03BF2">
              <w:rPr>
                <w:rStyle w:val="SpecialBold"/>
              </w:rPr>
              <w:t>IA</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w:t>
            </w:r>
          </w:p>
        </w:tc>
        <w:tc>
          <w:tcPr>
            <w:tcW w:w="2297"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Plan for the development of secondary isolation instructional documents</w:t>
            </w: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1.1</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 xml:space="preserve">OHS practices/procedures and environmental and sustainable energy procedures, which may influence the development of secondary isolation instructional </w:t>
            </w:r>
            <w:r w:rsidRPr="00E03BF2">
              <w:t>documents, are reviewed and determined.</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1.2</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Purpose of the development of secondary isolation instructional documents is established after data is analysed and expected outcomes of the work are confirmed with the appropriate personnel.</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1.3</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Organisati</w:t>
            </w:r>
            <w:r w:rsidRPr="00E03BF2">
              <w:t>onal established procedures on policies and specifications for the development of secondary isolation instructional documents are obtained or established with the appropriate personnel.</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1.4</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Testing procedures are discussed with/directed to the appropriate personnel in order to ascertain the project brief.</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1.5</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Testing parameters are established from organisational established procedures on policies and specifications.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1.6</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Equipment/tools</w:t>
            </w:r>
            <w:r w:rsidRPr="00E03BF2">
              <w:t xml:space="preserve"> and personal protective equipment are selected based on specified Performance Criteria and established procedures.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1.7</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Work roles and tasks are allocated according to requirements and individuals’ competencies.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1.8</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Work is prioritised and sequenced for the most efficient/effective outcome, completed within an acceptable timeframe to a quality standard and in accordance with established procedures.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1.9</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Liaison and communication issues with other/authorised personne</w:t>
            </w:r>
            <w:r w:rsidRPr="00E03BF2">
              <w:t>l, authorities, clients and land owners are resolved and activities coordinated to carry out work.</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1.10</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Risk control measures are identified, prioritised and evaluated against the work schedule.</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1.11</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Relevant work permits are secured to coordinate th</w:t>
            </w:r>
            <w:r w:rsidRPr="00E03BF2">
              <w:t>e performance of work according to requirements and/or established procedures.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w:t>
            </w:r>
          </w:p>
        </w:tc>
        <w:tc>
          <w:tcPr>
            <w:tcW w:w="2297" w:type="dxa"/>
            <w:vMerge w:val="restart"/>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Carry out the development of secondary isolation instructional documents</w:t>
            </w: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2.1</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Circuit/systems modelling is used to evaluate alternative proposals as per established procedures.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2.2</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OHS and sustainable energy principles, functionality and practices to reduce the incidents of accidents and minimise waste are incorporated into the p</w:t>
            </w:r>
            <w:r w:rsidRPr="00E03BF2">
              <w:t>roject in accordance with requirements and/or established procedures.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2.3</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Development of secondary isolation instructional documents decisions are made on the basis of safety and effective outcomes according to requirements and/or established procedures</w:t>
            </w:r>
            <w:r w:rsidRPr="00E03BF2">
              <w:t>.</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2.4</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Mathematical and/or engineering models of the development of secondary isolation instructional documents are used to analyse the effectiveness of the finished project as per requirements and established procedures.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2.5</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Technical advice is given regarding potential hazards, safety risks and control measures so that monitoring and preventative action can be undertaken and/or appropriate authorities consulted, where necessary, in accordance with requirements and established</w:t>
            </w:r>
            <w:r w:rsidRPr="00E03BF2">
              <w:t xml:space="preserve"> procedures.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2.6</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Essential knowledge and associated skills are applied to analyse specific data and compare it with compliance specifications to ensure completion of the project within an agreed timeframe according to requirements.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2.7</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Testing of the</w:t>
            </w:r>
            <w:r w:rsidRPr="00E03BF2">
              <w:t xml:space="preserve"> development of secondary isolation instructional documents is undertaken according to requirements and established procedures.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2.8</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Work teams/groups are arranged/coordinated/evaluated to ensure planned goals are met according to established procedures.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2.9</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Solutions to non-routine problems are identified and actioned, using acquired essential knowledge and associated skills, according to requirements.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2.10</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Quality of work is monitored against personal performance agreement and/or established organ</w:t>
            </w:r>
            <w:r w:rsidRPr="00E03BF2">
              <w:t>isational and professional standards.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2.11</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Strategic plans are developed incorporating organisation initiatives as per established procedures.</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3</w:t>
            </w:r>
          </w:p>
        </w:tc>
        <w:tc>
          <w:tcPr>
            <w:tcW w:w="2297"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Complete the development of secondary isolation instructional documents</w:t>
            </w: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3.1</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Final inspections of the develo</w:t>
            </w:r>
            <w:r w:rsidRPr="00E03BF2">
              <w:t>pment of secondary isolation instructional documents are undertaken to ensure they comply with all requirements and include all specifications and documentations needed to complete the project.</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3.2</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Appropriate personnel are notified of completion and reports and/or completion documents are finalised/commissioned.</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3.3</w:t>
            </w:r>
          </w:p>
        </w:tc>
        <w:tc>
          <w:tcPr>
            <w:tcW w:w="4921"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 xml:space="preserve">Reports and/or completion documents are submitted to relevant personnel/organisations for approval and, where applicable, statutory </w:t>
            </w:r>
            <w:r w:rsidRPr="00E03BF2">
              <w:t>or regulatory approval.</w:t>
            </w:r>
          </w:p>
        </w:tc>
      </w:tr>
      <w:tr w:rsidTr="00403365">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t>3.4</w:t>
            </w:r>
          </w:p>
        </w:tc>
        <w:tc>
          <w:tcPr>
            <w:tcW w:w="4921"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Approved copies of the development of secondary isolation instructional documents are issued and records are updated in accordance with established procedures.</w:t>
            </w:r>
          </w:p>
        </w:tc>
      </w:tr>
    </w:tbl>
    <w:p w:rsidR="00000000" w:rsidRPr="00E03BF2" w:rsidP="00E03BF2">
      <w:pPr>
        <w:pStyle w:val="BodyText"/>
      </w:pPr>
    </w:p>
    <w:p w:rsidR="00000000" w:rsidRPr="00E03BF2" w:rsidP="00E03BF2">
      <w:pPr>
        <w:pStyle w:val="AllowPageBreak"/>
      </w:pPr>
    </w:p>
    <w:p w:rsidR="00000000" w:rsidRPr="00E03BF2" w:rsidP="00E03BF2">
      <w:pPr>
        <w:pStyle w:val="Heading1"/>
      </w:pPr>
      <w:bookmarkStart w:id="9" w:name="O_464543"/>
      <w:bookmarkEnd w:id="9"/>
      <w:r w:rsidRPr="00E03BF2">
        <w:t>Required Skills and Knowledge</w:t>
      </w:r>
    </w:p>
    <w:tbl>
      <w:tblPr>
        <w:tblW w:w="0" w:type="auto"/>
        <w:tblLayout w:type="fixed"/>
        <w:tblCellMar>
          <w:left w:w="62" w:type="dxa"/>
          <w:right w:w="62" w:type="dxa"/>
        </w:tblCellMar>
        <w:tblLook w:val="0000"/>
      </w:tblPr>
      <w:tblGrid>
        <w:gridCol w:w="8460"/>
      </w:tblGrid>
      <w:tr w:rsidTr="004033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 xml:space="preserve">REQUIRED SKILLS </w:t>
            </w:r>
            <w:r w:rsidRPr="00E03BF2">
              <w:rPr>
                <w:rStyle w:val="SpecialBold"/>
              </w:rPr>
              <w:t>AND KNOWLEDGE</w:t>
            </w:r>
          </w:p>
        </w:tc>
      </w:tr>
      <w:tr w:rsidTr="0040336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8)</w:t>
            </w:r>
            <w:r w:rsidRPr="00E03BF2">
              <w:t xml:space="preserve"> Essential Knowledge and Associated Skills (EKAS): This describes the essential skills and knowledge and their level, required for this unit.</w:t>
            </w:r>
          </w:p>
          <w:p w:rsidR="00000000" w:rsidRPr="00E03BF2" w:rsidP="00E03BF2">
            <w:pPr>
              <w:pStyle w:val="BodyText"/>
            </w:pPr>
            <w:r w:rsidRPr="00E03BF2">
              <w:t xml:space="preserve">Evidence shall show that knowledge has been acquired of developing secondary isolation instructional documents. </w:t>
            </w:r>
          </w:p>
          <w:p w:rsidR="00000000" w:rsidRPr="00E03BF2" w:rsidP="00E03BF2">
            <w:pPr>
              <w:pStyle w:val="BodyText"/>
            </w:pPr>
            <w:r w:rsidRPr="00E03BF2">
              <w:t>All knowledge and skills detailed in this unit should be contextualised to current industry practices and technologies.</w:t>
            </w:r>
          </w:p>
          <w:p w:rsidR="00000000" w:rsidRPr="00E03BF2" w:rsidP="00E03BF2">
            <w:pPr>
              <w:pStyle w:val="BodyText"/>
            </w:pPr>
            <w:r w:rsidRPr="00E03BF2">
              <w:t xml:space="preserve">KS01-TTS29A </w:t>
            </w:r>
            <w:r w:rsidRPr="00E03BF2">
              <w:tab/>
              <w:t>Power syst</w:t>
            </w:r>
            <w:r w:rsidRPr="00E03BF2">
              <w:t>ems secondary isolation instructional documents</w:t>
            </w:r>
          </w:p>
          <w:p w:rsidR="00000000" w:rsidRPr="00E03BF2" w:rsidP="00E03BF2">
            <w:pPr>
              <w:pStyle w:val="BodyText"/>
            </w:pPr>
            <w:r w:rsidRPr="00E03BF2">
              <w:t xml:space="preserve">Evidence shall show an understanding of power systems secondary isolation instructional documents to an extent indicated by the following aspects: </w:t>
            </w:r>
          </w:p>
          <w:p w:rsidR="00000000" w:rsidRPr="00E03BF2" w:rsidP="00E03BF2">
            <w:pPr>
              <w:pStyle w:val="BodyText"/>
            </w:pPr>
            <w:r w:rsidRPr="00E03BF2">
              <w:t>T1</w:t>
            </w:r>
            <w:r w:rsidRPr="00E03BF2">
              <w:tab/>
              <w:t xml:space="preserve">OHS enterprise responsibilities encompassing: </w:t>
            </w:r>
          </w:p>
          <w:p w:rsidR="00000000" w:rsidRPr="00E03BF2" w:rsidP="00E03BF2">
            <w:pPr>
              <w:pStyle w:val="ListBullet"/>
            </w:pPr>
            <w:r w:rsidRPr="00E03BF2">
              <w:t>Provision</w:t>
            </w:r>
            <w:r w:rsidRPr="00E03BF2">
              <w:t>s of relevant health and safety legislation</w:t>
            </w:r>
          </w:p>
          <w:p w:rsidR="00000000" w:rsidRPr="00E03BF2" w:rsidP="00E03BF2">
            <w:pPr>
              <w:pStyle w:val="ListBullet"/>
            </w:pPr>
            <w:r w:rsidRPr="00E03BF2">
              <w:t>Principles and practice of effective occupational health and safety management</w:t>
            </w:r>
          </w:p>
          <w:p w:rsidR="00000000" w:rsidRPr="00E03BF2" w:rsidP="00E03BF2">
            <w:pPr>
              <w:pStyle w:val="ListBullet"/>
            </w:pPr>
            <w:r w:rsidRPr="00E03BF2">
              <w:t>Management arrangements relating to regulatory compliance</w:t>
            </w:r>
          </w:p>
          <w:p w:rsidR="00000000" w:rsidRPr="00E03BF2" w:rsidP="00E03BF2">
            <w:pPr>
              <w:pStyle w:val="ListBullet"/>
            </w:pPr>
            <w:r w:rsidRPr="00E03BF2">
              <w:t>Enterprise hazards and risks, control measures and relevant expertise requi</w:t>
            </w:r>
            <w:r w:rsidRPr="00E03BF2">
              <w:t>red</w:t>
            </w:r>
          </w:p>
          <w:p w:rsidR="00000000" w:rsidRPr="00E03BF2" w:rsidP="00E03BF2">
            <w:pPr>
              <w:pStyle w:val="ListBullet"/>
            </w:pPr>
            <w:r w:rsidRPr="00E03BF2">
              <w:t>Characteristics and composition of workforce and their impact on occupational health and safety management</w:t>
            </w:r>
          </w:p>
          <w:p w:rsidR="00000000" w:rsidRPr="00E03BF2" w:rsidP="00E03BF2">
            <w:pPr>
              <w:pStyle w:val="ListBullet"/>
            </w:pPr>
            <w:r w:rsidRPr="00E03BF2">
              <w:t>Relevance of enterprise management systems to occupational health and safety management</w:t>
            </w:r>
          </w:p>
          <w:p w:rsidR="00000000" w:rsidRPr="00E03BF2" w:rsidP="00E03BF2">
            <w:pPr>
              <w:pStyle w:val="ListBullet"/>
            </w:pPr>
            <w:r w:rsidRPr="00E03BF2">
              <w:t>Analysis of working environment and design of appropriate</w:t>
            </w:r>
            <w:r w:rsidRPr="00E03BF2">
              <w:t xml:space="preserve"> occupational health and safety management systems</w:t>
            </w:r>
          </w:p>
          <w:p w:rsidR="00000000" w:rsidRPr="00E03BF2" w:rsidP="00E03BF2">
            <w:pPr>
              <w:pStyle w:val="ListBullet"/>
            </w:pPr>
            <w:r w:rsidRPr="00E03BF2">
              <w:t>Analysis of relevant data and evaluation of occupational health and safety system effectiveness</w:t>
            </w:r>
          </w:p>
          <w:p w:rsidR="00000000" w:rsidRPr="00E03BF2" w:rsidP="00E03BF2">
            <w:pPr>
              <w:pStyle w:val="ListBullet"/>
            </w:pPr>
            <w:r w:rsidRPr="00E03BF2">
              <w:t>Assess resources to establish and maintain occupational health and safety management systems.</w:t>
            </w:r>
          </w:p>
          <w:p w:rsidR="00000000" w:rsidRPr="00E03BF2" w:rsidP="00E03BF2">
            <w:pPr>
              <w:pStyle w:val="BodyText"/>
            </w:pPr>
            <w:r w:rsidRPr="00E03BF2">
              <w:t>T2</w:t>
            </w:r>
            <w:r w:rsidRPr="00E03BF2">
              <w:tab/>
              <w:t>Genera</w:t>
            </w:r>
            <w:r w:rsidRPr="00E03BF2">
              <w:t>tion systems encompassing:</w:t>
            </w:r>
          </w:p>
          <w:p w:rsidR="00000000" w:rsidRPr="00E03BF2" w:rsidP="00E03BF2">
            <w:pPr>
              <w:pStyle w:val="ListBullet"/>
            </w:pPr>
            <w:r w:rsidRPr="00E03BF2">
              <w:t>Methods of generating electricity - types of power stations and reasons for their location, layout of thermal and hydroelectric power stations</w:t>
            </w:r>
          </w:p>
          <w:p w:rsidR="00000000" w:rsidRPr="00E03BF2" w:rsidP="00E03BF2">
            <w:pPr>
              <w:pStyle w:val="ListBullet"/>
            </w:pPr>
            <w:r w:rsidRPr="00E03BF2">
              <w:t>Relationship between power control and load requirements - operating speeds for therm</w:t>
            </w:r>
            <w:r w:rsidRPr="00E03BF2">
              <w:t>al and hydroelectric generating sets, typical generator voltage levels and output ratings</w:t>
            </w:r>
          </w:p>
          <w:p w:rsidR="00000000" w:rsidRPr="00E03BF2" w:rsidP="00E03BF2">
            <w:pPr>
              <w:pStyle w:val="ListBullet"/>
            </w:pPr>
            <w:r w:rsidRPr="00E03BF2">
              <w:t>The purpose and features of typical types of co-generation systems.</w:t>
            </w:r>
          </w:p>
          <w:p w:rsidR="00000000" w:rsidRPr="00E03BF2" w:rsidP="00E03BF2">
            <w:pPr>
              <w:pStyle w:val="BodyText"/>
            </w:pPr>
            <w:r w:rsidRPr="00E03BF2">
              <w:t>T3</w:t>
            </w:r>
            <w:r w:rsidRPr="00E03BF2">
              <w:tab/>
              <w:t>Transmission, distribution and rail systems encompassing:</w:t>
            </w:r>
          </w:p>
          <w:p w:rsidR="00000000" w:rsidRPr="00E03BF2" w:rsidP="00E03BF2">
            <w:pPr>
              <w:pStyle w:val="ListBullet"/>
            </w:pPr>
            <w:r w:rsidRPr="00E03BF2">
              <w:t>Relationship between the transmissio</w:t>
            </w:r>
            <w:r w:rsidRPr="00E03BF2">
              <w:t>n, distribution and rail/tram system within an overall power system - different organisations responsible for generation, transmission, distribution and rail/tram and, how they correlate and their functions</w:t>
            </w:r>
          </w:p>
          <w:p w:rsidR="00000000" w:rsidRPr="00E03BF2" w:rsidP="00E03BF2">
            <w:pPr>
              <w:pStyle w:val="ListBullet"/>
            </w:pPr>
            <w:r w:rsidRPr="00E03BF2">
              <w:t>Characteristics of a transmission, a distribution</w:t>
            </w:r>
            <w:r w:rsidRPr="00E03BF2">
              <w:t xml:space="preserve"> and a rail system - principal components, typical voltage levels and methods of transmission and distribution including grid type transmission systems, radial, parallel and ring main feeders</w:t>
            </w:r>
          </w:p>
          <w:p w:rsidR="00000000" w:rsidRPr="00E03BF2" w:rsidP="00E03BF2">
            <w:pPr>
              <w:pStyle w:val="ListBullet"/>
            </w:pPr>
            <w:r w:rsidRPr="00E03BF2">
              <w:t xml:space="preserve">Relationship between an overhead and underground supply systems </w:t>
            </w:r>
            <w:r w:rsidRPr="00E03BF2">
              <w:t>within an overall power system - advantages/disadvantages, applications and the basic steps for planning and installing an overhead and underground distribution system</w:t>
            </w:r>
          </w:p>
          <w:p w:rsidR="00000000" w:rsidRPr="00E03BF2" w:rsidP="00E03BF2">
            <w:pPr>
              <w:pStyle w:val="ListBullet"/>
            </w:pPr>
            <w:r w:rsidRPr="00E03BF2">
              <w:t>Single line drawings and layouts - drawings and layouts of transmission and distribution</w:t>
            </w:r>
            <w:r w:rsidRPr="00E03BF2">
              <w:t xml:space="preserve"> systems including, radial, parallel and ring main feeders and the HV equipment associated with substations</w:t>
            </w:r>
          </w:p>
          <w:p w:rsidR="00000000" w:rsidRPr="00E03BF2" w:rsidP="00E03BF2">
            <w:pPr>
              <w:pStyle w:val="BodyText"/>
            </w:pPr>
            <w:r w:rsidRPr="00E03BF2">
              <w:t>T4</w:t>
            </w:r>
            <w:r w:rsidRPr="00E03BF2">
              <w:tab/>
              <w:t>Substations, power transformers and reactors encompassing:</w:t>
            </w:r>
          </w:p>
          <w:p w:rsidR="00000000" w:rsidRPr="00E03BF2" w:rsidP="00E03BF2">
            <w:pPr>
              <w:pStyle w:val="ListBullet"/>
            </w:pPr>
            <w:r w:rsidRPr="00E03BF2">
              <w:t>Relationship between the substations within an overall power system - purpose, locati</w:t>
            </w:r>
            <w:r w:rsidRPr="00E03BF2">
              <w:t>on in relation to load centres, layout of HV equipment within the substation and auxiliary equipment</w:t>
            </w:r>
          </w:p>
          <w:p w:rsidR="00000000" w:rsidRPr="00E03BF2" w:rsidP="00E03BF2">
            <w:pPr>
              <w:pStyle w:val="ListBullet"/>
            </w:pPr>
            <w:r w:rsidRPr="00E03BF2">
              <w:t>Characteristics of a power transformer - basic construction of distribution transformers, operation under load/no load conditions, types and basic operatio</w:t>
            </w:r>
            <w:r w:rsidRPr="00E03BF2">
              <w:t>n of tap changing switches including solid state types, efficiency and cooling</w:t>
            </w:r>
          </w:p>
          <w:p w:rsidR="00000000" w:rsidRPr="00E03BF2" w:rsidP="00E03BF2">
            <w:pPr>
              <w:pStyle w:val="ListBullet"/>
            </w:pPr>
            <w:r w:rsidRPr="00E03BF2">
              <w:t>Auxiliary equipment used on transformers - function and basic operation of equipment</w:t>
            </w:r>
          </w:p>
          <w:p w:rsidR="00000000" w:rsidRPr="00E03BF2" w:rsidP="00E03BF2">
            <w:pPr>
              <w:pStyle w:val="ListBullet"/>
            </w:pPr>
            <w:r w:rsidRPr="00E03BF2">
              <w:t xml:space="preserve">Maintenance of a power transformer - basic connections, restrictions to parallel operation, </w:t>
            </w:r>
            <w:r w:rsidRPr="00E03BF2">
              <w:t>problems and remedies associated with harmonics, testing and fault finding procedures</w:t>
            </w:r>
          </w:p>
          <w:p w:rsidR="00000000" w:rsidRPr="00E03BF2" w:rsidP="00E03BF2">
            <w:pPr>
              <w:pStyle w:val="ListBullet"/>
            </w:pPr>
            <w:r w:rsidRPr="00E03BF2">
              <w:t>Description, purpose and characteristics of a reactors</w:t>
            </w:r>
          </w:p>
          <w:p w:rsidR="00000000" w:rsidRPr="00E03BF2" w:rsidP="00E03BF2">
            <w:pPr>
              <w:pStyle w:val="BodyText"/>
            </w:pPr>
            <w:r w:rsidRPr="00E03BF2">
              <w:t>T5</w:t>
            </w:r>
            <w:r w:rsidRPr="00E03BF2">
              <w:tab/>
              <w:t>HV generator control systems encompassing:</w:t>
            </w:r>
          </w:p>
          <w:p w:rsidR="00000000" w:rsidRPr="00E03BF2" w:rsidP="00E03BF2">
            <w:pPr>
              <w:pStyle w:val="ListBullet"/>
            </w:pPr>
            <w:r w:rsidRPr="00E03BF2">
              <w:t>Legislation, Standards, codes, legislation, supply authority regulat</w:t>
            </w:r>
            <w:r w:rsidRPr="00E03BF2">
              <w:t>ions and or enterprise requirements pertaining to the operation of a portable generator.</w:t>
            </w:r>
          </w:p>
          <w:p w:rsidR="00000000" w:rsidRPr="00E03BF2" w:rsidP="00E03BF2">
            <w:pPr>
              <w:pStyle w:val="ListBullet"/>
            </w:pPr>
            <w:r w:rsidRPr="00E03BF2">
              <w:t>Safety precautions specific to the synchronisation of generator sets - safe working policies, practices and procedures, synchronising procedures</w:t>
            </w:r>
          </w:p>
          <w:p w:rsidR="00000000" w:rsidRPr="00E03BF2" w:rsidP="00E03BF2">
            <w:pPr>
              <w:pStyle w:val="ListBullet"/>
            </w:pPr>
            <w:r w:rsidRPr="00E03BF2">
              <w:t>Techniques in the inst</w:t>
            </w:r>
            <w:r w:rsidRPr="00E03BF2">
              <w:t>allation of generator sets control systems - synchronising of generator control systems onto and off the network without interruption to supply, estimation of HV load, assessing the appropriateness of the generator.</w:t>
            </w:r>
          </w:p>
          <w:p w:rsidR="00000000" w:rsidRPr="00E03BF2" w:rsidP="00E03BF2">
            <w:pPr>
              <w:pStyle w:val="ListBullet"/>
            </w:pPr>
            <w:r w:rsidRPr="00E03BF2">
              <w:t>Operating a generator in parallel to a single HV job - overhead systems, indoor systems, customer installations, kiosk substations.</w:t>
            </w:r>
          </w:p>
          <w:p w:rsidR="00000000" w:rsidRPr="00E03BF2" w:rsidP="00E03BF2">
            <w:pPr>
              <w:pStyle w:val="ListBullet"/>
            </w:pPr>
            <w:r w:rsidRPr="00E03BF2">
              <w:t>HV generator set and control system to HV Distribution assets</w:t>
            </w:r>
          </w:p>
          <w:p w:rsidR="00000000" w:rsidRPr="00E03BF2" w:rsidP="00E03BF2">
            <w:pPr>
              <w:pStyle w:val="BodyText"/>
            </w:pPr>
            <w:r w:rsidRPr="00E03BF2">
              <w:t>T6</w:t>
            </w:r>
            <w:r w:rsidRPr="00E03BF2">
              <w:tab/>
              <w:t>Electrical equipment fundamentals used in the powerline ind</w:t>
            </w:r>
            <w:r w:rsidRPr="00E03BF2">
              <w:t>ustry encompassing:</w:t>
            </w:r>
          </w:p>
          <w:p w:rsidR="00000000" w:rsidRPr="00E03BF2" w:rsidP="00E03BF2">
            <w:pPr>
              <w:pStyle w:val="ListBullet"/>
            </w:pPr>
            <w:r w:rsidRPr="00E03BF2">
              <w:t>Legislation, Standards, codes, legislation, supply authority regulations and specific enterprise regulations pertaining to the use and care of electrical equipment (HV and LV equipment)</w:t>
            </w:r>
          </w:p>
          <w:p w:rsidR="00000000" w:rsidRPr="00E03BF2" w:rsidP="00E03BF2">
            <w:pPr>
              <w:pStyle w:val="ListBullet"/>
            </w:pPr>
            <w:r w:rsidRPr="00E03BF2">
              <w:t xml:space="preserve">Characteristics, capabilities and application of </w:t>
            </w:r>
            <w:r w:rsidRPr="00E03BF2">
              <w:t>powerline electrical equipment</w:t>
            </w:r>
          </w:p>
          <w:p w:rsidR="00000000" w:rsidRPr="00E03BF2" w:rsidP="00E03BF2">
            <w:pPr>
              <w:pStyle w:val="ListBullet"/>
            </w:pPr>
            <w:r w:rsidRPr="00E03BF2">
              <w:t>Safety precautions with regards to using electrical equipment</w:t>
            </w:r>
          </w:p>
          <w:p w:rsidR="00000000" w:rsidRPr="00E03BF2" w:rsidP="00E03BF2">
            <w:pPr>
              <w:pStyle w:val="ListBullet"/>
            </w:pPr>
            <w:r w:rsidRPr="00E03BF2">
              <w:t>Techniques in pre-use inspection on the serviceability of electrical equipment</w:t>
            </w:r>
          </w:p>
          <w:p w:rsidR="00000000" w:rsidRPr="00E03BF2" w:rsidP="00E03BF2">
            <w:pPr>
              <w:pStyle w:val="ListBullet"/>
            </w:pPr>
            <w:r w:rsidRPr="00E03BF2">
              <w:t>Techniques in the general maintenance, and care and storage of electrical equipment</w:t>
            </w:r>
          </w:p>
          <w:p w:rsidR="00000000" w:rsidRPr="00E03BF2" w:rsidP="00E03BF2">
            <w:pPr>
              <w:pStyle w:val="ListBullet"/>
            </w:pPr>
            <w:r w:rsidRPr="00E03BF2">
              <w:t>Identifying hazards, assessing and controlling risks associated with their the use of electrical equipment</w:t>
            </w:r>
          </w:p>
          <w:p w:rsidR="00000000" w:rsidRPr="00E03BF2" w:rsidP="00E03BF2">
            <w:pPr>
              <w:pStyle w:val="BodyText"/>
            </w:pPr>
            <w:r w:rsidRPr="00E03BF2">
              <w:t>T7</w:t>
            </w:r>
            <w:r w:rsidRPr="00E03BF2">
              <w:tab/>
              <w:t>Co-ordinating access authority procedures encompassing:</w:t>
            </w:r>
          </w:p>
          <w:p w:rsidR="00000000" w:rsidRPr="00E03BF2" w:rsidP="00E03BF2">
            <w:pPr>
              <w:pStyle w:val="ListBullet"/>
            </w:pPr>
            <w:r w:rsidRPr="00E03BF2">
              <w:t>Specific enterprise processes, policies and procedures to be followed</w:t>
            </w:r>
          </w:p>
          <w:p w:rsidR="00000000" w:rsidRPr="00E03BF2" w:rsidP="00E03BF2">
            <w:pPr>
              <w:pStyle w:val="ListBullet"/>
            </w:pPr>
            <w:r w:rsidRPr="00E03BF2">
              <w:t>Processes of consul</w:t>
            </w:r>
            <w:r w:rsidRPr="00E03BF2">
              <w:t>tation, negotiation and co-ordination - clear and concise instructions and information, methods for the encouragement of feedback and contributions of information and ideas, responsibilities of members of the team.</w:t>
            </w:r>
          </w:p>
          <w:p w:rsidR="00000000" w:rsidRPr="00E03BF2" w:rsidP="00E03BF2">
            <w:pPr>
              <w:pStyle w:val="ListBullet"/>
            </w:pPr>
            <w:r w:rsidRPr="00E03BF2">
              <w:t>Techniques in analysing, planning, co-ord</w:t>
            </w:r>
            <w:r w:rsidRPr="00E03BF2">
              <w:t>ination and organising work for a safe outcome and according to statutory requirements and regulations</w:t>
            </w:r>
          </w:p>
          <w:p w:rsidR="00000000" w:rsidRPr="00E03BF2" w:rsidP="00E03BF2">
            <w:pPr>
              <w:pStyle w:val="ListBullet"/>
            </w:pPr>
            <w:r w:rsidRPr="00E03BF2">
              <w:t>Techniques in the effective utilisation of available resources</w:t>
            </w:r>
          </w:p>
          <w:p w:rsidR="00000000" w:rsidRPr="00E03BF2" w:rsidP="00E03BF2">
            <w:pPr>
              <w:pStyle w:val="ListBullet"/>
            </w:pPr>
            <w:r w:rsidRPr="00E03BF2">
              <w:t>Techniques in the development of an access authority/permit and/or access authority/permit</w:t>
            </w:r>
            <w:r w:rsidRPr="00E03BF2">
              <w:t xml:space="preserve"> issuing procedures</w:t>
            </w:r>
          </w:p>
          <w:p w:rsidR="00000000" w:rsidRPr="00E03BF2" w:rsidP="00E03BF2">
            <w:pPr>
              <w:pStyle w:val="ListBullet"/>
            </w:pPr>
            <w:r w:rsidRPr="00E03BF2">
              <w:t>Techniques in facilitating and co-ordinating the delivery and issuing of access authorities</w:t>
            </w:r>
          </w:p>
          <w:p w:rsidR="00000000" w:rsidRPr="00E03BF2" w:rsidP="00E03BF2">
            <w:pPr>
              <w:pStyle w:val="ListBullet"/>
            </w:pPr>
            <w:r w:rsidRPr="00E03BF2">
              <w:t>Techniques in gathering, collating and confirming data on different worksites - electrical network diagrams for the specific work site, earth ac</w:t>
            </w:r>
            <w:r w:rsidRPr="00E03BF2">
              <w:t>cess authorities, safe working area, work to be carried out in confined space or in hazardous environment, specific outsourcing procedures, specific hazard identification, risk classification and management procedures, regulatory requirements such as Occup</w:t>
            </w:r>
            <w:r w:rsidRPr="00E03BF2">
              <w:t>ational Health and Safety and electrical safety</w:t>
            </w:r>
          </w:p>
          <w:p w:rsidR="00000000" w:rsidRPr="00E03BF2" w:rsidP="00E03BF2">
            <w:pPr>
              <w:pStyle w:val="ListBullet"/>
            </w:pPr>
            <w:r w:rsidRPr="00E03BF2">
              <w:t>Techniques in the receiving and co-ordinating the cancellation of access authorities in readiness for restoration</w:t>
            </w:r>
          </w:p>
          <w:p w:rsidR="00000000" w:rsidRPr="00E03BF2" w:rsidP="00E03BF2">
            <w:pPr>
              <w:pStyle w:val="ListBullet"/>
            </w:pPr>
            <w:r w:rsidRPr="00E03BF2">
              <w:t>Methods of conducting audits on correct access authority procedures</w:t>
            </w:r>
          </w:p>
          <w:p w:rsidR="00000000" w:rsidRPr="00E03BF2" w:rsidP="00E03BF2">
            <w:pPr>
              <w:pStyle w:val="ListBullet"/>
            </w:pPr>
            <w:r w:rsidRPr="00E03BF2">
              <w:t>Process of issuing of othe</w:t>
            </w:r>
            <w:r w:rsidRPr="00E03BF2">
              <w:t>r access authorities for work permits - working in confined space, if required, co-ordination of access authorities, engaging and briefing contractors on electrical and other work</w:t>
            </w:r>
          </w:p>
          <w:p w:rsidR="00000000" w:rsidRPr="00E03BF2" w:rsidP="00E03BF2">
            <w:pPr>
              <w:pStyle w:val="ListBullet"/>
            </w:pPr>
            <w:r w:rsidRPr="00E03BF2">
              <w:t>Issue and receipt of operating agreements.</w:t>
            </w:r>
          </w:p>
          <w:p w:rsidR="00000000" w:rsidRPr="00E03BF2" w:rsidP="00E03BF2">
            <w:pPr>
              <w:pStyle w:val="BodyText"/>
            </w:pPr>
            <w:r w:rsidRPr="00E03BF2">
              <w:t>T8</w:t>
            </w:r>
            <w:r w:rsidRPr="00E03BF2">
              <w:tab/>
            </w:r>
            <w:r w:rsidRPr="00E03BF2">
              <w:t>HV system switching principles including switching authorisation procedures to an extent indicated by the following aspects:</w:t>
            </w:r>
          </w:p>
          <w:p w:rsidR="00000000" w:rsidRPr="00E03BF2" w:rsidP="00E03BF2">
            <w:pPr>
              <w:pStyle w:val="ListBullet"/>
            </w:pPr>
            <w:r w:rsidRPr="00E03BF2">
              <w:t>Legislation, Standards, codes, legislation, supply authority regulations and or enterprise requirements applicable to system switc</w:t>
            </w:r>
            <w:r w:rsidRPr="00E03BF2">
              <w:t>hing</w:t>
            </w:r>
          </w:p>
          <w:p w:rsidR="00000000" w:rsidRPr="00E03BF2" w:rsidP="00E03BF2">
            <w:pPr>
              <w:pStyle w:val="ListBullet"/>
            </w:pPr>
            <w:r w:rsidRPr="00E03BF2">
              <w:t>Requirements for the use of manuals, system diagrams/plans and drawings</w:t>
            </w:r>
          </w:p>
          <w:p w:rsidR="00000000" w:rsidRPr="00E03BF2" w:rsidP="00E03BF2">
            <w:pPr>
              <w:pStyle w:val="ListBullet"/>
            </w:pPr>
            <w:r w:rsidRPr="00E03BF2">
              <w:t>Types and characteristics of HV systems and equipment to be switched</w:t>
            </w:r>
          </w:p>
          <w:p w:rsidR="00000000" w:rsidRPr="00E03BF2" w:rsidP="00E03BF2">
            <w:pPr>
              <w:pStyle w:val="ListBullet"/>
            </w:pPr>
            <w:r w:rsidRPr="00E03BF2">
              <w:t>Procedures for obtaining correct HV switching authorisation - identification of OHS hazards, assessing and con</w:t>
            </w:r>
            <w:r w:rsidRPr="00E03BF2">
              <w:t>trolling risks, Safety procedures and precautions, safe approach distances</w:t>
            </w:r>
          </w:p>
          <w:p w:rsidR="00000000" w:rsidRPr="00E03BF2" w:rsidP="00E03BF2">
            <w:pPr>
              <w:pStyle w:val="ListBullet"/>
            </w:pPr>
            <w:r w:rsidRPr="00E03BF2">
              <w:t>responsibilities and protocols, identifying switching resources, procedures for obtaining electrical access permits authorities, Requirements for team switching, procedures for coor</w:t>
            </w:r>
            <w:r w:rsidRPr="00E03BF2">
              <w:t>dination of operations.</w:t>
            </w:r>
          </w:p>
          <w:p w:rsidR="00000000" w:rsidRPr="00E03BF2" w:rsidP="00E03BF2">
            <w:pPr>
              <w:pStyle w:val="ListBullet"/>
            </w:pPr>
            <w:r w:rsidRPr="00E03BF2">
              <w:t>Techniques in HV system switching - pre-switching checks, switching operational procedures, isolation procedures and proving dead de-energised, earthing procedures, switching operational procedures, emergency fault procedures, energ</w:t>
            </w:r>
            <w:r w:rsidRPr="00E03BF2">
              <w:t>isation procedures</w:t>
            </w:r>
          </w:p>
          <w:p w:rsidR="00000000" w:rsidRPr="00E03BF2" w:rsidP="00E03BF2">
            <w:pPr>
              <w:pStyle w:val="BodyText"/>
            </w:pPr>
            <w:r w:rsidRPr="00E03BF2">
              <w:t>T9</w:t>
            </w:r>
            <w:r w:rsidRPr="00E03BF2">
              <w:tab/>
              <w:t>LV system switching principles including switching authorisation procedures encompassing:</w:t>
            </w:r>
          </w:p>
          <w:p w:rsidR="00000000" w:rsidRPr="00E03BF2" w:rsidP="00E03BF2">
            <w:pPr>
              <w:pStyle w:val="ListBullet"/>
            </w:pPr>
            <w:r w:rsidRPr="00E03BF2">
              <w:t>Legislation, Standards, codes, legislation, supply authority regulations and or enterprise requirements applicable to system switching</w:t>
            </w:r>
          </w:p>
          <w:p w:rsidR="00000000" w:rsidRPr="00E03BF2" w:rsidP="00E03BF2">
            <w:pPr>
              <w:pStyle w:val="ListBullet"/>
            </w:pPr>
            <w:r w:rsidRPr="00E03BF2">
              <w:t>Requirem</w:t>
            </w:r>
            <w:r w:rsidRPr="00E03BF2">
              <w:t>ents for the use of manuals, system diagrams/plans and drawings</w:t>
            </w:r>
          </w:p>
          <w:p w:rsidR="00000000" w:rsidRPr="00E03BF2" w:rsidP="00E03BF2">
            <w:pPr>
              <w:pStyle w:val="ListBullet"/>
            </w:pPr>
            <w:r w:rsidRPr="00E03BF2">
              <w:t>Types and characteristics of LV systems and equipment to be switched</w:t>
            </w:r>
          </w:p>
          <w:p w:rsidR="00000000" w:rsidRPr="00E03BF2" w:rsidP="00E03BF2">
            <w:pPr>
              <w:pStyle w:val="ListBullet"/>
            </w:pPr>
            <w:r w:rsidRPr="00E03BF2">
              <w:t>Procedures for obtaining correct LV switching authorization - identification of OHS hazards, assessing and controlling risk</w:t>
            </w:r>
            <w:r w:rsidRPr="00E03BF2">
              <w:t xml:space="preserve">s, safety procedures and precautions, safe approach distances, responsibilities and protocols, identifying switching resources, procedures for obtaining electrical access permits authorities, requirements for team switching, procedures for coordination of </w:t>
            </w:r>
            <w:r w:rsidRPr="00E03BF2">
              <w:t>operations.</w:t>
            </w:r>
          </w:p>
          <w:p w:rsidR="00000000" w:rsidRPr="00E03BF2" w:rsidP="00E03BF2">
            <w:pPr>
              <w:pStyle w:val="ListBullet"/>
            </w:pPr>
            <w:r w:rsidRPr="00E03BF2">
              <w:t>Techniques in LV system switching - isolation procedures and proving dead, earthing procedures, pre-switching checks, switching operational procedures, emergency fault procedures, energisation procedures.</w:t>
            </w:r>
          </w:p>
          <w:p w:rsidR="00000000" w:rsidRPr="00E03BF2" w:rsidP="00E03BF2">
            <w:pPr>
              <w:pStyle w:val="BodyText"/>
            </w:pPr>
            <w:r w:rsidRPr="00E03BF2">
              <w:t>T10</w:t>
            </w:r>
            <w:r w:rsidRPr="00E03BF2">
              <w:tab/>
              <w:t>Secondary switching/isolation princ</w:t>
            </w:r>
            <w:r w:rsidRPr="00E03BF2">
              <w:t>iples and sheet preparation encompassing:</w:t>
            </w:r>
          </w:p>
          <w:p w:rsidR="00000000" w:rsidRPr="00E03BF2" w:rsidP="00E03BF2">
            <w:pPr>
              <w:pStyle w:val="ListBullet"/>
            </w:pPr>
            <w:r w:rsidRPr="00E03BF2">
              <w:t>Techniques in performing and demonstrating correct sequence of isolation and/or restoration - communications with appropriate authorities, ensuring adequate protection remains in service to provide plant protectio</w:t>
            </w:r>
            <w:r w:rsidRPr="00E03BF2">
              <w:t>n, reading and interpreting drawings for switching /isolating, sheet/instruction preparation.</w:t>
            </w:r>
          </w:p>
          <w:p w:rsidR="00000000" w:rsidRPr="00E03BF2" w:rsidP="00E03BF2">
            <w:pPr>
              <w:pStyle w:val="BodyText"/>
            </w:pPr>
            <w:r w:rsidRPr="00E03BF2">
              <w:t>T11</w:t>
            </w:r>
            <w:r w:rsidRPr="00E03BF2">
              <w:tab/>
              <w:t>Protection schemes encompassing:</w:t>
            </w:r>
          </w:p>
          <w:p w:rsidR="00000000" w:rsidRPr="00E03BF2" w:rsidP="00E03BF2">
            <w:pPr>
              <w:pStyle w:val="ListBullet"/>
            </w:pPr>
            <w:r w:rsidRPr="00E03BF2">
              <w:t>Standards, codes, legislation, supply authority regulations and or enterprise requirements applicable to protection schemes</w:t>
            </w:r>
          </w:p>
          <w:p w:rsidR="00000000" w:rsidRPr="00E03BF2" w:rsidP="00E03BF2">
            <w:pPr>
              <w:pStyle w:val="ListBullet"/>
            </w:pPr>
            <w:r w:rsidRPr="00E03BF2">
              <w:t>Types of protection schemes - reasons for use, application of protection zones around system elements, degree of protection</w:t>
            </w:r>
          </w:p>
          <w:p w:rsidR="00000000" w:rsidRPr="00E03BF2" w:rsidP="00E03BF2">
            <w:pPr>
              <w:pStyle w:val="ListBullet"/>
            </w:pPr>
            <w:r w:rsidRPr="00E03BF2">
              <w:t>Types of feeder protection equipment - over current protection inverse time-current operating characteristics</w:t>
            </w:r>
          </w:p>
          <w:p w:rsidR="00000000" w:rsidRPr="00E03BF2" w:rsidP="00E03BF2">
            <w:pPr>
              <w:pStyle w:val="ListBullet"/>
            </w:pPr>
            <w:r w:rsidRPr="00E03BF2">
              <w:t>Operation of over current protection equipment used on distribution systems</w:t>
            </w:r>
          </w:p>
          <w:p w:rsidR="00000000" w:rsidRPr="00E03BF2" w:rsidP="00E03BF2">
            <w:pPr>
              <w:pStyle w:val="ListBullet"/>
            </w:pPr>
            <w:r w:rsidRPr="00E03BF2">
              <w:t>Operation of ACRs and their time-current characteristics</w:t>
            </w:r>
          </w:p>
          <w:p w:rsidR="00000000" w:rsidRPr="00E03BF2" w:rsidP="00E03BF2">
            <w:pPr>
              <w:pStyle w:val="ListBullet"/>
            </w:pPr>
            <w:r w:rsidRPr="00E03BF2">
              <w:t>Types and characteristics of over-current relays</w:t>
            </w:r>
          </w:p>
          <w:p w:rsidR="00000000" w:rsidRPr="00E03BF2" w:rsidP="00E03BF2">
            <w:pPr>
              <w:pStyle w:val="ListBullet"/>
            </w:pPr>
            <w:r w:rsidRPr="00E03BF2">
              <w:t>Coordination methods of a distribution feeder protection scheme</w:t>
            </w:r>
          </w:p>
          <w:p w:rsidR="00000000" w:rsidRPr="00E03BF2" w:rsidP="00E03BF2">
            <w:pPr>
              <w:pStyle w:val="ListBullet"/>
            </w:pPr>
            <w:r w:rsidRPr="00E03BF2">
              <w:t>Earth faul</w:t>
            </w:r>
            <w:r w:rsidRPr="00E03BF2">
              <w:t>t protection used on a distribution feeder</w:t>
            </w:r>
          </w:p>
          <w:p w:rsidR="00000000" w:rsidRPr="00E03BF2" w:rsidP="00E03BF2">
            <w:pPr>
              <w:pStyle w:val="ListBullet"/>
            </w:pPr>
            <w:r w:rsidRPr="00E03BF2">
              <w:t>Operation of a single wire earth return (S.W.E.R) system</w:t>
            </w:r>
          </w:p>
          <w:p w:rsidR="00000000" w:rsidRPr="00E03BF2" w:rsidP="00E03BF2">
            <w:pPr>
              <w:pStyle w:val="BodyText"/>
            </w:pPr>
            <w:r w:rsidRPr="00E03BF2">
              <w:t>T12</w:t>
            </w:r>
            <w:r w:rsidRPr="00E03BF2">
              <w:tab/>
              <w:t>EHV generator control systems encompassing:</w:t>
            </w:r>
          </w:p>
          <w:p w:rsidR="00000000" w:rsidRPr="00E03BF2" w:rsidP="00E03BF2">
            <w:pPr>
              <w:pStyle w:val="ListBullet"/>
            </w:pPr>
            <w:r w:rsidRPr="00E03BF2">
              <w:t>Legislation, Standards, codes, legislation, supply authority regulations and or enterprise requirements per</w:t>
            </w:r>
            <w:r w:rsidRPr="00E03BF2">
              <w:t>taining to the operation of a portable generator</w:t>
            </w:r>
          </w:p>
          <w:p w:rsidR="00000000" w:rsidRPr="00E03BF2" w:rsidP="00E03BF2">
            <w:pPr>
              <w:pStyle w:val="ListBullet"/>
            </w:pPr>
            <w:r w:rsidRPr="00E03BF2">
              <w:t>Safety precautions specific to the synchronisation of generator sets - safe working policies, practices and procedures, synchronising procedures</w:t>
            </w:r>
          </w:p>
          <w:p w:rsidR="00000000" w:rsidRPr="00E03BF2" w:rsidP="00E03BF2">
            <w:pPr>
              <w:pStyle w:val="ListBullet"/>
            </w:pPr>
            <w:r w:rsidRPr="00E03BF2">
              <w:t>Techniques in the installation of generator sets control syste</w:t>
            </w:r>
            <w:r w:rsidRPr="00E03BF2">
              <w:t>ms - the synchronising of generator control systems onto and off the network without interruption to supply, estimation of EHV load, assessing the appropriateness of the generator</w:t>
            </w:r>
          </w:p>
          <w:p w:rsidR="00000000" w:rsidRPr="00E03BF2" w:rsidP="00E03BF2">
            <w:pPr>
              <w:pStyle w:val="ListBullet"/>
            </w:pPr>
            <w:r w:rsidRPr="00E03BF2">
              <w:t>Operating a generator in parallel to a single EHV job - overhead systems, in</w:t>
            </w:r>
            <w:r w:rsidRPr="00E03BF2">
              <w:t>door systems, customer installations, kiosk substations</w:t>
            </w:r>
          </w:p>
          <w:p w:rsidR="00000000" w:rsidRPr="00E03BF2" w:rsidP="00E03BF2">
            <w:pPr>
              <w:pStyle w:val="ListBullet"/>
            </w:pPr>
            <w:r w:rsidRPr="00E03BF2">
              <w:t>EHV generator set and control system to EHV Distribution assets.</w:t>
            </w:r>
          </w:p>
        </w:tc>
      </w:tr>
    </w:tbl>
    <w:p w:rsidR="00000000" w:rsidRPr="00E03BF2" w:rsidP="00E03BF2">
      <w:pPr>
        <w:pStyle w:val="BodyText"/>
      </w:pPr>
    </w:p>
    <w:p w:rsidR="00000000" w:rsidRPr="00E03BF2" w:rsidP="00E03BF2">
      <w:pPr>
        <w:pStyle w:val="AllowPageBreak"/>
      </w:pPr>
    </w:p>
    <w:p w:rsidR="00000000" w:rsidRPr="00E03BF2" w:rsidP="00E03BF2">
      <w:pPr>
        <w:pStyle w:val="Heading1"/>
      </w:pPr>
      <w:bookmarkStart w:id="10" w:name="O_464538"/>
      <w:bookmarkEnd w:id="10"/>
      <w:r w:rsidRPr="00E03BF2">
        <w:t>Evidence Guide</w:t>
      </w:r>
    </w:p>
    <w:tbl>
      <w:tblPr>
        <w:tblW w:w="0" w:type="auto"/>
        <w:tblLayout w:type="fixed"/>
        <w:tblCellMar>
          <w:left w:w="62" w:type="dxa"/>
          <w:right w:w="62" w:type="dxa"/>
        </w:tblCellMar>
        <w:tblLook w:val="0000"/>
      </w:tblPr>
      <w:tblGrid>
        <w:gridCol w:w="8460"/>
      </w:tblGrid>
      <w:tr w:rsidTr="004033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EVIDENCE GUIDE</w:t>
            </w:r>
          </w:p>
        </w:tc>
      </w:tr>
      <w:tr w:rsidTr="004033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9)</w:t>
            </w:r>
            <w:r w:rsidRPr="00E03BF2">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E03BF2" w:rsidP="00E03BF2">
            <w:pPr>
              <w:pStyle w:val="BodyText"/>
            </w:pPr>
            <w:r w:rsidRPr="00E03BF2">
              <w:t>The Evidence Guide form</w:t>
            </w:r>
            <w:r w:rsidRPr="00E03BF2">
              <w:t>s an integral part of this Competency Standard Unit and shall be used in conjunction with all component parts of this unit and, performed in accordance with the Assessment Guidelines of this Training Package.</w:t>
            </w:r>
          </w:p>
        </w:tc>
      </w:tr>
    </w:tbl>
    <w:p w:rsidR="00000000" w:rsidRPr="00E03BF2" w:rsidP="00E03BF2">
      <w:pPr>
        <w:pStyle w:val="BodyText"/>
      </w:pPr>
    </w:p>
    <w:tbl>
      <w:tblPr>
        <w:tblW w:w="0" w:type="auto"/>
        <w:tblLayout w:type="fixed"/>
        <w:tblCellMar>
          <w:left w:w="62" w:type="dxa"/>
          <w:right w:w="62" w:type="dxa"/>
        </w:tblCellMar>
        <w:tblLook w:val="0000"/>
      </w:tblPr>
      <w:tblGrid>
        <w:gridCol w:w="1890"/>
        <w:gridCol w:w="6570"/>
      </w:tblGrid>
      <w:tr w:rsidTr="00403365">
        <w:tblPrEx>
          <w:tblW w:w="0" w:type="auto"/>
          <w:tblLayout w:type="fixed"/>
          <w:tblCellMar>
            <w:left w:w="62" w:type="dxa"/>
            <w:right w:w="62" w:type="dxa"/>
          </w:tblCellMar>
          <w:tblLook w:val="0000"/>
        </w:tblPrEx>
        <w:trPr>
          <w:trHeight w:val="407"/>
        </w:trPr>
        <w:tc>
          <w:tcPr>
            <w:tcW w:w="189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9.1)</w:t>
            </w:r>
          </w:p>
        </w:tc>
      </w:tr>
      <w:tr w:rsidTr="004033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Longitudinal competency development approaches to assessment, such as Profiling, require data to be reliably gathered in a form that can be consistently interpreted over time. This approach is best utilised in Apprenticeship programs and reduces assessment</w:t>
            </w:r>
            <w:r w:rsidRPr="00E03BF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03BF2">
              <w:t>tency in a realistically simulated work environment. It is recognised that, in some circumstances, assessment in part or full can occur outside the workplace. However, it must be in accord with Industry and, Regulatory policy in this regard.</w:t>
            </w:r>
          </w:p>
          <w:p w:rsidR="00000000" w:rsidRPr="00E03BF2" w:rsidP="00E03BF2">
            <w:pPr>
              <w:pStyle w:val="BodyText"/>
            </w:pPr>
            <w:r w:rsidRPr="00E03BF2">
              <w:t>Methods chosen</w:t>
            </w:r>
            <w:r w:rsidRPr="00E03BF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E03BF2">
              <w:t>equired and the critical nature of the competencies being assessed.</w:t>
            </w:r>
          </w:p>
          <w:p w:rsidR="00000000" w:rsidRPr="00E03BF2" w:rsidP="00E03BF2">
            <w:pPr>
              <w:pStyle w:val="BodyText"/>
            </w:pPr>
            <w:r w:rsidRPr="00E03BF2">
              <w:t>The critical safety nature of working with electricity, electrical equipment, gas or any other hazardous substance/material carries risk in deeming a person competent. Hence, sources of ev</w:t>
            </w:r>
            <w:r w:rsidRPr="00E03BF2">
              <w:t>idence need to be ‘rich’ in nature so as to minimise error in judgment.</w:t>
            </w:r>
          </w:p>
          <w:p w:rsidR="00000000" w:rsidRPr="00E03BF2" w:rsidP="00E03BF2">
            <w:pPr>
              <w:pStyle w:val="BodyText"/>
            </w:pPr>
            <w:r w:rsidRPr="00E03BF2">
              <w:t>Activities associated with normal every day work have a bearing on the decision as to how much and how detailed the data gathered will contribute to its ‘richness’. Some skills are mor</w:t>
            </w:r>
            <w:r w:rsidRPr="00E03BF2">
              <w:t>e critical to safety and operational requirements while the same skills may be more or less frequently practiced. These points are raised for the assessors to consider when choosing an assessment method and developing assessment instruments. Sample assessm</w:t>
            </w:r>
            <w:r w:rsidRPr="00E03BF2">
              <w:t>ent instruments are included for Assessors in the Assessment Guidelines of this Training Package.</w:t>
            </w:r>
          </w:p>
        </w:tc>
      </w:tr>
    </w:tbl>
    <w:p w:rsidR="00000000" w:rsidRPr="00E03BF2" w:rsidP="00E03BF2">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4033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9.2)</w:t>
            </w:r>
          </w:p>
        </w:tc>
      </w:tr>
      <w:tr w:rsidTr="004033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Before the critical aspects of evidence are considered all prerequisites shall be met.</w:t>
            </w:r>
          </w:p>
          <w:p w:rsidR="00000000" w:rsidRPr="00E03BF2" w:rsidP="00E03BF2">
            <w:pPr>
              <w:pStyle w:val="BodyText"/>
            </w:pPr>
            <w:r w:rsidRPr="00E03BF2">
              <w:t>Evidence for competence in this unit shall be considered holistically. Each element and associated Performance Criteria shall be demonstrated on at least two occasions i</w:t>
            </w:r>
            <w:r w:rsidRPr="00E03BF2">
              <w:t>n accordance with the “Assessment Guidelines – UET12”. Evidence shall also comprise:</w:t>
            </w:r>
          </w:p>
          <w:p w:rsidR="00000000" w:rsidRPr="00E03BF2" w:rsidP="00E03BF2">
            <w:pPr>
              <w:pStyle w:val="ListBullet"/>
            </w:pPr>
            <w:r w:rsidRPr="00E03BF2">
              <w:t>A representative body of Performance Criteria demonstrated within the timeframes typically expected of the discipline, work function and industrial environment. In partic</w:t>
            </w:r>
            <w:r w:rsidRPr="00E03BF2">
              <w:t>ular this shall incorporate evidence that shows a candidate is able to:</w:t>
            </w:r>
          </w:p>
          <w:p w:rsidR="00000000" w:rsidRPr="00E03BF2" w:rsidP="00E03BF2">
            <w:pPr>
              <w:pStyle w:val="ListBullet2"/>
            </w:pPr>
            <w:r w:rsidRPr="00E03BF2">
              <w:t>Implement Occupational Health and Safety workplace procedures and practices including the use of risk control measures as specified in the Performance Criteria and range; and</w:t>
            </w:r>
          </w:p>
          <w:p w:rsidR="00000000" w:rsidRPr="00E03BF2" w:rsidP="00E03BF2">
            <w:pPr>
              <w:pStyle w:val="ListBullet2"/>
            </w:pPr>
            <w:r w:rsidRPr="00E03BF2">
              <w:t>Apply su</w:t>
            </w:r>
            <w:r w:rsidRPr="00E03BF2">
              <w:t>stainable energy principles and practices as specified in the Performance Criteria and range; and</w:t>
            </w:r>
          </w:p>
          <w:p w:rsidR="00000000" w:rsidRPr="00E03BF2" w:rsidP="00E03BF2">
            <w:pPr>
              <w:pStyle w:val="ListBullet2"/>
            </w:pPr>
            <w:r w:rsidRPr="00E03BF2">
              <w:t>Demonstrate an understanding of the essential knowledge and associated skills as described in this unit to such an extent that the learner’</w:t>
            </w:r>
            <w:r w:rsidRPr="00E03BF2">
              <w:t>s performance outcome is reported in accordance with the preferred approach; namely a percentile graded result, where required by the regulated environment; and</w:t>
            </w:r>
          </w:p>
          <w:p w:rsidR="00000000" w:rsidRPr="00E03BF2" w:rsidP="00E03BF2">
            <w:pPr>
              <w:pStyle w:val="ListBullet2"/>
            </w:pPr>
            <w:r w:rsidRPr="00E03BF2">
              <w:t>Demonstrate an appropriate level of employability skills; and</w:t>
            </w:r>
          </w:p>
          <w:p w:rsidR="00000000" w:rsidRPr="00E03BF2" w:rsidP="00E03BF2">
            <w:pPr>
              <w:pStyle w:val="ListBullet"/>
            </w:pPr>
            <w:r w:rsidRPr="00E03BF2">
              <w:t>Conduct work observing the relev</w:t>
            </w:r>
            <w:r w:rsidRPr="00E03BF2">
              <w:t>ant Anti discrimination legislation, regulations, policies and workplace procedures; and</w:t>
            </w:r>
          </w:p>
          <w:p w:rsidR="00000000" w:rsidP="00E03BF2">
            <w:pPr>
              <w:pStyle w:val="ListBullet2"/>
              <w:rPr>
                <w:lang w:val="en-NZ"/>
              </w:rPr>
            </w:pPr>
            <w:r w:rsidRPr="00E03BF2">
              <w:t>Demonstrated performance across a representative range of contexts from the prescribed items below:</w:t>
            </w:r>
          </w:p>
        </w:tc>
      </w:tr>
      <w:tr w:rsidTr="004033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03BF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F2">
            <w:pPr>
              <w:pStyle w:val="BodyText"/>
              <w:rPr>
                <w:lang w:val="en-NZ"/>
              </w:rPr>
            </w:pPr>
            <w:r w:rsidRPr="00E03BF2">
              <w:rPr>
                <w:rStyle w:val="SpecialBold"/>
              </w:rPr>
              <w:t>Range of tools/equipment/materials/procedures/workplaces/other variables</w:t>
            </w:r>
          </w:p>
        </w:tc>
      </w:tr>
      <w:tr w:rsidTr="004033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03BF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BF2" w:rsidP="00E03BF2">
            <w:pPr>
              <w:pStyle w:val="BodyText"/>
            </w:pPr>
            <w:r w:rsidRPr="00E03BF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BF2" w:rsidP="00E03BF2">
            <w:pPr>
              <w:pStyle w:val="BodyText"/>
            </w:pPr>
            <w:r w:rsidRPr="00E03BF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F2">
            <w:pPr>
              <w:pStyle w:val="BodyText"/>
              <w:rPr>
                <w:lang w:val="en-NZ"/>
              </w:rPr>
            </w:pPr>
            <w:r w:rsidRPr="00E03BF2">
              <w:rPr>
                <w:rStyle w:val="SpecialBold"/>
              </w:rPr>
              <w:t>Item List</w:t>
            </w:r>
          </w:p>
        </w:tc>
      </w:tr>
      <w:tr w:rsidTr="004033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F2">
            <w:pPr>
              <w:pStyle w:val="BodyText"/>
              <w:rPr>
                <w:lang w:val="en-NZ"/>
              </w:rPr>
            </w:pPr>
            <w:r w:rsidRPr="00E03BF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F2">
            <w:pPr>
              <w:pStyle w:val="BodyText"/>
              <w:rPr>
                <w:lang w:val="en-NZ"/>
              </w:rPr>
            </w:pPr>
            <w:r w:rsidRPr="00E03BF2">
              <w:t>Develop secondary isolation instructional documents for four (4) of the following substation equipment: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BF2" w:rsidP="00E03BF2">
            <w:pPr>
              <w:pStyle w:val="BodyText"/>
            </w:pPr>
            <w:r w:rsidRPr="00E03BF2">
              <w:t>Bus protection</w:t>
            </w:r>
          </w:p>
          <w:p w:rsidR="00000000" w:rsidRPr="00E03BF2" w:rsidP="00E03BF2">
            <w:pPr>
              <w:pStyle w:val="BodyText"/>
            </w:pPr>
            <w:r w:rsidRPr="00E03BF2">
              <w:t>High impedance bus protection</w:t>
            </w:r>
          </w:p>
          <w:p w:rsidR="00000000" w:rsidRPr="00E03BF2" w:rsidP="00E03BF2">
            <w:pPr>
              <w:pStyle w:val="BodyText"/>
            </w:pPr>
            <w:r w:rsidRPr="00E03BF2">
              <w:t>Feeder/line protection</w:t>
            </w:r>
          </w:p>
          <w:p w:rsidR="00000000" w:rsidRPr="00E03BF2" w:rsidP="00E03BF2">
            <w:pPr>
              <w:pStyle w:val="BodyText"/>
            </w:pPr>
            <w:r w:rsidRPr="00E03BF2">
              <w:t>Transformer protection</w:t>
            </w:r>
          </w:p>
          <w:p w:rsidR="00000000" w:rsidRPr="00E03BF2" w:rsidP="00E03BF2">
            <w:pPr>
              <w:pStyle w:val="BodyText"/>
            </w:pPr>
            <w:r w:rsidRPr="00E03BF2">
              <w:t>Earth fault protection</w:t>
            </w:r>
          </w:p>
          <w:p w:rsidR="00000000" w:rsidRPr="00E03BF2" w:rsidP="00E03BF2">
            <w:pPr>
              <w:pStyle w:val="BodyText"/>
            </w:pPr>
            <w:r w:rsidRPr="00E03BF2">
              <w:t>Backup protection</w:t>
            </w:r>
          </w:p>
          <w:p w:rsidR="00000000" w:rsidP="00E03BF2">
            <w:pPr>
              <w:pStyle w:val="BodyText"/>
              <w:rPr>
                <w:lang w:val="en-NZ"/>
              </w:rPr>
            </w:pPr>
            <w:r w:rsidRPr="00E03BF2">
              <w:t>Pilot wire protectio</w:t>
            </w:r>
            <w:r w:rsidRPr="00E03BF2">
              <w:t>n</w:t>
            </w:r>
          </w:p>
        </w:tc>
      </w:tr>
      <w:tr w:rsidTr="004033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F2">
            <w:pPr>
              <w:pStyle w:val="BodyText"/>
              <w:rPr>
                <w:lang w:val="en-NZ"/>
              </w:rPr>
            </w:pPr>
            <w:r w:rsidRPr="00E03BF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BF2">
            <w:pPr>
              <w:pStyle w:val="BodyText"/>
              <w:rPr>
                <w:lang w:val="en-NZ"/>
              </w:rPr>
            </w:pPr>
            <w:r w:rsidRPr="00E03BF2">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BF2" w:rsidP="00E03BF2">
            <w:pPr>
              <w:pStyle w:val="BodyText"/>
            </w:pPr>
            <w:r w:rsidRPr="00E03BF2">
              <w:t>Dealing with an unplanned event by drawing on essential knowledge and associated skills to provide appropriate solutions incorporated in the holistic assessment with the above listed items.</w:t>
            </w:r>
          </w:p>
        </w:tc>
      </w:tr>
    </w:tbl>
    <w:p w:rsidR="00000000" w:rsidRPr="00E03BF2" w:rsidP="00E03BF2">
      <w:pPr>
        <w:pStyle w:val="BodyText"/>
      </w:pPr>
    </w:p>
    <w:tbl>
      <w:tblPr>
        <w:tblW w:w="0" w:type="auto"/>
        <w:tblLayout w:type="fixed"/>
        <w:tblCellMar>
          <w:left w:w="62" w:type="dxa"/>
          <w:right w:w="62" w:type="dxa"/>
        </w:tblCellMar>
        <w:tblLook w:val="0000"/>
      </w:tblPr>
      <w:tblGrid>
        <w:gridCol w:w="1890"/>
        <w:gridCol w:w="6570"/>
      </w:tblGrid>
      <w:tr w:rsidTr="0040336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Conte</w:t>
            </w:r>
            <w:r w:rsidRPr="00E03BF2">
              <w:rPr>
                <w:rStyle w:val="SpecialBold"/>
              </w:rPr>
              <w:t>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9.3)</w:t>
            </w:r>
          </w:p>
        </w:tc>
      </w:tr>
      <w:tr w:rsidTr="0040336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This unit should be assessed as it relates to normal work practice using procedures, information and resources typical of a workplace. This should include:</w:t>
            </w:r>
          </w:p>
          <w:p w:rsidR="00000000" w:rsidRPr="00E03BF2" w:rsidP="00E03BF2">
            <w:pPr>
              <w:pStyle w:val="ListBullet"/>
            </w:pPr>
            <w:r w:rsidRPr="00E03BF2">
              <w:t>OHS policy and work procedures and instructions.</w:t>
            </w:r>
          </w:p>
          <w:p w:rsidR="00000000" w:rsidRPr="00E03BF2" w:rsidP="00E03BF2">
            <w:pPr>
              <w:pStyle w:val="ListBullet"/>
            </w:pPr>
            <w:r w:rsidRPr="00E03BF2">
              <w:t>Suitable work environment, facilities, equipment and materials to undertake actual development of secondary isolation instructional documents.</w:t>
            </w:r>
          </w:p>
          <w:p w:rsidR="00000000" w:rsidRPr="00E03BF2" w:rsidP="00E03BF2">
            <w:pPr>
              <w:pStyle w:val="ListBullet"/>
            </w:pPr>
            <w:r w:rsidRPr="00E03BF2">
              <w:t>Operational access to relevant plant, protection or metering equipment, scheme drawings, manufacture’s specifica</w:t>
            </w:r>
            <w:r w:rsidRPr="00E03BF2">
              <w:t>tions/manuals and testing equipment.</w:t>
            </w:r>
          </w:p>
          <w:p w:rsidR="00000000" w:rsidRPr="00E03BF2" w:rsidP="00E03BF2">
            <w:pPr>
              <w:pStyle w:val="BodyText"/>
            </w:pPr>
            <w:r w:rsidRPr="00E03BF2">
              <w:t>In addition to the resources listed above, in Context of and specific resources for assessment, evidence should show demonstrated competency working in realistic environment and a variety of conditions.</w:t>
            </w:r>
          </w:p>
        </w:tc>
      </w:tr>
    </w:tbl>
    <w:p w:rsidR="00000000" w:rsidRPr="00E03BF2" w:rsidP="00E03BF2">
      <w:pPr>
        <w:pStyle w:val="BodyText"/>
      </w:pPr>
    </w:p>
    <w:tbl>
      <w:tblPr>
        <w:tblW w:w="0" w:type="auto"/>
        <w:tblLayout w:type="fixed"/>
        <w:tblCellMar>
          <w:left w:w="62" w:type="dxa"/>
          <w:right w:w="62" w:type="dxa"/>
        </w:tblCellMar>
        <w:tblLook w:val="0000"/>
      </w:tblPr>
      <w:tblGrid>
        <w:gridCol w:w="1890"/>
        <w:gridCol w:w="6570"/>
      </w:tblGrid>
      <w:tr w:rsidTr="004033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9.4)</w:t>
            </w:r>
          </w:p>
        </w:tc>
      </w:tr>
      <w:tr w:rsidTr="004033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This Competency Standard Unit shall be assessed by methods given in Volume 1, Part 3 “Assessment Guidelines”.</w:t>
            </w:r>
          </w:p>
          <w:p w:rsidR="00000000" w:rsidRPr="00E03BF2" w:rsidP="00E03BF2">
            <w:pPr>
              <w:pStyle w:val="BodyText"/>
            </w:pPr>
            <w:r w:rsidRPr="00E03BF2">
              <w:t>Note:</w:t>
            </w:r>
          </w:p>
          <w:p w:rsidR="00000000" w:rsidRPr="00E03BF2" w:rsidP="00E03BF2">
            <w:pPr>
              <w:pStyle w:val="BodyText"/>
            </w:pPr>
            <w:r w:rsidRPr="00E03BF2">
              <w:t>Competent performance with inherent safe working practices is expected in the Transmission, Distribution and Rai</w:t>
            </w:r>
            <w:r w:rsidRPr="00E03BF2">
              <w:t>l Traction Industry. This requires that the specified essential knowledge and associated skills are assessed in a structured environment which is primarily intended for learning/assessment and incorporates all necessary equipment and facilities for learner</w:t>
            </w:r>
            <w:r w:rsidRPr="00E03BF2">
              <w:t>s to develop and demonstrate the essential knowledge and associated skills described in this unit.</w:t>
            </w:r>
          </w:p>
        </w:tc>
      </w:tr>
    </w:tbl>
    <w:p w:rsidR="00000000" w:rsidRPr="00E03BF2" w:rsidP="00E03BF2">
      <w:pPr>
        <w:pStyle w:val="BodyText"/>
      </w:pPr>
    </w:p>
    <w:tbl>
      <w:tblPr>
        <w:tblW w:w="0" w:type="auto"/>
        <w:tblLayout w:type="fixed"/>
        <w:tblCellMar>
          <w:left w:w="62" w:type="dxa"/>
          <w:right w:w="62" w:type="dxa"/>
        </w:tblCellMar>
        <w:tblLook w:val="0000"/>
      </w:tblPr>
      <w:tblGrid>
        <w:gridCol w:w="1890"/>
        <w:gridCol w:w="6570"/>
      </w:tblGrid>
      <w:tr w:rsidTr="004033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9.5)</w:t>
            </w:r>
          </w:p>
        </w:tc>
      </w:tr>
      <w:tr w:rsidTr="004033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There are no concurrent assessment recommendations for this unit.</w:t>
            </w:r>
          </w:p>
        </w:tc>
      </w:tr>
    </w:tbl>
    <w:p w:rsidR="00000000" w:rsidRPr="00E03BF2" w:rsidP="00E03BF2">
      <w:pPr>
        <w:pStyle w:val="BodyText"/>
      </w:pPr>
    </w:p>
    <w:p w:rsidR="00000000" w:rsidRPr="00E03BF2" w:rsidP="00E03BF2">
      <w:pPr>
        <w:pStyle w:val="AllowPageBreak"/>
      </w:pPr>
    </w:p>
    <w:p w:rsidR="00000000" w:rsidRPr="00E03BF2" w:rsidP="00E03BF2">
      <w:pPr>
        <w:pStyle w:val="Heading1"/>
      </w:pPr>
      <w:bookmarkStart w:id="11" w:name="O_464542"/>
      <w:bookmarkEnd w:id="11"/>
      <w:r w:rsidRPr="00E03BF2">
        <w:t>Range Statement</w:t>
      </w:r>
    </w:p>
    <w:tbl>
      <w:tblPr>
        <w:tblW w:w="0" w:type="auto"/>
        <w:tblLayout w:type="fixed"/>
        <w:tblCellMar>
          <w:left w:w="62" w:type="dxa"/>
          <w:right w:w="62" w:type="dxa"/>
        </w:tblCellMar>
        <w:tblLook w:val="0000"/>
      </w:tblPr>
      <w:tblGrid>
        <w:gridCol w:w="8460"/>
      </w:tblGrid>
      <w:tr w:rsidTr="004033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RANGE STATEMENT</w:t>
            </w:r>
          </w:p>
        </w:tc>
      </w:tr>
      <w:tr w:rsidTr="004033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10)</w:t>
            </w:r>
            <w:r w:rsidRPr="00E03BF2">
              <w:t xml:space="preserve"> This relates to the unit of competency as a whole providing the range of contexts and conditions to which the Performance Criteria apply. It allows for different work environments and situations that will affect perform</w:t>
            </w:r>
            <w:r w:rsidRPr="00E03BF2">
              <w:t>ance.</w:t>
            </w:r>
          </w:p>
          <w:p w:rsidR="00000000" w:rsidRPr="00E03BF2" w:rsidP="00E03BF2">
            <w:pPr>
              <w:pStyle w:val="BodyText"/>
            </w:pPr>
            <w:r w:rsidRPr="00E03BF2">
              <w:t>This Competency Standard Unit shall be demonstrated in relation to the development of secondary isolation instructional documents.</w:t>
            </w:r>
          </w:p>
          <w:p w:rsidR="00000000" w:rsidRPr="00E03BF2" w:rsidP="00E03BF2">
            <w:pPr>
              <w:pStyle w:val="BodyText"/>
            </w:pPr>
            <w:r w:rsidRPr="00E03BF2">
              <w:t>Tests may include: DC/AC measurements, error, continuity, noise level, return loss, spectrum analysis, radio on receive</w:t>
            </w:r>
            <w:r w:rsidRPr="00E03BF2">
              <w:t>r sensibility, surveys - mobile phones/pager, end to end, line levels both in and out, transmitter power, transmitter frequency, transmitter deviation, receiver frequency and sensitivity, level and quality of demodulated output - audio/bit error rate, ante</w:t>
            </w:r>
            <w:r w:rsidRPr="00E03BF2">
              <w:t>nna sweep measurements, power and environmental conditions including emergency power plant.</w:t>
            </w:r>
          </w:p>
          <w:p w:rsidR="00000000" w:rsidRPr="00E03BF2" w:rsidP="00E03BF2">
            <w:pPr>
              <w:pStyle w:val="BodyText"/>
            </w:pPr>
            <w:r w:rsidRPr="00E03BF2">
              <w:t>Diagnostic, testing and restoration may involve: Appropriate documentation relating to the protection device; Voltage, current and resistance measuring instruments;</w:t>
            </w:r>
            <w:r w:rsidRPr="00E03BF2">
              <w:t xml:space="preserve"> Microprocessor based diagnostic test equipment; Laptop computer and diagnostic software; Loop control test instruments.</w:t>
            </w:r>
          </w:p>
          <w:p w:rsidR="00000000" w:rsidRPr="00E03BF2" w:rsidP="00E03BF2">
            <w:pPr>
              <w:pStyle w:val="BodyText"/>
            </w:pPr>
            <w:r w:rsidRPr="00E03BF2">
              <w:t>Complex testing refers to dielectric dissipation factors tests, partial discharge, applied and induced HV tests, CT and VT accuracy tes</w:t>
            </w:r>
            <w:r w:rsidRPr="00E03BF2">
              <w:t>ts (calibration), watts loss, ratio confirmation tests, tests on interconnected equipment, sf6 tests.</w:t>
            </w:r>
          </w:p>
          <w:p w:rsidR="00000000" w:rsidRPr="00E03BF2" w:rsidP="00E03BF2">
            <w:pPr>
              <w:pStyle w:val="BodyText"/>
            </w:pPr>
            <w:r w:rsidRPr="00E03BF2">
              <w:t>Testing and recording equipment could include: Digital bearer test equipment; Voice frequency analysers; RF mounting equipment; RF spectrum equipment; Mul</w:t>
            </w:r>
            <w:r w:rsidRPr="00E03BF2">
              <w:t>timeters; Communication testers; Transmission measuring sets; Directional couplers; Laptop computers.</w:t>
            </w:r>
          </w:p>
          <w:p w:rsidR="00000000" w:rsidRPr="00E03BF2" w:rsidP="00E03BF2">
            <w:pPr>
              <w:pStyle w:val="BodyText"/>
            </w:pPr>
            <w:r w:rsidRPr="00E03BF2">
              <w:t>Test and recording equipment may include: Infrascan equipment; Phasing equipment; Recording meters; Trend monitoring equipment; Condition monitoring equip</w:t>
            </w:r>
            <w:r w:rsidRPr="00E03BF2">
              <w:t xml:space="preserve">ment; Diagnostic testing devices using computer hardware and software; Taplon sticks; Insulation and continuity test instruments; Voltage, resistance and current testers; Ductors; Ratio meters; Earth systems testing devices; Capacitor bridge meters; Doble </w:t>
            </w:r>
            <w:r w:rsidRPr="00E03BF2">
              <w:t>Test sets devices; High voltage alternating current test sets; Scope meters; Clip on ammeters; Test plans for automatic relay testing SCADA systems used for developing and evaluating voltage regulation systems, circuit breaker reclosing systems, VAR’s moni</w:t>
            </w:r>
            <w:r w:rsidRPr="00E03BF2">
              <w:t>toring and similar computer controlled diagnostic testing and recording.</w:t>
            </w:r>
          </w:p>
          <w:p w:rsidR="00000000" w:rsidRPr="00E03BF2" w:rsidP="00E03BF2">
            <w:pPr>
              <w:pStyle w:val="BodyText"/>
            </w:pPr>
            <w:r w:rsidRPr="00E03BF2">
              <w:t>Test and recording equipment may include: AC/DC test sets; IR testers; earth resistance meters; cable fault location equipment; circuit breaker timers; recording equipment; devices ut</w:t>
            </w:r>
            <w:r w:rsidRPr="00E03BF2">
              <w:t>ilising computer hardware and software; oil dielectric strength equipment; trend monitoring equipment; infrared thermographic equipment; schering bridge; partial discharge test equipment; double insulation test set; primary injection test sets; CT and VT c</w:t>
            </w:r>
            <w:r w:rsidRPr="00E03BF2">
              <w:t>alibration equipment and sf6 leakage testers.</w:t>
            </w:r>
          </w:p>
          <w:p w:rsidR="00000000" w:rsidRPr="00E03BF2" w:rsidP="00E03BF2">
            <w:pPr>
              <w:pStyle w:val="BodyText"/>
            </w:pPr>
            <w:r w:rsidRPr="00E03BF2">
              <w:t>Computerised test equipment work may include, for example: Secondary injection test sets, primary test sets, insulation test sets, timing test sets, Circuit breaker test sets, magnetic test sets.</w:t>
            </w:r>
          </w:p>
          <w:p w:rsidR="00000000" w:rsidRPr="00E03BF2" w:rsidP="00E03BF2">
            <w:pPr>
              <w:pStyle w:val="BodyText"/>
            </w:pPr>
            <w:r w:rsidRPr="00E03BF2">
              <w:t xml:space="preserve">The following </w:t>
            </w:r>
            <w:r w:rsidRPr="00E03BF2">
              <w:t>constants and variables included in the element/Performance Criteria in this unit are fully described in the Definitions Section 1 of this volume and form an integral part of the Range Statement of this unit:</w:t>
            </w:r>
          </w:p>
          <w:p w:rsidR="00000000" w:rsidRPr="00E03BF2" w:rsidP="00E03BF2">
            <w:pPr>
              <w:pStyle w:val="ListBullet3"/>
            </w:pPr>
            <w:r w:rsidRPr="00E03BF2">
              <w:t>Appropriate and relevant persons (see Personne</w:t>
            </w:r>
            <w:r w:rsidRPr="00E03BF2">
              <w:t>l)</w:t>
            </w:r>
          </w:p>
          <w:p w:rsidR="00000000" w:rsidRPr="00E03BF2" w:rsidP="00E03BF2">
            <w:pPr>
              <w:pStyle w:val="ListBullet3"/>
            </w:pPr>
            <w:r w:rsidRPr="00E03BF2">
              <w:t>Appropriate authorities</w:t>
            </w:r>
          </w:p>
          <w:p w:rsidR="00000000" w:rsidRPr="00E03BF2" w:rsidP="00E03BF2">
            <w:pPr>
              <w:pStyle w:val="ListBullet3"/>
            </w:pPr>
            <w:r w:rsidRPr="00E03BF2">
              <w:t>Appropriate work platform</w:t>
            </w:r>
          </w:p>
          <w:p w:rsidR="00000000" w:rsidRPr="00E03BF2" w:rsidP="00E03BF2">
            <w:pPr>
              <w:pStyle w:val="ListBullet3"/>
            </w:pPr>
            <w:r w:rsidRPr="00E03BF2">
              <w:t>Assessing risk</w:t>
            </w:r>
          </w:p>
          <w:p w:rsidR="00000000" w:rsidRPr="00E03BF2" w:rsidP="00E03BF2">
            <w:pPr>
              <w:pStyle w:val="ListBullet3"/>
            </w:pPr>
            <w:r w:rsidRPr="00E03BF2">
              <w:t>Assessment</w:t>
            </w:r>
          </w:p>
          <w:p w:rsidR="00000000" w:rsidRPr="00E03BF2" w:rsidP="00E03BF2">
            <w:pPr>
              <w:pStyle w:val="ListBullet3"/>
            </w:pPr>
            <w:r w:rsidRPr="00E03BF2">
              <w:t>Authorisation</w:t>
            </w:r>
          </w:p>
          <w:p w:rsidR="00000000" w:rsidRPr="00E03BF2" w:rsidP="00E03BF2">
            <w:pPr>
              <w:pStyle w:val="ListBullet3"/>
            </w:pPr>
            <w:r w:rsidRPr="00E03BF2">
              <w:t>Confined space</w:t>
            </w:r>
          </w:p>
          <w:p w:rsidR="00000000" w:rsidRPr="00E03BF2" w:rsidP="00E03BF2">
            <w:pPr>
              <w:pStyle w:val="ListBullet3"/>
            </w:pPr>
            <w:r w:rsidRPr="00E03BF2">
              <w:t>Diagnostic, testing and restoration</w:t>
            </w:r>
          </w:p>
          <w:p w:rsidR="00000000" w:rsidRPr="00E03BF2" w:rsidP="00E03BF2">
            <w:pPr>
              <w:pStyle w:val="ListBullet3"/>
            </w:pPr>
            <w:r w:rsidRPr="00E03BF2">
              <w:t>Documenting detail work events, record keeping and or storage of information</w:t>
            </w:r>
          </w:p>
          <w:p w:rsidR="00000000" w:rsidRPr="00E03BF2" w:rsidP="00E03BF2">
            <w:pPr>
              <w:pStyle w:val="ListBullet3"/>
            </w:pPr>
            <w:r w:rsidRPr="00E03BF2">
              <w:t>Drawings and specifications</w:t>
            </w:r>
          </w:p>
          <w:p w:rsidR="00000000" w:rsidRPr="00E03BF2" w:rsidP="00E03BF2">
            <w:pPr>
              <w:pStyle w:val="ListBullet3"/>
            </w:pPr>
            <w:r w:rsidRPr="00E03BF2">
              <w:t>Emergency</w:t>
            </w:r>
          </w:p>
          <w:p w:rsidR="00000000" w:rsidRPr="00E03BF2" w:rsidP="00E03BF2">
            <w:pPr>
              <w:pStyle w:val="ListBullet3"/>
            </w:pPr>
            <w:r w:rsidRPr="00E03BF2">
              <w:t>Environmental and sustainable energy procedures</w:t>
            </w:r>
          </w:p>
          <w:p w:rsidR="00000000" w:rsidRPr="00E03BF2" w:rsidP="00E03BF2">
            <w:pPr>
              <w:pStyle w:val="ListBullet3"/>
            </w:pPr>
            <w:r w:rsidRPr="00E03BF2">
              <w:t>Environmental legislation</w:t>
            </w:r>
          </w:p>
          <w:p w:rsidR="00000000" w:rsidRPr="00E03BF2" w:rsidP="00E03BF2">
            <w:pPr>
              <w:pStyle w:val="ListBullet3"/>
            </w:pPr>
            <w:r w:rsidRPr="00E03BF2">
              <w:t>Environmental management documentation</w:t>
            </w:r>
          </w:p>
          <w:p w:rsidR="00000000" w:rsidRPr="00E03BF2" w:rsidP="00E03BF2">
            <w:pPr>
              <w:pStyle w:val="ListBullet3"/>
            </w:pPr>
            <w:r w:rsidRPr="00E03BF2">
              <w:t>Established procedures</w:t>
            </w:r>
          </w:p>
          <w:p w:rsidR="00000000" w:rsidRPr="00E03BF2" w:rsidP="00E03BF2">
            <w:pPr>
              <w:pStyle w:val="ListBullet3"/>
            </w:pPr>
            <w:r w:rsidRPr="00E03BF2">
              <w:t>Fall prevention</w:t>
            </w:r>
          </w:p>
          <w:p w:rsidR="00000000" w:rsidRPr="00E03BF2" w:rsidP="00E03BF2">
            <w:pPr>
              <w:pStyle w:val="ListBullet3"/>
            </w:pPr>
            <w:r w:rsidRPr="00E03BF2">
              <w:t>Hazards</w:t>
            </w:r>
          </w:p>
          <w:p w:rsidR="00000000" w:rsidRPr="00E03BF2" w:rsidP="00E03BF2">
            <w:pPr>
              <w:pStyle w:val="ListBullet3"/>
            </w:pPr>
            <w:r w:rsidRPr="00E03BF2">
              <w:t>Identifying hazards</w:t>
            </w:r>
          </w:p>
          <w:p w:rsidR="00000000" w:rsidRPr="00E03BF2" w:rsidP="00E03BF2">
            <w:pPr>
              <w:pStyle w:val="ListBullet3"/>
            </w:pPr>
            <w:r w:rsidRPr="00E03BF2">
              <w:t>Inspect</w:t>
            </w:r>
          </w:p>
          <w:p w:rsidR="00000000" w:rsidRPr="00E03BF2" w:rsidP="00E03BF2">
            <w:pPr>
              <w:pStyle w:val="ListBullet3"/>
            </w:pPr>
            <w:r w:rsidRPr="00E03BF2">
              <w:t>Legislation</w:t>
            </w:r>
          </w:p>
          <w:p w:rsidR="00000000" w:rsidRPr="00E03BF2" w:rsidP="00E03BF2">
            <w:pPr>
              <w:pStyle w:val="ListBullet3"/>
            </w:pPr>
            <w:r w:rsidRPr="00E03BF2">
              <w:t>MSDS</w:t>
            </w:r>
          </w:p>
          <w:p w:rsidR="00000000" w:rsidRPr="00E03BF2" w:rsidP="00E03BF2">
            <w:pPr>
              <w:pStyle w:val="ListBullet3"/>
            </w:pPr>
            <w:r w:rsidRPr="00E03BF2">
              <w:t>Notification</w:t>
            </w:r>
          </w:p>
          <w:p w:rsidR="00000000" w:rsidRPr="00E03BF2" w:rsidP="00E03BF2">
            <w:pPr>
              <w:pStyle w:val="ListBullet3"/>
            </w:pPr>
            <w:r w:rsidRPr="00E03BF2">
              <w:t>OHS practices</w:t>
            </w:r>
          </w:p>
          <w:p w:rsidR="00000000" w:rsidRPr="00E03BF2" w:rsidP="00E03BF2">
            <w:pPr>
              <w:pStyle w:val="ListBullet3"/>
            </w:pPr>
            <w:r w:rsidRPr="00E03BF2">
              <w:t>OHS issues</w:t>
            </w:r>
          </w:p>
          <w:p w:rsidR="00000000" w:rsidRPr="00E03BF2" w:rsidP="00E03BF2">
            <w:pPr>
              <w:pStyle w:val="ListBullet3"/>
            </w:pPr>
            <w:r w:rsidRPr="00E03BF2">
              <w:t>Permits and/or permits to work</w:t>
            </w:r>
          </w:p>
          <w:p w:rsidR="00000000" w:rsidRPr="00E03BF2" w:rsidP="00E03BF2">
            <w:pPr>
              <w:pStyle w:val="ListBullet3"/>
            </w:pPr>
            <w:r w:rsidRPr="00E03BF2">
              <w:t>Personnel</w:t>
            </w:r>
          </w:p>
          <w:p w:rsidR="00000000" w:rsidRPr="00E03BF2" w:rsidP="00E03BF2">
            <w:pPr>
              <w:pStyle w:val="ListBullet3"/>
            </w:pPr>
            <w:r w:rsidRPr="00E03BF2">
              <w:t>Quality assurance systems</w:t>
            </w:r>
          </w:p>
          <w:p w:rsidR="00000000" w:rsidRPr="00E03BF2" w:rsidP="00E03BF2">
            <w:pPr>
              <w:pStyle w:val="ListBullet3"/>
            </w:pPr>
            <w:r w:rsidRPr="00E03BF2">
              <w:t>Requirements</w:t>
            </w:r>
          </w:p>
          <w:p w:rsidR="00000000" w:rsidRPr="00E03BF2" w:rsidP="00E03BF2">
            <w:pPr>
              <w:pStyle w:val="ListBullet3"/>
            </w:pPr>
            <w:r w:rsidRPr="00E03BF2">
              <w:t>Testing procedures</w:t>
            </w:r>
          </w:p>
          <w:p w:rsidR="00000000" w:rsidRPr="00E03BF2" w:rsidP="00E03BF2">
            <w:pPr>
              <w:pStyle w:val="ListBullet3"/>
            </w:pPr>
            <w:r w:rsidRPr="00E03BF2">
              <w:t>Work clearance systems</w:t>
            </w:r>
          </w:p>
        </w:tc>
      </w:tr>
    </w:tbl>
    <w:p w:rsidR="00000000" w:rsidRPr="00E03BF2" w:rsidP="00E03BF2">
      <w:pPr>
        <w:pStyle w:val="BodyText"/>
      </w:pPr>
    </w:p>
    <w:p w:rsidR="00000000" w:rsidRPr="00E03BF2" w:rsidP="00E03BF2">
      <w:pPr>
        <w:pStyle w:val="AllowPageBreak"/>
      </w:pPr>
    </w:p>
    <w:p w:rsidR="00000000" w:rsidRPr="00E03BF2" w:rsidP="00E03BF2">
      <w:pPr>
        <w:pStyle w:val="Heading1"/>
      </w:pPr>
      <w:bookmarkStart w:id="12" w:name="O_464545"/>
      <w:bookmarkEnd w:id="12"/>
      <w:r w:rsidRPr="00E03BF2">
        <w:t>Unit Sector(s)</w:t>
      </w:r>
    </w:p>
    <w:p w:rsidR="00000000" w:rsidRPr="00E03BF2" w:rsidP="00E03BF2">
      <w:pPr>
        <w:pStyle w:val="BodyText"/>
      </w:pPr>
      <w:r w:rsidRPr="00E03BF2">
        <w:t>Not applicable.</w:t>
      </w:r>
    </w:p>
    <w:p w:rsidR="00000000" w:rsidRPr="00E03BF2" w:rsidP="00E03BF2">
      <w:pPr>
        <w:pStyle w:val="AllowPageBreak"/>
      </w:pPr>
    </w:p>
    <w:p w:rsidR="00000000" w:rsidRPr="00E03BF2" w:rsidP="00E03BF2">
      <w:pPr>
        <w:pStyle w:val="Heading1"/>
      </w:pPr>
      <w:bookmarkStart w:id="13" w:name="O_464534"/>
      <w:bookmarkEnd w:id="13"/>
      <w:r w:rsidRPr="00E03BF2">
        <w:t>Competency Field</w:t>
      </w:r>
    </w:p>
    <w:tbl>
      <w:tblPr>
        <w:tblW w:w="0" w:type="auto"/>
        <w:tblLayout w:type="fixed"/>
        <w:tblCellMar>
          <w:left w:w="62" w:type="dxa"/>
          <w:right w:w="62" w:type="dxa"/>
        </w:tblCellMar>
        <w:tblLook w:val="0000"/>
      </w:tblPr>
      <w:tblGrid>
        <w:gridCol w:w="2700"/>
        <w:gridCol w:w="5760"/>
      </w:tblGrid>
      <w:tr w:rsidTr="004033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03BF2">
            <w:pPr>
              <w:pStyle w:val="BodyText"/>
              <w:rPr>
                <w:lang w:val="en-NZ"/>
              </w:rPr>
            </w:pPr>
            <w:r w:rsidRPr="00E03BF2">
              <w:rPr>
                <w:rStyle w:val="SpecialBold"/>
              </w:rPr>
              <w:t xml:space="preserve">11) </w:t>
            </w:r>
          </w:p>
        </w:tc>
      </w:tr>
      <w:tr w:rsidTr="004033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03BF2" w:rsidP="00E03BF2">
            <w:pPr>
              <w:pStyle w:val="BodyText"/>
            </w:pPr>
            <w:r w:rsidRPr="00E03BF2">
              <w:t>Testing Units</w:t>
            </w:r>
          </w:p>
        </w:tc>
      </w:tr>
    </w:tbl>
    <w:p w:rsidR="00000000" w:rsidRPr="00E03BF2" w:rsidP="00E03BF2">
      <w:pPr>
        <w:pStyle w:val="BodyText"/>
      </w:pPr>
    </w:p>
    <w:p w:rsidR="00000000" w:rsidRPr="00E03BF2" w:rsidP="00E03BF2"/>
    <w:sectPr w:rsidSect="00E03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365" w:rsidP="004033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65" w:rsidP="00E03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03365" w:rsidP="00E03B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03365" w:rsidP="00E03B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365" w:rsidP="0040336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365" w:rsidP="00E03BF2">
    <w:pPr>
      <w:pStyle w:val="Header"/>
      <w:framePr w:wrap="around"/>
    </w:pPr>
    <w:r>
      <w:fldChar w:fldCharType="begin"/>
    </w:r>
    <w:r>
      <w:instrText xml:space="preserve"> TITLE   \* MERGEFORMAT </w:instrText>
    </w:r>
    <w:r>
      <w:fldChar w:fldCharType="separate"/>
    </w:r>
    <w:r>
      <w:t>UETTDRTS29A Develop power systems secondary isolation instructional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3365" w:rsidP="00E03B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68E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A0D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6C3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B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3BF2"/>
    <w:pPr>
      <w:spacing w:before="360" w:after="60"/>
      <w:outlineLvl w:val="0"/>
    </w:pPr>
    <w:rPr>
      <w:sz w:val="32"/>
    </w:rPr>
  </w:style>
  <w:style w:type="paragraph" w:styleId="Heading2">
    <w:name w:val="heading 2"/>
    <w:basedOn w:val="HeadingBase"/>
    <w:next w:val="BodyText"/>
    <w:link w:val="Heading2Char"/>
    <w:qFormat/>
    <w:rsid w:val="00E03BF2"/>
    <w:pPr>
      <w:keepLines/>
      <w:spacing w:before="240" w:after="120"/>
      <w:outlineLvl w:val="1"/>
    </w:pPr>
    <w:rPr>
      <w:sz w:val="28"/>
      <w:szCs w:val="40"/>
    </w:rPr>
  </w:style>
  <w:style w:type="paragraph" w:styleId="Heading3">
    <w:name w:val="heading 3"/>
    <w:basedOn w:val="HeadingBase"/>
    <w:next w:val="BodyText"/>
    <w:link w:val="Heading3Char"/>
    <w:qFormat/>
    <w:rsid w:val="00E03BF2"/>
    <w:pPr>
      <w:spacing w:before="180" w:after="120"/>
      <w:outlineLvl w:val="2"/>
    </w:pPr>
    <w:rPr>
      <w:spacing w:val="-10"/>
      <w:kern w:val="32"/>
    </w:rPr>
  </w:style>
  <w:style w:type="paragraph" w:styleId="Heading4">
    <w:name w:val="heading 4"/>
    <w:basedOn w:val="HeadingBase"/>
    <w:next w:val="BodyText"/>
    <w:link w:val="Heading4Char"/>
    <w:qFormat/>
    <w:rsid w:val="00E03BF2"/>
    <w:pPr>
      <w:spacing w:before="160" w:after="120"/>
      <w:outlineLvl w:val="3"/>
    </w:pPr>
    <w:rPr>
      <w:sz w:val="22"/>
    </w:rPr>
  </w:style>
  <w:style w:type="paragraph" w:styleId="Heading5">
    <w:name w:val="heading 5"/>
    <w:basedOn w:val="HeadingBase"/>
    <w:next w:val="Normal"/>
    <w:link w:val="Heading5Char"/>
    <w:qFormat/>
    <w:rsid w:val="00E03BF2"/>
    <w:pPr>
      <w:spacing w:before="80"/>
      <w:outlineLvl w:val="4"/>
    </w:pPr>
    <w:rPr>
      <w:color w:val="918585"/>
      <w:sz w:val="20"/>
    </w:rPr>
  </w:style>
  <w:style w:type="paragraph" w:styleId="Heading6">
    <w:name w:val="heading 6"/>
    <w:basedOn w:val="HeadingBase"/>
    <w:next w:val="Normal"/>
    <w:link w:val="Heading6Char"/>
    <w:qFormat/>
    <w:rsid w:val="00E03BF2"/>
    <w:pPr>
      <w:spacing w:before="60"/>
      <w:outlineLvl w:val="5"/>
    </w:pPr>
    <w:rPr>
      <w:color w:val="918585"/>
      <w:sz w:val="20"/>
    </w:rPr>
  </w:style>
  <w:style w:type="paragraph" w:styleId="Heading7">
    <w:name w:val="heading 7"/>
    <w:basedOn w:val="Normal"/>
    <w:next w:val="Normal"/>
    <w:link w:val="Heading7Char"/>
    <w:qFormat/>
    <w:rsid w:val="00E03BF2"/>
    <w:pPr>
      <w:ind w:left="720"/>
      <w:outlineLvl w:val="6"/>
    </w:pPr>
    <w:rPr>
      <w:i/>
    </w:rPr>
  </w:style>
  <w:style w:type="paragraph" w:styleId="Heading8">
    <w:name w:val="heading 8"/>
    <w:basedOn w:val="Normal"/>
    <w:next w:val="Normal"/>
    <w:link w:val="Heading8Char"/>
    <w:qFormat/>
    <w:rsid w:val="00E03BF2"/>
    <w:pPr>
      <w:ind w:left="720"/>
      <w:outlineLvl w:val="7"/>
    </w:pPr>
    <w:rPr>
      <w:i/>
    </w:rPr>
  </w:style>
  <w:style w:type="paragraph" w:styleId="Heading9">
    <w:name w:val="heading 9"/>
    <w:basedOn w:val="Normal"/>
    <w:next w:val="Normal"/>
    <w:link w:val="Heading9Char"/>
    <w:qFormat/>
    <w:rsid w:val="00E03BF2"/>
    <w:pPr>
      <w:ind w:left="720"/>
      <w:outlineLvl w:val="8"/>
    </w:pPr>
    <w:rPr>
      <w:i/>
    </w:rPr>
  </w:style>
  <w:style w:type="character" w:default="1" w:styleId="DefaultParagraphFont">
    <w:name w:val="Default Paragraph Font"/>
    <w:uiPriority w:val="1"/>
    <w:unhideWhenUsed/>
    <w:rsid w:val="00E03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BF2"/>
  </w:style>
  <w:style w:type="character" w:customStyle="1" w:styleId="Heading1Char">
    <w:name w:val="Heading 1 Char"/>
    <w:basedOn w:val="DefaultParagraphFont"/>
    <w:link w:val="Heading1"/>
    <w:rsid w:val="00E03BF2"/>
    <w:rPr>
      <w:rFonts w:ascii="Times New Roman" w:eastAsia="Times New Roman" w:hAnsi="Times New Roman" w:cs="Times New Roman"/>
      <w:b/>
      <w:sz w:val="32"/>
      <w:szCs w:val="20"/>
      <w:lang w:eastAsia="en-US"/>
    </w:rPr>
  </w:style>
  <w:style w:type="paragraph" w:styleId="BodyText">
    <w:name w:val="Body Text"/>
    <w:basedOn w:val="Normal"/>
    <w:link w:val="BodyTextChar"/>
    <w:rsid w:val="00E03B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3BF2"/>
    <w:rPr>
      <w:rFonts w:ascii="Times New Roman" w:eastAsia="Times New Roman" w:hAnsi="Times New Roman" w:cs="Times New Roman"/>
      <w:sz w:val="24"/>
      <w:lang w:val="en-US" w:eastAsia="en-US"/>
    </w:rPr>
  </w:style>
  <w:style w:type="paragraph" w:styleId="Footer">
    <w:name w:val="footer"/>
    <w:basedOn w:val="Normal"/>
    <w:link w:val="FooterChar"/>
    <w:rsid w:val="00E03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BF2"/>
    <w:rPr>
      <w:rFonts w:ascii="Times New Roman" w:eastAsia="Times New Roman" w:hAnsi="Times New Roman" w:cs="Times New Roman"/>
      <w:sz w:val="16"/>
      <w:lang w:val="en-US" w:eastAsia="en-US"/>
    </w:rPr>
  </w:style>
  <w:style w:type="paragraph" w:styleId="ListBullet">
    <w:name w:val="List Bullet"/>
    <w:basedOn w:val="List"/>
    <w:rsid w:val="00E03BF2"/>
    <w:pPr>
      <w:numPr>
        <w:numId w:val="14"/>
      </w:numPr>
      <w:tabs>
        <w:tab w:val="clear" w:pos="340"/>
      </w:tabs>
      <w:spacing w:before="40" w:after="40"/>
    </w:pPr>
  </w:style>
  <w:style w:type="character" w:customStyle="1" w:styleId="SpecialBold">
    <w:name w:val="Special Bold"/>
    <w:basedOn w:val="DefaultParagraphFont"/>
    <w:rsid w:val="00E03BF2"/>
    <w:rPr>
      <w:b/>
      <w:spacing w:val="0"/>
    </w:rPr>
  </w:style>
  <w:style w:type="paragraph" w:styleId="ListBullet2">
    <w:name w:val="List Bullet 2"/>
    <w:basedOn w:val="List2"/>
    <w:rsid w:val="00E03BF2"/>
    <w:pPr>
      <w:numPr>
        <w:numId w:val="15"/>
      </w:numPr>
      <w:tabs>
        <w:tab w:val="clear" w:pos="680"/>
      </w:tabs>
    </w:pPr>
  </w:style>
  <w:style w:type="paragraph" w:styleId="Header">
    <w:name w:val="header"/>
    <w:basedOn w:val="Normal"/>
    <w:link w:val="HeaderChar"/>
    <w:rsid w:val="00E03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B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3BF2"/>
    <w:pPr>
      <w:spacing w:before="240" w:after="120"/>
      <w:outlineLvl w:val="0"/>
    </w:pPr>
    <w:rPr>
      <w:rFonts w:ascii="Times New Roman" w:hAnsi="Times New Roman"/>
      <w:b/>
      <w:sz w:val="28"/>
    </w:rPr>
  </w:style>
  <w:style w:type="paragraph" w:customStyle="1" w:styleId="AllowPageBreak">
    <w:name w:val="AllowPageBreak"/>
    <w:rsid w:val="00E03B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3BF2"/>
    <w:pPr>
      <w:numPr>
        <w:numId w:val="3"/>
      </w:numPr>
      <w:tabs>
        <w:tab w:val="clear" w:pos="1021"/>
      </w:tabs>
      <w:ind w:left="1037" w:hanging="357"/>
    </w:pPr>
  </w:style>
  <w:style w:type="character" w:customStyle="1" w:styleId="Heading2Char">
    <w:name w:val="Heading 2 Char"/>
    <w:basedOn w:val="DefaultParagraphFont"/>
    <w:link w:val="Heading2"/>
    <w:rsid w:val="00E03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B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3B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3BF2"/>
    <w:rPr>
      <w:rFonts w:ascii="Courier New" w:eastAsia="Times New Roman" w:hAnsi="Courier New" w:cs="Times New Roman"/>
      <w:i/>
      <w:szCs w:val="20"/>
      <w:lang w:val="en-US" w:eastAsia="en-US"/>
    </w:rPr>
  </w:style>
  <w:style w:type="paragraph" w:customStyle="1" w:styleId="HeadingBase">
    <w:name w:val="Heading Base"/>
    <w:rsid w:val="00E03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BF2"/>
    <w:pPr>
      <w:tabs>
        <w:tab w:val="right" w:leader="dot" w:pos="9072"/>
      </w:tabs>
      <w:ind w:left="567"/>
    </w:pPr>
    <w:rPr>
      <w:szCs w:val="22"/>
    </w:rPr>
  </w:style>
  <w:style w:type="paragraph" w:customStyle="1" w:styleId="TOCBase">
    <w:name w:val="TOC Base"/>
    <w:rsid w:val="00E03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BF2"/>
    <w:pPr>
      <w:tabs>
        <w:tab w:val="right" w:leader="dot" w:pos="9072"/>
      </w:tabs>
      <w:spacing w:before="40" w:after="40"/>
      <w:ind w:left="284"/>
    </w:pPr>
    <w:rPr>
      <w:rFonts w:ascii="Times New Roman" w:hAnsi="Times New Roman"/>
    </w:rPr>
  </w:style>
  <w:style w:type="paragraph" w:styleId="TOC1">
    <w:name w:val="toc 1"/>
    <w:basedOn w:val="TOCBase"/>
    <w:next w:val="Normal"/>
    <w:rsid w:val="00E03B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3BF2"/>
    <w:pPr>
      <w:spacing w:before="5040"/>
      <w:jc w:val="center"/>
    </w:pPr>
    <w:rPr>
      <w:sz w:val="48"/>
      <w:szCs w:val="72"/>
      <w:lang w:val="en-US"/>
    </w:rPr>
  </w:style>
  <w:style w:type="character" w:customStyle="1" w:styleId="TitleChar">
    <w:name w:val="Title Char"/>
    <w:basedOn w:val="DefaultParagraphFont"/>
    <w:link w:val="Title"/>
    <w:rsid w:val="00E03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BF2"/>
    <w:pPr>
      <w:tabs>
        <w:tab w:val="left" w:pos="3600"/>
        <w:tab w:val="left" w:pos="3958"/>
      </w:tabs>
    </w:pPr>
  </w:style>
  <w:style w:type="paragraph" w:styleId="List">
    <w:name w:val="List"/>
    <w:basedOn w:val="BodyText"/>
    <w:next w:val="BodyText"/>
    <w:rsid w:val="00E03BF2"/>
    <w:pPr>
      <w:tabs>
        <w:tab w:val="left" w:pos="340"/>
      </w:tabs>
      <w:spacing w:before="60" w:after="60"/>
      <w:ind w:left="340" w:hanging="340"/>
    </w:pPr>
  </w:style>
  <w:style w:type="paragraph" w:customStyle="1" w:styleId="Note">
    <w:name w:val="Note"/>
    <w:basedOn w:val="BodyText"/>
    <w:rsid w:val="00E03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BF2"/>
    <w:pPr>
      <w:framePr w:wrap="auto" w:hAnchor="text" w:y="6049"/>
    </w:pPr>
    <w:rPr>
      <w:color w:val="000000"/>
      <w:sz w:val="40"/>
    </w:rPr>
  </w:style>
  <w:style w:type="paragraph" w:customStyle="1" w:styleId="TOCTitle">
    <w:name w:val="TOCTitle"/>
    <w:basedOn w:val="Heading1"/>
    <w:rsid w:val="00E03BF2"/>
    <w:pPr>
      <w:spacing w:after="240"/>
      <w:jc w:val="center"/>
      <w:outlineLvl w:val="9"/>
    </w:pPr>
    <w:rPr>
      <w:caps/>
    </w:rPr>
  </w:style>
  <w:style w:type="paragraph" w:customStyle="1" w:styleId="Version">
    <w:name w:val="Version"/>
    <w:rsid w:val="00E03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BF2"/>
    <w:pPr>
      <w:keepNext w:val="0"/>
      <w:tabs>
        <w:tab w:val="right" w:pos="4176"/>
      </w:tabs>
      <w:ind w:left="198" w:hanging="198"/>
    </w:pPr>
    <w:rPr>
      <w:rFonts w:ascii="Garamond" w:hAnsi="Garamond"/>
    </w:rPr>
  </w:style>
  <w:style w:type="paragraph" w:styleId="IndexHeading">
    <w:name w:val="index heading"/>
    <w:basedOn w:val="Normal"/>
    <w:next w:val="Index1"/>
    <w:semiHidden/>
    <w:rsid w:val="00E03BF2"/>
    <w:pPr>
      <w:spacing w:before="120" w:after="120"/>
    </w:pPr>
    <w:rPr>
      <w:rFonts w:ascii="Arial" w:hAnsi="Arial"/>
      <w:b/>
      <w:color w:val="918585"/>
      <w:sz w:val="24"/>
    </w:rPr>
  </w:style>
  <w:style w:type="paragraph" w:customStyle="1" w:styleId="Chapter">
    <w:name w:val="Chapter"/>
    <w:basedOn w:val="Normal"/>
    <w:rsid w:val="00E03BF2"/>
    <w:pPr>
      <w:spacing w:before="240"/>
    </w:pPr>
    <w:rPr>
      <w:rFonts w:ascii="Times New Roman" w:hAnsi="Times New Roman"/>
      <w:smallCaps/>
      <w:spacing w:val="80"/>
      <w:sz w:val="28"/>
    </w:rPr>
  </w:style>
  <w:style w:type="paragraph" w:customStyle="1" w:styleId="InChapter">
    <w:name w:val="InChapter"/>
    <w:basedOn w:val="Heading3"/>
    <w:rsid w:val="00E03BF2"/>
    <w:pPr>
      <w:spacing w:after="240"/>
      <w:outlineLvl w:val="9"/>
    </w:pPr>
    <w:rPr>
      <w:noProof/>
    </w:rPr>
  </w:style>
  <w:style w:type="paragraph" w:styleId="Index2">
    <w:name w:val="index 2"/>
    <w:basedOn w:val="Normal"/>
    <w:next w:val="Normal"/>
    <w:semiHidden/>
    <w:rsid w:val="00E03BF2"/>
    <w:pPr>
      <w:tabs>
        <w:tab w:val="right" w:pos="4176"/>
      </w:tabs>
      <w:ind w:left="568" w:hanging="284"/>
    </w:pPr>
    <w:rPr>
      <w:rFonts w:ascii="Garamond" w:hAnsi="Garamond"/>
    </w:rPr>
  </w:style>
  <w:style w:type="paragraph" w:customStyle="1" w:styleId="Byline">
    <w:name w:val="Byline"/>
    <w:rsid w:val="00E03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BF2"/>
    <w:pPr>
      <w:tabs>
        <w:tab w:val="clear" w:pos="3600"/>
        <w:tab w:val="clear" w:pos="3958"/>
      </w:tabs>
      <w:jc w:val="right"/>
    </w:pPr>
  </w:style>
  <w:style w:type="character" w:styleId="Emphasis">
    <w:name w:val="Emphasis"/>
    <w:basedOn w:val="DefaultParagraphFont"/>
    <w:qFormat/>
    <w:rsid w:val="00E03BF2"/>
    <w:rPr>
      <w:i/>
    </w:rPr>
  </w:style>
  <w:style w:type="paragraph" w:styleId="Caption">
    <w:name w:val="caption"/>
    <w:basedOn w:val="BodyText"/>
    <w:next w:val="Normal"/>
    <w:qFormat/>
    <w:rsid w:val="00E03BF2"/>
    <w:pPr>
      <w:framePr w:w="2268" w:hSpace="181" w:vSpace="181" w:wrap="around" w:vAnchor="text" w:hAnchor="page" w:x="1135" w:y="285" w:anchorLock="1"/>
    </w:pPr>
    <w:rPr>
      <w:i/>
    </w:rPr>
  </w:style>
  <w:style w:type="paragraph" w:customStyle="1" w:styleId="MiniTOCTitle">
    <w:name w:val="MiniTOCTitle"/>
    <w:basedOn w:val="Heading4"/>
    <w:rsid w:val="00E03BF2"/>
    <w:pPr>
      <w:spacing w:before="240"/>
      <w:outlineLvl w:val="9"/>
    </w:pPr>
    <w:rPr>
      <w:noProof/>
      <w:sz w:val="24"/>
    </w:rPr>
  </w:style>
  <w:style w:type="paragraph" w:customStyle="1" w:styleId="MiniTOCItem">
    <w:name w:val="MiniTOCItem"/>
    <w:basedOn w:val="ListBullet"/>
    <w:rsid w:val="00E03BF2"/>
    <w:pPr>
      <w:numPr>
        <w:numId w:val="0"/>
      </w:numPr>
      <w:tabs>
        <w:tab w:val="right" w:leader="dot" w:pos="6521"/>
      </w:tabs>
      <w:spacing w:before="0" w:after="0"/>
    </w:pPr>
  </w:style>
  <w:style w:type="paragraph" w:customStyle="1" w:styleId="TOFTitle">
    <w:name w:val="TOFTitle"/>
    <w:basedOn w:val="TOCTitle"/>
    <w:rsid w:val="00E03BF2"/>
  </w:style>
  <w:style w:type="paragraph" w:styleId="TableofFigures">
    <w:name w:val="table of figures"/>
    <w:basedOn w:val="Normal"/>
    <w:next w:val="Normal"/>
    <w:semiHidden/>
    <w:rsid w:val="00E03BF2"/>
    <w:pPr>
      <w:tabs>
        <w:tab w:val="right" w:leader="dot" w:pos="9072"/>
      </w:tabs>
      <w:ind w:left="970" w:hanging="403"/>
    </w:pPr>
    <w:rPr>
      <w:rFonts w:ascii="Times New Roman" w:hAnsi="Times New Roman"/>
      <w:b/>
    </w:rPr>
  </w:style>
  <w:style w:type="paragraph" w:styleId="ListNumber">
    <w:name w:val="List Number"/>
    <w:basedOn w:val="List"/>
    <w:rsid w:val="00E03BF2"/>
    <w:pPr>
      <w:numPr>
        <w:numId w:val="12"/>
      </w:numPr>
    </w:pPr>
  </w:style>
  <w:style w:type="character" w:customStyle="1" w:styleId="WingdingSymbols">
    <w:name w:val="Wingding Symbols"/>
    <w:rsid w:val="00E03BF2"/>
    <w:rPr>
      <w:rFonts w:ascii="Wingdings" w:hAnsi="Wingdings"/>
    </w:rPr>
  </w:style>
  <w:style w:type="paragraph" w:customStyle="1" w:styleId="TableHeading">
    <w:name w:val="Table Heading"/>
    <w:basedOn w:val="HeadingBase"/>
    <w:rsid w:val="00E03BF2"/>
    <w:pPr>
      <w:keepLines/>
      <w:pBdr>
        <w:bottom w:val="single" w:sz="6" w:space="1" w:color="918585"/>
      </w:pBdr>
      <w:spacing w:before="240"/>
    </w:pPr>
  </w:style>
  <w:style w:type="character" w:customStyle="1" w:styleId="HotSpot">
    <w:name w:val="HotSpot"/>
    <w:rsid w:val="00E03BF2"/>
    <w:rPr>
      <w:color w:val="0033CC"/>
      <w:u w:val="none"/>
    </w:rPr>
  </w:style>
  <w:style w:type="paragraph" w:customStyle="1" w:styleId="BodyTextRight">
    <w:name w:val="Body Text Right"/>
    <w:basedOn w:val="BodyText"/>
    <w:rsid w:val="00E03BF2"/>
    <w:pPr>
      <w:spacing w:before="0" w:after="0"/>
      <w:jc w:val="right"/>
    </w:pPr>
  </w:style>
  <w:style w:type="paragraph" w:styleId="Index3">
    <w:name w:val="index 3"/>
    <w:basedOn w:val="ListNumber2"/>
    <w:next w:val="Normal"/>
    <w:semiHidden/>
    <w:rsid w:val="00E03BF2"/>
    <w:pPr>
      <w:numPr>
        <w:numId w:val="0"/>
      </w:numPr>
      <w:tabs>
        <w:tab w:val="right" w:leader="dot" w:pos="4176"/>
      </w:tabs>
    </w:pPr>
  </w:style>
  <w:style w:type="paragraph" w:styleId="ListNumber2">
    <w:name w:val="List Number 2"/>
    <w:basedOn w:val="List2"/>
    <w:rsid w:val="00E03BF2"/>
    <w:pPr>
      <w:numPr>
        <w:numId w:val="11"/>
      </w:numPr>
      <w:tabs>
        <w:tab w:val="clear" w:pos="1060"/>
      </w:tabs>
    </w:pPr>
  </w:style>
  <w:style w:type="paragraph" w:customStyle="1" w:styleId="MarginNote">
    <w:name w:val="Margin Note"/>
    <w:basedOn w:val="BodyText"/>
    <w:rsid w:val="00E03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B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3BF2"/>
    <w:rPr>
      <w:sz w:val="32"/>
    </w:rPr>
  </w:style>
  <w:style w:type="paragraph" w:customStyle="1" w:styleId="HeadingProcedure">
    <w:name w:val="Heading Procedure"/>
    <w:basedOn w:val="HeadingBase"/>
    <w:next w:val="Normal"/>
    <w:rsid w:val="00E03BF2"/>
    <w:pPr>
      <w:tabs>
        <w:tab w:val="left" w:pos="0"/>
      </w:tabs>
      <w:spacing w:before="120" w:after="60"/>
    </w:pPr>
    <w:rPr>
      <w:i/>
      <w:color w:val="918585"/>
      <w:sz w:val="22"/>
    </w:rPr>
  </w:style>
  <w:style w:type="paragraph" w:customStyle="1" w:styleId="TableBodyText">
    <w:name w:val="Table Body Text"/>
    <w:basedOn w:val="BodyText"/>
    <w:rsid w:val="00E03BF2"/>
    <w:pPr>
      <w:spacing w:before="60" w:after="60"/>
    </w:pPr>
  </w:style>
  <w:style w:type="paragraph" w:styleId="ListContinue">
    <w:name w:val="List Continue"/>
    <w:basedOn w:val="List"/>
    <w:rsid w:val="00E03BF2"/>
    <w:pPr>
      <w:ind w:firstLine="0"/>
    </w:pPr>
  </w:style>
  <w:style w:type="paragraph" w:customStyle="1" w:styleId="ListNote">
    <w:name w:val="List Note"/>
    <w:basedOn w:val="List"/>
    <w:rsid w:val="00E03BF2"/>
    <w:pPr>
      <w:pBdr>
        <w:top w:val="single" w:sz="6" w:space="2" w:color="918585"/>
        <w:bottom w:val="single" w:sz="6" w:space="2" w:color="918585"/>
      </w:pBdr>
      <w:tabs>
        <w:tab w:val="left" w:pos="1021"/>
      </w:tabs>
      <w:ind w:firstLine="0"/>
    </w:pPr>
  </w:style>
  <w:style w:type="paragraph" w:customStyle="1" w:styleId="Warning">
    <w:name w:val="Warning"/>
    <w:basedOn w:val="BodyText"/>
    <w:rsid w:val="00E03BF2"/>
    <w:pPr>
      <w:shd w:val="clear" w:color="auto" w:fill="D9D9D9"/>
      <w:tabs>
        <w:tab w:val="left" w:pos="992"/>
      </w:tabs>
      <w:ind w:left="119" w:right="119"/>
    </w:pPr>
    <w:rPr>
      <w:sz w:val="20"/>
    </w:rPr>
  </w:style>
  <w:style w:type="paragraph" w:customStyle="1" w:styleId="MarginIcons">
    <w:name w:val="Margin Icons"/>
    <w:basedOn w:val="BodyText"/>
    <w:rsid w:val="00E03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BF2"/>
    <w:rPr>
      <w:rFonts w:ascii="Courier New" w:hAnsi="Courier New"/>
    </w:rPr>
  </w:style>
  <w:style w:type="paragraph" w:customStyle="1" w:styleId="NoteBullet">
    <w:name w:val="Note Bullet"/>
    <w:basedOn w:val="Note"/>
    <w:rsid w:val="00E03BF2"/>
    <w:pPr>
      <w:tabs>
        <w:tab w:val="clear" w:pos="680"/>
      </w:tabs>
      <w:spacing w:before="60" w:after="60"/>
    </w:pPr>
  </w:style>
  <w:style w:type="paragraph" w:customStyle="1" w:styleId="SubHeading2">
    <w:name w:val="SubHeading2"/>
    <w:basedOn w:val="HeadingBase"/>
    <w:rsid w:val="00E03BF2"/>
    <w:pPr>
      <w:spacing w:before="240" w:after="60"/>
    </w:pPr>
    <w:rPr>
      <w:sz w:val="20"/>
    </w:rPr>
  </w:style>
  <w:style w:type="paragraph" w:customStyle="1" w:styleId="SubHeading1">
    <w:name w:val="SubHeading1"/>
    <w:basedOn w:val="HeadingBase"/>
    <w:rsid w:val="00E03BF2"/>
    <w:pPr>
      <w:spacing w:before="240" w:after="60"/>
    </w:pPr>
    <w:rPr>
      <w:color w:val="918585"/>
      <w:sz w:val="22"/>
    </w:rPr>
  </w:style>
  <w:style w:type="paragraph" w:customStyle="1" w:styleId="SideHeading">
    <w:name w:val="Side Heading"/>
    <w:basedOn w:val="HeadingBase"/>
    <w:rsid w:val="00E03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BF2"/>
    <w:pPr>
      <w:numPr>
        <w:numId w:val="13"/>
      </w:numPr>
    </w:pPr>
  </w:style>
  <w:style w:type="paragraph" w:styleId="PlainText">
    <w:name w:val="Plain Text"/>
    <w:basedOn w:val="Normal"/>
    <w:link w:val="PlainTextChar"/>
    <w:rsid w:val="00E03BF2"/>
    <w:rPr>
      <w:sz w:val="20"/>
    </w:rPr>
  </w:style>
  <w:style w:type="character" w:customStyle="1" w:styleId="PlainTextChar">
    <w:name w:val="Plain Text Char"/>
    <w:basedOn w:val="DefaultParagraphFont"/>
    <w:link w:val="PlainText"/>
    <w:rsid w:val="00E03B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3BF2"/>
    <w:rPr>
      <w:b/>
      <w:smallCaps/>
    </w:rPr>
  </w:style>
  <w:style w:type="paragraph" w:customStyle="1" w:styleId="TableListNumber">
    <w:name w:val="Table List Number"/>
    <w:basedOn w:val="ListNumber"/>
    <w:rsid w:val="00E03BF2"/>
    <w:pPr>
      <w:numPr>
        <w:numId w:val="0"/>
      </w:numPr>
    </w:pPr>
  </w:style>
  <w:style w:type="paragraph" w:styleId="TOC4">
    <w:name w:val="toc 4"/>
    <w:basedOn w:val="TOCBase"/>
    <w:next w:val="Normal"/>
    <w:semiHidden/>
    <w:rsid w:val="00E03BF2"/>
    <w:pPr>
      <w:tabs>
        <w:tab w:val="right" w:leader="dot" w:pos="9071"/>
      </w:tabs>
      <w:ind w:left="1701"/>
    </w:pPr>
  </w:style>
  <w:style w:type="paragraph" w:customStyle="1" w:styleId="ListAlpha">
    <w:name w:val="List Alpha"/>
    <w:basedOn w:val="List"/>
    <w:rsid w:val="00E03BF2"/>
    <w:pPr>
      <w:numPr>
        <w:numId w:val="10"/>
      </w:numPr>
    </w:pPr>
  </w:style>
  <w:style w:type="paragraph" w:customStyle="1" w:styleId="ListAlpha2">
    <w:name w:val="List Alpha 2"/>
    <w:basedOn w:val="List2"/>
    <w:rsid w:val="00E03BF2"/>
    <w:pPr>
      <w:numPr>
        <w:numId w:val="9"/>
      </w:numPr>
    </w:pPr>
  </w:style>
  <w:style w:type="paragraph" w:styleId="List2">
    <w:name w:val="List 2"/>
    <w:basedOn w:val="BodyText"/>
    <w:rsid w:val="00E03BF2"/>
    <w:pPr>
      <w:tabs>
        <w:tab w:val="left" w:pos="680"/>
      </w:tabs>
      <w:spacing w:before="60" w:after="60"/>
      <w:ind w:left="680" w:hanging="340"/>
    </w:pPr>
  </w:style>
  <w:style w:type="paragraph" w:styleId="List3">
    <w:name w:val="List 3"/>
    <w:basedOn w:val="BodyText"/>
    <w:rsid w:val="00E03BF2"/>
    <w:pPr>
      <w:tabs>
        <w:tab w:val="left" w:pos="1021"/>
      </w:tabs>
      <w:spacing w:before="60" w:after="60"/>
      <w:ind w:left="1020" w:hanging="340"/>
    </w:pPr>
  </w:style>
  <w:style w:type="paragraph" w:styleId="List4">
    <w:name w:val="List 4"/>
    <w:basedOn w:val="BodyText"/>
    <w:rsid w:val="00E03BF2"/>
    <w:pPr>
      <w:tabs>
        <w:tab w:val="left" w:pos="1361"/>
      </w:tabs>
      <w:spacing w:before="60" w:after="60"/>
      <w:ind w:left="1361" w:hanging="340"/>
    </w:pPr>
  </w:style>
  <w:style w:type="paragraph" w:styleId="List5">
    <w:name w:val="List 5"/>
    <w:basedOn w:val="BodyText"/>
    <w:rsid w:val="00E03BF2"/>
    <w:pPr>
      <w:tabs>
        <w:tab w:val="left" w:pos="1701"/>
      </w:tabs>
      <w:spacing w:before="60" w:after="60"/>
      <w:ind w:left="1701" w:hanging="340"/>
    </w:pPr>
  </w:style>
  <w:style w:type="paragraph" w:styleId="ListBullet4">
    <w:name w:val="List Bullet 4"/>
    <w:basedOn w:val="List4"/>
    <w:rsid w:val="00E03BF2"/>
    <w:pPr>
      <w:numPr>
        <w:numId w:val="4"/>
      </w:numPr>
    </w:pPr>
  </w:style>
  <w:style w:type="paragraph" w:styleId="ListBullet5">
    <w:name w:val="List Bullet 5"/>
    <w:basedOn w:val="List5"/>
    <w:rsid w:val="00E03BF2"/>
    <w:pPr>
      <w:numPr>
        <w:numId w:val="5"/>
      </w:numPr>
    </w:pPr>
  </w:style>
  <w:style w:type="paragraph" w:styleId="ListContinue2">
    <w:name w:val="List Continue 2"/>
    <w:basedOn w:val="List2"/>
    <w:rsid w:val="00E03BF2"/>
    <w:pPr>
      <w:ind w:firstLine="0"/>
    </w:pPr>
  </w:style>
  <w:style w:type="paragraph" w:styleId="ListContinue3">
    <w:name w:val="List Continue 3"/>
    <w:basedOn w:val="List3"/>
    <w:rsid w:val="00E03BF2"/>
    <w:pPr>
      <w:ind w:left="1021" w:firstLine="0"/>
    </w:pPr>
  </w:style>
  <w:style w:type="paragraph" w:styleId="ListContinue4">
    <w:name w:val="List Continue 4"/>
    <w:basedOn w:val="List4"/>
    <w:rsid w:val="00E03BF2"/>
    <w:pPr>
      <w:ind w:firstLine="0"/>
    </w:pPr>
  </w:style>
  <w:style w:type="paragraph" w:styleId="ListContinue5">
    <w:name w:val="List Continue 5"/>
    <w:basedOn w:val="List5"/>
    <w:rsid w:val="00E03BF2"/>
    <w:pPr>
      <w:ind w:firstLine="0"/>
    </w:pPr>
  </w:style>
  <w:style w:type="paragraph" w:styleId="ListNumber3">
    <w:name w:val="List Number 3"/>
    <w:basedOn w:val="List3"/>
    <w:rsid w:val="00E03BF2"/>
    <w:pPr>
      <w:numPr>
        <w:numId w:val="6"/>
      </w:numPr>
    </w:pPr>
  </w:style>
  <w:style w:type="paragraph" w:styleId="ListNumber4">
    <w:name w:val="List Number 4"/>
    <w:basedOn w:val="List4"/>
    <w:rsid w:val="00E03BF2"/>
    <w:pPr>
      <w:numPr>
        <w:numId w:val="7"/>
      </w:numPr>
    </w:pPr>
  </w:style>
  <w:style w:type="paragraph" w:styleId="ListNumber5">
    <w:name w:val="List Number 5"/>
    <w:basedOn w:val="List5"/>
    <w:rsid w:val="00E03BF2"/>
    <w:pPr>
      <w:numPr>
        <w:numId w:val="8"/>
      </w:numPr>
    </w:pPr>
  </w:style>
  <w:style w:type="paragraph" w:styleId="BlockText">
    <w:name w:val="Block Text"/>
    <w:basedOn w:val="Normal"/>
    <w:rsid w:val="00E03BF2"/>
    <w:pPr>
      <w:spacing w:after="120"/>
      <w:ind w:left="1440" w:right="1440"/>
    </w:pPr>
  </w:style>
  <w:style w:type="character" w:customStyle="1" w:styleId="Subscript">
    <w:name w:val="Subscript"/>
    <w:basedOn w:val="DefaultParagraphFont"/>
    <w:rsid w:val="00E03BF2"/>
    <w:rPr>
      <w:sz w:val="16"/>
      <w:vertAlign w:val="subscript"/>
    </w:rPr>
  </w:style>
  <w:style w:type="character" w:customStyle="1" w:styleId="Superscript">
    <w:name w:val="Superscript"/>
    <w:basedOn w:val="DefaultParagraphFont"/>
    <w:rsid w:val="00E03BF2"/>
    <w:rPr>
      <w:sz w:val="16"/>
      <w:vertAlign w:val="superscript"/>
    </w:rPr>
  </w:style>
  <w:style w:type="character" w:customStyle="1" w:styleId="Symbols">
    <w:name w:val="Symbols"/>
    <w:basedOn w:val="DefaultParagraphFont"/>
    <w:rsid w:val="00E03BF2"/>
    <w:rPr>
      <w:rFonts w:ascii="Symbol" w:hAnsi="Symbol"/>
    </w:rPr>
  </w:style>
  <w:style w:type="character" w:customStyle="1" w:styleId="MenuOptions">
    <w:name w:val="Menu Options"/>
    <w:basedOn w:val="DefaultParagraphFont"/>
    <w:rsid w:val="00E03BF2"/>
    <w:rPr>
      <w:rFonts w:ascii="Arial Narrow" w:hAnsi="Arial Narrow"/>
      <w:smallCaps/>
    </w:rPr>
  </w:style>
  <w:style w:type="character" w:customStyle="1" w:styleId="Buttons">
    <w:name w:val="Buttons"/>
    <w:basedOn w:val="DefaultParagraphFont"/>
    <w:rsid w:val="00E03BF2"/>
    <w:rPr>
      <w:b/>
    </w:rPr>
  </w:style>
  <w:style w:type="character" w:customStyle="1" w:styleId="Underlined">
    <w:name w:val="Underlined"/>
    <w:basedOn w:val="DefaultParagraphFont"/>
    <w:rsid w:val="00E03BF2"/>
    <w:rPr>
      <w:u w:val="single"/>
    </w:rPr>
  </w:style>
  <w:style w:type="paragraph" w:customStyle="1" w:styleId="TableBodyTextRight">
    <w:name w:val="Table Body Text Right"/>
    <w:basedOn w:val="TableBodyText"/>
    <w:rsid w:val="00E03BF2"/>
    <w:pPr>
      <w:widowControl w:val="0"/>
      <w:autoSpaceDE w:val="0"/>
      <w:autoSpaceDN w:val="0"/>
      <w:adjustRightInd w:val="0"/>
      <w:jc w:val="right"/>
    </w:pPr>
    <w:rPr>
      <w:rFonts w:cs="Arial"/>
      <w:szCs w:val="18"/>
    </w:rPr>
  </w:style>
  <w:style w:type="paragraph" w:customStyle="1" w:styleId="CopyrightText">
    <w:name w:val="Copyright Text"/>
    <w:basedOn w:val="BodyText"/>
    <w:rsid w:val="00E03BF2"/>
    <w:rPr>
      <w:sz w:val="18"/>
    </w:rPr>
  </w:style>
  <w:style w:type="paragraph" w:customStyle="1" w:styleId="BodySmallRight">
    <w:name w:val="Body Small Right"/>
    <w:basedOn w:val="BodyTextRight"/>
    <w:rsid w:val="00E03BF2"/>
    <w:rPr>
      <w:sz w:val="18"/>
      <w:szCs w:val="18"/>
    </w:rPr>
  </w:style>
  <w:style w:type="paragraph" w:customStyle="1" w:styleId="MarginEdition">
    <w:name w:val="Margin Edition"/>
    <w:basedOn w:val="MarginNote"/>
    <w:rsid w:val="00E03BF2"/>
    <w:pPr>
      <w:spacing w:before="0" w:after="0"/>
    </w:pPr>
    <w:rPr>
      <w:rFonts w:ascii="Times New Roman" w:hAnsi="Times New Roman"/>
      <w:color w:val="999999"/>
    </w:rPr>
  </w:style>
  <w:style w:type="paragraph" w:customStyle="1" w:styleId="Spacer">
    <w:name w:val="Spacer"/>
    <w:basedOn w:val="Normal"/>
    <w:rsid w:val="00E03BF2"/>
    <w:rPr>
      <w:sz w:val="2"/>
      <w:szCs w:val="2"/>
    </w:rPr>
  </w:style>
  <w:style w:type="character" w:customStyle="1" w:styleId="Small">
    <w:name w:val="Small"/>
    <w:basedOn w:val="DefaultParagraphFont"/>
    <w:rsid w:val="00E03BF2"/>
    <w:rPr>
      <w:sz w:val="16"/>
    </w:rPr>
  </w:style>
  <w:style w:type="paragraph" w:customStyle="1" w:styleId="WideTable">
    <w:name w:val="Wide Table"/>
    <w:basedOn w:val="Normal"/>
    <w:rsid w:val="00E03BF2"/>
    <w:pPr>
      <w:ind w:left="-1418"/>
    </w:pPr>
    <w:rPr>
      <w:sz w:val="2"/>
      <w:szCs w:val="2"/>
    </w:rPr>
  </w:style>
  <w:style w:type="character" w:styleId="PageNumber">
    <w:name w:val="page number"/>
    <w:basedOn w:val="DefaultParagraphFont"/>
    <w:rsid w:val="00E03BF2"/>
  </w:style>
  <w:style w:type="paragraph" w:styleId="Quote">
    <w:name w:val="Quote"/>
    <w:basedOn w:val="Heading1"/>
    <w:link w:val="QuoteChar"/>
    <w:qFormat/>
    <w:rsid w:val="00E03BF2"/>
    <w:rPr>
      <w:b w:val="0"/>
      <w:sz w:val="72"/>
      <w:szCs w:val="72"/>
      <w:lang w:val="en-NZ"/>
    </w:rPr>
  </w:style>
  <w:style w:type="character" w:customStyle="1" w:styleId="QuoteChar">
    <w:name w:val="Quote Char"/>
    <w:basedOn w:val="DefaultParagraphFont"/>
    <w:link w:val="Quote"/>
    <w:rsid w:val="00E03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BF2"/>
    <w:pPr>
      <w:pageBreakBefore/>
    </w:pPr>
  </w:style>
  <w:style w:type="paragraph" w:customStyle="1" w:styleId="Border">
    <w:name w:val="Border"/>
    <w:basedOn w:val="Normal"/>
    <w:qFormat/>
    <w:rsid w:val="00E03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BF2"/>
    <w:rPr>
      <w:b/>
      <w:bCs/>
      <w:i/>
      <w:iCs/>
      <w:color w:val="auto"/>
    </w:rPr>
  </w:style>
  <w:style w:type="paragraph" w:styleId="IntenseQuote">
    <w:name w:val="Intense Quote"/>
    <w:basedOn w:val="Normal"/>
    <w:next w:val="Normal"/>
    <w:link w:val="IntenseQuoteChar"/>
    <w:uiPriority w:val="30"/>
    <w:qFormat/>
    <w:rsid w:val="00E03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B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3BF2"/>
    <w:rPr>
      <w:smallCaps/>
      <w:color w:val="auto"/>
      <w:u w:val="single"/>
    </w:rPr>
  </w:style>
  <w:style w:type="character" w:styleId="IntenseReference">
    <w:name w:val="Intense Reference"/>
    <w:basedOn w:val="DefaultParagraphFont"/>
    <w:uiPriority w:val="32"/>
    <w:qFormat/>
    <w:rsid w:val="00E03BF2"/>
    <w:rPr>
      <w:b/>
      <w:bCs/>
      <w:smallCaps/>
      <w:color w:val="auto"/>
      <w:spacing w:val="5"/>
      <w:u w:val="single"/>
    </w:rPr>
  </w:style>
  <w:style w:type="paragraph" w:customStyle="1" w:styleId="2ColumnHeading">
    <w:name w:val="2Column Heading"/>
    <w:basedOn w:val="BodyText"/>
    <w:qFormat/>
    <w:rsid w:val="00E03BF2"/>
    <w:pPr>
      <w:spacing w:after="60"/>
      <w:ind w:left="-2268"/>
    </w:pPr>
    <w:rPr>
      <w:b/>
    </w:rPr>
  </w:style>
  <w:style w:type="paragraph" w:customStyle="1" w:styleId="Heading1TOC">
    <w:name w:val="Heading1 TOC"/>
    <w:basedOn w:val="Normal"/>
    <w:qFormat/>
    <w:rsid w:val="00E03BF2"/>
    <w:pPr>
      <w:spacing w:before="240" w:after="120"/>
    </w:pPr>
    <w:rPr>
      <w:rFonts w:ascii="Times New Roman" w:hAnsi="Times New Roman"/>
      <w:b/>
      <w:sz w:val="32"/>
    </w:rPr>
  </w:style>
  <w:style w:type="paragraph" w:customStyle="1" w:styleId="Heading2TOC">
    <w:name w:val="Heading2 TOC"/>
    <w:basedOn w:val="Normal"/>
    <w:qFormat/>
    <w:rsid w:val="00E03BF2"/>
    <w:pPr>
      <w:spacing w:before="240" w:after="60"/>
    </w:pPr>
    <w:rPr>
      <w:rFonts w:ascii="Times New Roman" w:hAnsi="Times New Roman"/>
      <w:b/>
      <w:sz w:val="28"/>
    </w:rPr>
  </w:style>
  <w:style w:type="character" w:customStyle="1" w:styleId="Underline">
    <w:name w:val="Underline"/>
    <w:basedOn w:val="DefaultParagraphFont"/>
    <w:qFormat/>
    <w:rsid w:val="00E03BF2"/>
    <w:rPr>
      <w:u w:val="single"/>
    </w:rPr>
  </w:style>
  <w:style w:type="character" w:customStyle="1" w:styleId="BoldandItalics">
    <w:name w:val="Bold and Italics"/>
    <w:qFormat/>
    <w:rsid w:val="00E03BF2"/>
    <w:rPr>
      <w:b/>
      <w:i/>
      <w:u w:val="none"/>
    </w:rPr>
  </w:style>
  <w:style w:type="paragraph" w:styleId="BalloonText">
    <w:name w:val="Balloon Text"/>
    <w:basedOn w:val="Normal"/>
    <w:link w:val="BalloonTextChar"/>
    <w:rsid w:val="00E03BF2"/>
    <w:rPr>
      <w:rFonts w:ascii="Tahoma" w:hAnsi="Tahoma" w:cs="Tahoma"/>
      <w:sz w:val="16"/>
      <w:szCs w:val="16"/>
    </w:rPr>
  </w:style>
  <w:style w:type="character" w:customStyle="1" w:styleId="BalloonTextChar">
    <w:name w:val="Balloon Text Char"/>
    <w:basedOn w:val="DefaultParagraphFont"/>
    <w:link w:val="BalloonText"/>
    <w:rsid w:val="00E03B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3B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3B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3871</Words>
  <Characters>25540</Characters>
  <Application>Microsoft Office Word</Application>
  <DocSecurity>0</DocSecurity>
  <Lines>797</Lines>
  <Paragraphs>323</Paragraphs>
  <ScaleCrop>false</ScaleCrop>
  <Company>Author-it Software Corporation Ltd.</Company>
  <LinksUpToDate>false</LinksUpToDate>
  <CharactersWithSpaces>29208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UETTDRTS29A Develop power systems secondary isolation instructional documents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2012-05-26T12:26:00Z</dcterms:created>
  <dcterms:modified xsi:type="dcterms:W3CDTF">2012-05-26T12:26:00Z</dcterms:modified>
</cp:coreProperties>
</file>