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0BBF" w:rsidP="00740BBF">
      <w:pPr>
        <w:pStyle w:val="Title"/>
      </w:pPr>
      <w:r>
        <w:fldChar w:fldCharType="begin"/>
      </w:r>
      <w:r>
        <w:instrText xml:space="preserve"> TITLE   \* MERGEFORMAT </w:instrText>
      </w:r>
      <w:r>
        <w:fldChar w:fldCharType="separate"/>
      </w:r>
      <w:r>
        <w:t>UETTDRTS28A Repair, test and calibrate protection relays and meters</w:t>
      </w:r>
      <w:r>
        <w:fldChar w:fldCharType="end"/>
      </w:r>
    </w:p>
    <w:p w:rsidR="00740BBF" w:rsidP="00740BBF">
      <w:pPr>
        <w:pStyle w:val="Version"/>
        <w:sectPr w:rsidSect="008D7D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7DBF" w:rsidP="008D7DBF">
      <w:pPr>
        <w:pStyle w:val="SuperHeading"/>
      </w:pPr>
      <w:r w:rsidRPr="008D7DBF">
        <w:t>UETTDRTS28A Repair, test and calibrate protection relays and meters</w:t>
      </w:r>
    </w:p>
    <w:p w:rsidR="00000000" w:rsidRPr="008D7DBF" w:rsidP="008D7DBF">
      <w:pPr>
        <w:pStyle w:val="Heading1"/>
      </w:pPr>
      <w:bookmarkStart w:id="1" w:name="O_464531"/>
      <w:bookmarkEnd w:id="1"/>
      <w:r w:rsidRPr="008D7DBF">
        <w:t>Modification History</w:t>
      </w:r>
    </w:p>
    <w:p w:rsidR="00000000" w:rsidRPr="008D7DBF" w:rsidP="008D7DBF">
      <w:pPr>
        <w:pStyle w:val="BodyText"/>
      </w:pPr>
      <w:r w:rsidRPr="008D7DBF">
        <w:t>Not applicable.</w:t>
      </w:r>
    </w:p>
    <w:p w:rsidR="00000000" w:rsidRPr="008D7DBF" w:rsidP="008D7DBF">
      <w:pPr>
        <w:pStyle w:val="AllowPageBreak"/>
      </w:pPr>
    </w:p>
    <w:p w:rsidR="00000000" w:rsidRPr="008D7DBF" w:rsidP="008D7DBF">
      <w:pPr>
        <w:pStyle w:val="Heading1"/>
      </w:pPr>
      <w:bookmarkStart w:id="2" w:name="O_464529"/>
      <w:bookmarkEnd w:id="2"/>
      <w:r w:rsidRPr="008D7DBF">
        <w:t>Unit Descriptor</w:t>
      </w:r>
    </w:p>
    <w:tbl>
      <w:tblPr>
        <w:tblW w:w="0" w:type="auto"/>
        <w:tblLayout w:type="fixed"/>
        <w:tblCellMar>
          <w:left w:w="62" w:type="dxa"/>
          <w:right w:w="62" w:type="dxa"/>
        </w:tblCellMar>
        <w:tblLook w:val="0000"/>
      </w:tblPr>
      <w:tblGrid>
        <w:gridCol w:w="2700"/>
        <w:gridCol w:w="5760"/>
      </w:tblGrid>
      <w:tr w:rsidTr="00740BB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rPr>
                <w:rStyle w:val="SpecialBold"/>
              </w:rPr>
              <w:t>1)</w:t>
            </w:r>
            <w:r w:rsidRPr="008D7DBF">
              <w:t xml:space="preserve"> </w:t>
            </w:r>
            <w:r w:rsidRPr="008D7DBF">
              <w:rPr>
                <w:rStyle w:val="SpecialBold"/>
              </w:rPr>
              <w:t>Scope:</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D7DB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rPr>
                <w:rStyle w:val="SpecialBold"/>
              </w:rPr>
              <w:t>1.1) Descriptor</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t>This Competency Standard Unit covers the repair, calibration and testing of various types of protection relays. These can include electromechanical, analogue, digital electronic and numerical devices. It also involves the finding and replacing faulty compo</w:t>
            </w:r>
            <w:r w:rsidRPr="008D7DBF">
              <w:t>nents, testing to manufacturers or users specifications and proving all functions of the devices under test.</w:t>
            </w:r>
          </w:p>
        </w:tc>
      </w:tr>
    </w:tbl>
    <w:p w:rsidR="00000000" w:rsidRPr="008D7DBF" w:rsidP="008D7DBF">
      <w:pPr>
        <w:pStyle w:val="BodyText"/>
      </w:pPr>
    </w:p>
    <w:p w:rsidR="00000000" w:rsidRPr="008D7DBF" w:rsidP="008D7DBF">
      <w:pPr>
        <w:pStyle w:val="AllowPageBreak"/>
      </w:pPr>
    </w:p>
    <w:p w:rsidR="00000000" w:rsidRPr="008D7DBF" w:rsidP="008D7DBF">
      <w:pPr>
        <w:pStyle w:val="Heading1"/>
      </w:pPr>
      <w:bookmarkStart w:id="3" w:name="O_464518"/>
      <w:bookmarkEnd w:id="3"/>
      <w:r w:rsidRPr="008D7DBF">
        <w:t>Application of the Unit</w:t>
      </w:r>
    </w:p>
    <w:tbl>
      <w:tblPr>
        <w:tblW w:w="0" w:type="auto"/>
        <w:tblLayout w:type="fixed"/>
        <w:tblCellMar>
          <w:left w:w="62" w:type="dxa"/>
          <w:right w:w="62" w:type="dxa"/>
        </w:tblCellMar>
        <w:tblLook w:val="0000"/>
      </w:tblPr>
      <w:tblGrid>
        <w:gridCol w:w="2672"/>
        <w:gridCol w:w="5699"/>
      </w:tblGrid>
      <w:tr w:rsidTr="00740BB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rPr>
                <w:rStyle w:val="SpecialBold"/>
              </w:rPr>
              <w:t>2)</w:t>
            </w:r>
          </w:p>
        </w:tc>
      </w:tr>
      <w:tr w:rsidTr="00740BB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t>This competency standards unit is intended to apply to any recognised development program that leads to the acquisition of a formal award at AQF level 5 or higher.</w:t>
            </w:r>
          </w:p>
        </w:tc>
      </w:tr>
    </w:tbl>
    <w:p w:rsidR="00000000" w:rsidRPr="008D7DBF" w:rsidP="008D7DBF">
      <w:pPr>
        <w:pStyle w:val="BodyText"/>
      </w:pPr>
    </w:p>
    <w:p w:rsidR="00000000" w:rsidRPr="008D7DBF" w:rsidP="008D7DBF">
      <w:pPr>
        <w:pStyle w:val="AllowPageBreak"/>
      </w:pPr>
    </w:p>
    <w:p w:rsidR="00000000" w:rsidRPr="008D7DBF" w:rsidP="008D7DBF">
      <w:pPr>
        <w:pStyle w:val="Heading1"/>
      </w:pPr>
      <w:bookmarkStart w:id="4" w:name="O_464525"/>
      <w:bookmarkEnd w:id="4"/>
      <w:r w:rsidRPr="008D7DBF">
        <w:t>Licensing/Regulatory Information</w:t>
      </w:r>
    </w:p>
    <w:tbl>
      <w:tblPr>
        <w:tblW w:w="0" w:type="auto"/>
        <w:tblLayout w:type="fixed"/>
        <w:tblCellMar>
          <w:left w:w="62" w:type="dxa"/>
          <w:right w:w="62" w:type="dxa"/>
        </w:tblCellMar>
        <w:tblLook w:val="0000"/>
      </w:tblPr>
      <w:tblGrid>
        <w:gridCol w:w="2700"/>
        <w:gridCol w:w="5760"/>
      </w:tblGrid>
      <w:tr w:rsidTr="00740BB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rPr>
                <w:rStyle w:val="SpecialBold"/>
              </w:rPr>
              <w:t xml:space="preserve">3) </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t>The skills and</w:t>
            </w:r>
            <w:r w:rsidRPr="008D7DBF">
              <w:t xml:space="preserve"> knowledge described in this unit may require a licence/registration to practice in the work place subject to regulations for undertaking of electrical work. Practice in workplace and during training is also subject to regulations directly related to Occup</w:t>
            </w:r>
            <w:r w:rsidRPr="008D7DBF">
              <w:t xml:space="preserve">ational Health and Safety, electricity/telecommunications/gas/water industry safety and compliance, industrial relations, environmental protection, anti discrimination and training. Commonwealth, State/Territory or Local Government </w:t>
            </w:r>
            <w:r w:rsidRPr="008D7DBF">
              <w:t>legislation and regulati</w:t>
            </w:r>
            <w:r w:rsidRPr="008D7DBF">
              <w:t>ons may exist that limits the age of operating certain equipment.</w:t>
            </w:r>
          </w:p>
        </w:tc>
      </w:tr>
    </w:tbl>
    <w:p w:rsidR="00000000" w:rsidRPr="008D7DBF" w:rsidP="008D7DBF">
      <w:pPr>
        <w:pStyle w:val="BodyText"/>
      </w:pPr>
    </w:p>
    <w:p w:rsidR="00000000" w:rsidRPr="008D7DBF" w:rsidP="008D7DBF">
      <w:pPr>
        <w:pStyle w:val="AllowPageBreak"/>
      </w:pPr>
    </w:p>
    <w:p w:rsidR="00000000" w:rsidRPr="008D7DBF" w:rsidP="008D7DBF">
      <w:pPr>
        <w:pStyle w:val="Heading1"/>
      </w:pPr>
      <w:bookmarkStart w:id="5" w:name="O_464526"/>
      <w:bookmarkEnd w:id="5"/>
      <w:r w:rsidRPr="008D7DBF">
        <w:t>Pre-Requisites</w:t>
      </w:r>
    </w:p>
    <w:tbl>
      <w:tblPr>
        <w:tblW w:w="0" w:type="auto"/>
        <w:tblLayout w:type="fixed"/>
        <w:tblCellMar>
          <w:left w:w="62" w:type="dxa"/>
          <w:right w:w="62" w:type="dxa"/>
        </w:tblCellMar>
        <w:tblLook w:val="0000"/>
      </w:tblPr>
      <w:tblGrid>
        <w:gridCol w:w="2700"/>
        <w:gridCol w:w="1980"/>
        <w:gridCol w:w="3780"/>
      </w:tblGrid>
      <w:tr w:rsidTr="00740BB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rPr>
                <w:rStyle w:val="SpecialBold"/>
              </w:rPr>
              <w:t xml:space="preserve">4) </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rPr>
                <w:rStyle w:val="SpecialBold"/>
              </w:rPr>
              <w:t>4.1)</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t>Granting of competency in this unit shall be made only after competency in the following unit(s) has/have been confirmed.</w:t>
            </w:r>
          </w:p>
          <w:p w:rsidR="00000000" w:rsidRPr="008D7DBF" w:rsidP="008D7DBF">
            <w:pPr>
              <w:pStyle w:val="BodyText"/>
            </w:pPr>
            <w:r w:rsidRPr="008D7DBF">
              <w:t xml:space="preserve">Where pre-requisite pathways have been identified. All competencies in the Common Unit Group must be have been completed plus all the </w:t>
            </w:r>
            <w:r w:rsidRPr="008D7DBF">
              <w:t>competencies in one (1) of the identified Pathway Unit Group(s):</w:t>
            </w:r>
          </w:p>
          <w:p w:rsidR="00000000" w:rsidP="008D7DBF">
            <w:pPr>
              <w:pStyle w:val="BodyText"/>
              <w:rPr>
                <w:lang w:val="en-NZ"/>
              </w:rPr>
            </w:pPr>
            <w:r w:rsidRPr="008D7DBF">
              <w:t>Common Unit Group</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Unit Code</w:t>
            </w:r>
            <w:r w:rsidRPr="008D7DBF">
              <w:tab/>
            </w:r>
          </w:p>
        </w:tc>
        <w:tc>
          <w:tcPr>
            <w:tcW w:w="3780" w:type="dxa"/>
            <w:tcBorders>
              <w:top w:val="nil"/>
              <w:left w:val="nil"/>
              <w:bottom w:val="nil"/>
              <w:right w:val="nil"/>
            </w:tcBorders>
            <w:tcMar>
              <w:top w:w="0" w:type="dxa"/>
              <w:left w:w="62" w:type="dxa"/>
              <w:bottom w:w="0" w:type="dxa"/>
              <w:right w:w="62" w:type="dxa"/>
            </w:tcMar>
            <w:vAlign w:val="bottom"/>
          </w:tcPr>
          <w:p w:rsidR="00000000" w:rsidP="008D7DBF">
            <w:pPr>
              <w:pStyle w:val="BodyText"/>
              <w:rPr>
                <w:lang w:val="en-NZ"/>
              </w:rPr>
            </w:pPr>
            <w:r w:rsidRPr="008D7DBF">
              <w:t>Unit Title</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UEENEED104A</w:t>
            </w:r>
          </w:p>
        </w:tc>
        <w:tc>
          <w:tcPr>
            <w:tcW w:w="3780" w:type="dxa"/>
            <w:tcBorders>
              <w:top w:val="nil"/>
              <w:left w:val="nil"/>
              <w:bottom w:val="nil"/>
              <w:right w:val="nil"/>
            </w:tcBorders>
            <w:tcMar>
              <w:top w:w="0" w:type="dxa"/>
              <w:left w:w="62" w:type="dxa"/>
              <w:bottom w:w="0" w:type="dxa"/>
              <w:right w:w="62" w:type="dxa"/>
            </w:tcMar>
            <w:vAlign w:val="bottom"/>
          </w:tcPr>
          <w:p w:rsidR="00000000" w:rsidP="008D7DBF">
            <w:pPr>
              <w:pStyle w:val="BodyText"/>
              <w:rPr>
                <w:lang w:val="en-NZ"/>
              </w:rPr>
            </w:pPr>
            <w:r w:rsidRPr="008D7DBF">
              <w:t>Use engineering applications software on personal computers</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Apply Occupational Health and Safety regulations, codes and practices in the workplace</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Fabricate, assemble and dismantle utilities industry components</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Solve problems in d.c. Circuits</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Use drawings, diagrams, schedules, standards, codes and specifications</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UEENEEE124A</w:t>
            </w:r>
          </w:p>
        </w:tc>
        <w:tc>
          <w:tcPr>
            <w:tcW w:w="3780"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Compile and produce an energy sector detailed report</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Provide engineering solutions for problems in complex multiple path circuits problems</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Prov</w:t>
            </w:r>
            <w:r w:rsidRPr="008D7DBF">
              <w:t>ide solutions to basic engineering computational problems</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Solve problems in electromagnetic devices and related circuits</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Solve problems in electromagnetic devices and related circuits</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Provide engineering solutions to problems in complex polyphase power circuits</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Apply sustainable energy and environmental procedures</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 xml:space="preserve">Working safely near live electrical apparatus </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Implement and monitor the power sys</w:t>
            </w:r>
            <w:r w:rsidRPr="008D7DBF">
              <w:t>tem organisational OHS policies, procedures and programs</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7DBF">
            <w:pPr>
              <w:pStyle w:val="BodyText"/>
              <w:rPr>
                <w:lang w:val="en-NZ"/>
              </w:rPr>
            </w:pPr>
            <w:r w:rsidRPr="008D7DBF">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RPr="008D7DBF" w:rsidP="008D7DBF">
            <w:pPr>
              <w:pStyle w:val="BodyText"/>
            </w:pPr>
            <w:r w:rsidRPr="008D7DBF">
              <w:t>Implement and monitor the power system environmental and sustainable energy management policies and procedures</w:t>
            </w:r>
          </w:p>
        </w:tc>
      </w:tr>
    </w:tbl>
    <w:p w:rsidR="00000000" w:rsidRPr="008D7DBF" w:rsidP="008D7DB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40BB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rPr>
                <w:rStyle w:val="SpecialBold"/>
              </w:rPr>
              <w:t xml:space="preserve">4.2) </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Participants are best equipped to achieve this unit if they have reading, writing and numeracy skills indicated by the following scales. Description of each scale is given in Volume 2, Part 3 “Literacy and Numeracy”</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Reading</w:t>
            </w:r>
          </w:p>
        </w:tc>
        <w:tc>
          <w:tcPr>
            <w:tcW w:w="810"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5</w:t>
            </w:r>
          </w:p>
        </w:tc>
        <w:tc>
          <w:tcPr>
            <w:tcW w:w="990"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Writing</w:t>
            </w:r>
          </w:p>
        </w:tc>
        <w:tc>
          <w:tcPr>
            <w:tcW w:w="900"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5</w:t>
            </w:r>
          </w:p>
        </w:tc>
        <w:tc>
          <w:tcPr>
            <w:tcW w:w="1260"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Numeracy</w:t>
            </w:r>
          </w:p>
        </w:tc>
        <w:tc>
          <w:tcPr>
            <w:tcW w:w="72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t>5</w:t>
            </w:r>
          </w:p>
        </w:tc>
      </w:tr>
    </w:tbl>
    <w:p w:rsidR="00000000" w:rsidRPr="008D7DBF" w:rsidP="008D7DBF">
      <w:pPr>
        <w:pStyle w:val="BodyText"/>
      </w:pPr>
    </w:p>
    <w:p w:rsidR="00000000" w:rsidRPr="008D7DBF" w:rsidP="008D7DBF">
      <w:pPr>
        <w:pStyle w:val="AllowPageBreak"/>
      </w:pPr>
    </w:p>
    <w:p w:rsidR="00000000" w:rsidRPr="008D7DBF" w:rsidP="008D7DBF">
      <w:pPr>
        <w:pStyle w:val="Heading1"/>
      </w:pPr>
      <w:bookmarkStart w:id="6" w:name="O_464522"/>
      <w:bookmarkEnd w:id="6"/>
      <w:r w:rsidRPr="008D7DBF">
        <w:t>Employability Skills Information</w:t>
      </w:r>
    </w:p>
    <w:tbl>
      <w:tblPr>
        <w:tblW w:w="0" w:type="auto"/>
        <w:tblLayout w:type="fixed"/>
        <w:tblCellMar>
          <w:left w:w="62" w:type="dxa"/>
          <w:right w:w="62" w:type="dxa"/>
        </w:tblCellMar>
        <w:tblLook w:val="0000"/>
      </w:tblPr>
      <w:tblGrid>
        <w:gridCol w:w="2700"/>
        <w:gridCol w:w="5760"/>
      </w:tblGrid>
      <w:tr w:rsidTr="00740BB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rPr>
                <w:rStyle w:val="SpecialBold"/>
              </w:rPr>
              <w:t xml:space="preserve">5) </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t>The required outcomes described in this unit of competency contain applicable facets of Employability Skills. The Employability Skills Summary of the qualification in which this u</w:t>
            </w:r>
            <w:r w:rsidRPr="008D7DBF">
              <w:t xml:space="preserve">nit of competency is packaged </w:t>
            </w:r>
            <w:r w:rsidRPr="008D7DBF">
              <w:t>will assist in identifying Employability Skill requirements.</w:t>
            </w:r>
          </w:p>
        </w:tc>
      </w:tr>
    </w:tbl>
    <w:p w:rsidR="00000000" w:rsidRPr="008D7DBF" w:rsidP="008D7DBF">
      <w:pPr>
        <w:pStyle w:val="BodyText"/>
      </w:pPr>
    </w:p>
    <w:p w:rsidR="00000000" w:rsidRPr="008D7DBF" w:rsidP="008D7DBF">
      <w:pPr>
        <w:pStyle w:val="AllowPageBreak"/>
      </w:pPr>
    </w:p>
    <w:p w:rsidR="00000000" w:rsidRPr="008D7DBF" w:rsidP="008D7DBF">
      <w:pPr>
        <w:pStyle w:val="Heading1"/>
      </w:pPr>
      <w:bookmarkStart w:id="7" w:name="O_464521"/>
      <w:bookmarkEnd w:id="7"/>
      <w:r w:rsidRPr="008D7DBF">
        <w:t>Elements and Performance Criteria Pre-Content</w:t>
      </w:r>
    </w:p>
    <w:tbl>
      <w:tblPr>
        <w:tblW w:w="0" w:type="auto"/>
        <w:tblLayout w:type="fixed"/>
        <w:tblCellMar>
          <w:left w:w="62" w:type="dxa"/>
          <w:right w:w="62" w:type="dxa"/>
        </w:tblCellMar>
        <w:tblLook w:val="0000"/>
      </w:tblPr>
      <w:tblGrid>
        <w:gridCol w:w="2700"/>
        <w:gridCol w:w="5760"/>
      </w:tblGrid>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rPr>
                <w:rStyle w:val="SpecialBold"/>
              </w:rPr>
              <w:t>6)</w:t>
            </w:r>
            <w:r w:rsidRPr="008D7DB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t>Performance Criteria describe the required performance needed to demonstrate achievement of the element. Assessment of performance is to be consistent with the Evidence Guide.</w:t>
            </w:r>
          </w:p>
        </w:tc>
      </w:tr>
    </w:tbl>
    <w:p w:rsidR="00000000" w:rsidRPr="008D7DBF" w:rsidP="008D7DBF">
      <w:pPr>
        <w:pStyle w:val="BodyText"/>
      </w:pPr>
    </w:p>
    <w:p w:rsidR="00000000" w:rsidRPr="008D7DBF" w:rsidP="008D7DBF">
      <w:pPr>
        <w:pStyle w:val="AllowPageBreak"/>
      </w:pPr>
    </w:p>
    <w:p w:rsidR="00000000" w:rsidRPr="008D7DBF" w:rsidP="008D7DBF">
      <w:pPr>
        <w:pStyle w:val="Heading1"/>
      </w:pPr>
      <w:bookmarkStart w:id="8" w:name="O_464520"/>
      <w:bookmarkEnd w:id="8"/>
      <w:r w:rsidRPr="008D7DBF">
        <w:t>Elements and Performance Criteria</w:t>
      </w:r>
    </w:p>
    <w:tbl>
      <w:tblPr>
        <w:tblW w:w="0" w:type="auto"/>
        <w:tblLayout w:type="fixed"/>
        <w:tblCellMar>
          <w:left w:w="62" w:type="dxa"/>
          <w:right w:w="62" w:type="dxa"/>
        </w:tblCellMar>
        <w:tblLook w:val="0000"/>
      </w:tblPr>
      <w:tblGrid>
        <w:gridCol w:w="409"/>
        <w:gridCol w:w="2291"/>
        <w:gridCol w:w="939"/>
        <w:gridCol w:w="4821"/>
      </w:tblGrid>
      <w:tr w:rsidTr="00740BB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rPr>
                <w:rStyle w:val="SpecialBold"/>
              </w:rPr>
              <w:t>PERFORMANCE CRITER</w:t>
            </w:r>
            <w:r w:rsidRPr="008D7DBF">
              <w:rPr>
                <w:rStyle w:val="SpecialBold"/>
              </w:rPr>
              <w:t>IA</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1</w:t>
            </w:r>
          </w:p>
        </w:tc>
        <w:tc>
          <w:tcPr>
            <w:tcW w:w="229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Plan for the testing, repair and calibration of protection relays and meters</w:t>
            </w: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1.1</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 xml:space="preserve">OHS practices/procedures and environmental and sustainable energy procedures, which may influence the testing, repair and calibration of protection </w:t>
            </w:r>
            <w:r w:rsidRPr="008D7DBF">
              <w:t>relays and meters, are reviewed and determined.</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1.2</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Purpose of the testing, repair and calibration of protection relays and meters is established after data is analysed and expected outcomes of the work are confirmed with the appropriate personnel.</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1</w:t>
            </w:r>
            <w:r w:rsidRPr="008D7DBF">
              <w:t>.3</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Organisational established procedures on policies and specifications for the testing, repair and calibration of protection relays and meters are obtained or established with the appropriate personnel.</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1.4</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Testing procedures are discussed with/directed to the appropriate personnel in order to ascertain the project brief.</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1.5</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Testing parameters are established from organisational established procedures on policies and specifications.</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1.6</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Equipment/tools</w:t>
            </w:r>
            <w:r w:rsidRPr="008D7DBF">
              <w:t xml:space="preserve"> and personal protective equipment are selected based on specified Performance Criteria and established </w:t>
            </w:r>
            <w:r w:rsidRPr="008D7DBF">
              <w:t>procedures.</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1.7</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Work roles and tasks are allocated according to requirements and individuals’ competencies.</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1.8</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Work is prioritised and sequenced for the most efficient/effective outcome, completed within an acceptable timeframe to a quality standard and in accordance with established procedures.</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1.9</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Liaison and communication issues with other/authorised personne</w:t>
            </w:r>
            <w:r w:rsidRPr="008D7DBF">
              <w:t>l, authorities, clients and land owners are resolved and activities coordinated to carry out work.</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1.10</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Risk control measures are identified, prioritised and evaluated against the work schedule.</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1.11</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Relevant work permits are secured to coordinate th</w:t>
            </w:r>
            <w:r w:rsidRPr="008D7DBF">
              <w:t>e performance of work according to requirements and/or established procedures.</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2</w:t>
            </w:r>
          </w:p>
        </w:tc>
        <w:tc>
          <w:tcPr>
            <w:tcW w:w="2291" w:type="dxa"/>
            <w:vMerge w:val="restart"/>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Carry out the testing, repair and calibration of protection relays and meters</w:t>
            </w: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2.1</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Circuit/systems modelling is used to evaluate alternative proposals as per established procedures.</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2.2</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OHS and sustainable energy principles, functionality and practices to reduce the incidents of accidents and minimise waste are incorporated into the p</w:t>
            </w:r>
            <w:r w:rsidRPr="008D7DBF">
              <w:t>roject in accordance with requirements and/or established procedures.</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2.3</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Testing, repair and calibration decisions of protection relays and meters are made on the basis of safety and effective outcomes according to requirements and/or established proce</w:t>
            </w:r>
            <w:r w:rsidRPr="008D7DBF">
              <w:t>dures.</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2.4</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Mathematical and/or engineering models of the testing, repair and calibration of protection relays and meters are used to analyse the effectiveness of the finished project as per requirements and established procedures.</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2.5</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Technical advice is given regarding potential hazards, safety risks and control measures so that monitoring and preventative action can be undertaken and/or appropriate authorities consulted, where necessary, in accordance with requirements and established</w:t>
            </w:r>
            <w:r w:rsidRPr="008D7DBF">
              <w:t xml:space="preserve"> procedures.</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2.6</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Essential knowledge and associated skills are applied to analyse specific data and compare it with compliance specifications to ensure completion of the project within an agreed timeframe according to requirements.</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2.7</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Testing, repai</w:t>
            </w:r>
            <w:r w:rsidRPr="008D7DBF">
              <w:t>r and calibration of protection relays and meters is undertaken according to requirements and established procedures.</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2.8</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Work teams/groups are arranged/coordinated/evaluated to ensure planned goals are met according to established procedures.</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2.9</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Solutions to non-routine problems are identified and actioned, using acquired essential knowledge and associated skills, according to requirements.</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2.10</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Quality of work is monitored against personal performance agreement and/or established organisationa</w:t>
            </w:r>
            <w:r w:rsidRPr="008D7DBF">
              <w:t>l and professional standards.</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2.11</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Strategic plans are developed incorporating organisation initiatives as per established procedures.</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3</w:t>
            </w:r>
          </w:p>
        </w:tc>
        <w:tc>
          <w:tcPr>
            <w:tcW w:w="229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Complete the testing, repair and calibration of protection relays and meters</w:t>
            </w: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3.1</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Final review of test results of te</w:t>
            </w:r>
            <w:r w:rsidRPr="008D7DBF">
              <w:t>sted, repaired and calibrated protection relays and meters are undertaken to ensure they comply with all requirements and include all specifications and documentations needed to complete the project.</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3.2</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Appropriate personnel are notified of completion and reports and/or completion documents are finalised/commissioned.</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3.3</w:t>
            </w:r>
          </w:p>
        </w:tc>
        <w:tc>
          <w:tcPr>
            <w:tcW w:w="4821"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 xml:space="preserve">Reports and/or completion documents are submitted to relevant personnel/organisations for approval and, where applicable, statutory </w:t>
            </w:r>
            <w:r w:rsidRPr="008D7DBF">
              <w:t>or regulatory approval.</w:t>
            </w:r>
          </w:p>
        </w:tc>
      </w:tr>
      <w:tr w:rsidTr="00740BBF">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t>3.4</w:t>
            </w:r>
          </w:p>
        </w:tc>
        <w:tc>
          <w:tcPr>
            <w:tcW w:w="4821"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t>Approved copies of the testing, repair and calibration of protection relays and meters documents are issues and records are updated in accordance with established procedures.</w:t>
            </w:r>
          </w:p>
        </w:tc>
      </w:tr>
    </w:tbl>
    <w:p w:rsidR="00000000" w:rsidRPr="008D7DBF" w:rsidP="008D7DBF">
      <w:pPr>
        <w:pStyle w:val="BodyText"/>
      </w:pPr>
    </w:p>
    <w:p w:rsidR="00000000" w:rsidRPr="008D7DBF" w:rsidP="008D7DBF">
      <w:pPr>
        <w:pStyle w:val="AllowPageBreak"/>
      </w:pPr>
    </w:p>
    <w:p w:rsidR="00000000" w:rsidRPr="008D7DBF" w:rsidP="008D7DBF">
      <w:pPr>
        <w:pStyle w:val="Heading1"/>
      </w:pPr>
      <w:bookmarkStart w:id="9" w:name="O_464528"/>
      <w:bookmarkEnd w:id="9"/>
      <w:r w:rsidRPr="008D7DBF">
        <w:t>Required Skills and Knowledge</w:t>
      </w:r>
    </w:p>
    <w:tbl>
      <w:tblPr>
        <w:tblW w:w="0" w:type="auto"/>
        <w:tblLayout w:type="fixed"/>
        <w:tblCellMar>
          <w:left w:w="62" w:type="dxa"/>
          <w:right w:w="62" w:type="dxa"/>
        </w:tblCellMar>
        <w:tblLook w:val="0000"/>
      </w:tblPr>
      <w:tblGrid>
        <w:gridCol w:w="8460"/>
      </w:tblGrid>
      <w:tr w:rsidTr="00740BB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rPr>
                <w:rStyle w:val="SpecialBold"/>
              </w:rPr>
              <w:t>R</w:t>
            </w:r>
            <w:r w:rsidRPr="008D7DBF">
              <w:rPr>
                <w:rStyle w:val="SpecialBold"/>
              </w:rPr>
              <w:t>EQUIRED SKILLS AND KNOWLEDGE</w:t>
            </w:r>
          </w:p>
        </w:tc>
      </w:tr>
      <w:tr w:rsidTr="00740BB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rPr>
                <w:rStyle w:val="SpecialBold"/>
              </w:rPr>
              <w:t>8)</w:t>
            </w:r>
            <w:r w:rsidRPr="008D7DBF">
              <w:t xml:space="preserve"> Essential Knowledge and Associated Skills (EKAS): This describes the essential skills and knowledge and their level, required for this unit.</w:t>
            </w:r>
          </w:p>
          <w:p w:rsidR="00000000" w:rsidRPr="008D7DBF" w:rsidP="008D7DBF">
            <w:pPr>
              <w:pStyle w:val="BodyText"/>
            </w:pPr>
            <w:r w:rsidRPr="008D7DBF">
              <w:t xml:space="preserve">Evidence shall show that knowledge has been acquired </w:t>
            </w:r>
            <w:r w:rsidRPr="008D7DBF">
              <w:t xml:space="preserve">of testing, repairing and calibrating protection relays and meters. </w:t>
            </w:r>
          </w:p>
          <w:p w:rsidR="00000000" w:rsidRPr="008D7DBF" w:rsidP="008D7DBF">
            <w:pPr>
              <w:pStyle w:val="BodyText"/>
            </w:pPr>
            <w:r w:rsidRPr="008D7DBF">
              <w:t>All knowledge and skills detailed in this unit should be contextualised to current industry practices and technologies.</w:t>
            </w:r>
          </w:p>
          <w:p w:rsidR="00000000" w:rsidRPr="008D7DBF" w:rsidP="008D7DBF">
            <w:pPr>
              <w:pStyle w:val="BodyText"/>
            </w:pPr>
            <w:r w:rsidRPr="008D7DBF">
              <w:t xml:space="preserve">KS01-TTS28A </w:t>
            </w:r>
            <w:r w:rsidRPr="008D7DBF">
              <w:tab/>
              <w:t>Power systems protection relays and meters</w:t>
            </w:r>
          </w:p>
          <w:p w:rsidR="00000000" w:rsidRPr="008D7DBF" w:rsidP="008D7DBF">
            <w:pPr>
              <w:pStyle w:val="BodyText"/>
            </w:pPr>
            <w:r w:rsidRPr="008D7DBF">
              <w:t>Evidence sh</w:t>
            </w:r>
            <w:r w:rsidRPr="008D7DBF">
              <w:t xml:space="preserve">all show an understanding of power systems protection relays and meters to an extent indicated by the following aspects: </w:t>
            </w:r>
          </w:p>
          <w:p w:rsidR="00000000" w:rsidRPr="008D7DBF" w:rsidP="008D7DBF">
            <w:pPr>
              <w:pStyle w:val="BodyText"/>
            </w:pPr>
            <w:r w:rsidRPr="008D7DBF">
              <w:t>T1</w:t>
            </w:r>
            <w:r w:rsidRPr="008D7DBF">
              <w:tab/>
              <w:t>Procedures for the location and rectification of faults in electrical equipment up to 1000 volts AC and or 1500 volts DC, encompass</w:t>
            </w:r>
            <w:r w:rsidRPr="008D7DBF">
              <w:t>ing:</w:t>
            </w:r>
          </w:p>
          <w:p w:rsidR="00000000" w:rsidRPr="008D7DBF" w:rsidP="008D7DBF">
            <w:pPr>
              <w:pStyle w:val="ListBullet"/>
            </w:pPr>
            <w:r w:rsidRPr="008D7DBF">
              <w:t>Relationship of Occupational Health and Safety to the location and rectification of faults in electrical equipment - Act and regulations, identification of personal safety, workplace hazards, working with electrically operated tools and equipment, em</w:t>
            </w:r>
            <w:r w:rsidRPr="008D7DBF">
              <w:t>ergency First Aid/resuscitation, rescue from a live electrical situation, enterprise policies and procedures.</w:t>
            </w:r>
          </w:p>
          <w:p w:rsidR="00000000" w:rsidRPr="008D7DBF" w:rsidP="008D7DBF">
            <w:pPr>
              <w:pStyle w:val="ListBullet"/>
            </w:pPr>
            <w:r w:rsidRPr="008D7DBF">
              <w:t>Types of drawings - differentiation between symptoms, faults and causes in malfunctioning equipment, fault-finding techniques and procedures</w:t>
            </w:r>
          </w:p>
          <w:p w:rsidR="00000000" w:rsidRPr="008D7DBF" w:rsidP="008D7DBF">
            <w:pPr>
              <w:pStyle w:val="ListBullet"/>
            </w:pPr>
            <w:r w:rsidRPr="008D7DBF">
              <w:t>Funda</w:t>
            </w:r>
            <w:r w:rsidRPr="008D7DBF">
              <w:t>mental electrical concepts - effects of current, practical resistors, sources of EMF, series, parallel and series-parallel circuits, electrical measurement, capacitors, inductors, magnetism.</w:t>
            </w:r>
          </w:p>
          <w:p w:rsidR="00000000" w:rsidRPr="008D7DBF" w:rsidP="008D7DBF">
            <w:pPr>
              <w:pStyle w:val="ListBullet"/>
            </w:pPr>
            <w:r w:rsidRPr="008D7DBF">
              <w:t>Fundamentals of general appliances - basic principles of applianc</w:t>
            </w:r>
            <w:r w:rsidRPr="008D7DBF">
              <w:t>es (non mathematical), appliance identification, appliance ratings, basic principles of operation of control equipment and protection devices, fault conditions and symptoms, safe isolation procedures, test equipment, safe testing procedures, including cont</w:t>
            </w:r>
            <w:r w:rsidRPr="008D7DBF">
              <w:t>inuity, fault types in appliances, fault-finding procedures (prescriptive)</w:t>
            </w:r>
          </w:p>
          <w:p w:rsidR="00000000" w:rsidRPr="008D7DBF" w:rsidP="008D7DBF">
            <w:pPr>
              <w:pStyle w:val="ListBullet"/>
            </w:pPr>
            <w:r w:rsidRPr="008D7DBF">
              <w:t>Fundamentals of single phase induction motors - basic principles of operation (non mathematical), motor identification, motor ratings, basic principles of operation of control equip</w:t>
            </w:r>
            <w:r w:rsidRPr="008D7DBF">
              <w:t>ment and protection devices, fault conditions and symptoms, safe isolation procedures, test equipment, safe testing procedure, including continuity, fault types in “phase splitting” and universal type motors, fault-finding procedures (prescriptive).</w:t>
            </w:r>
          </w:p>
          <w:p w:rsidR="00000000" w:rsidRPr="008D7DBF" w:rsidP="008D7DBF">
            <w:pPr>
              <w:pStyle w:val="ListBullet"/>
            </w:pPr>
            <w:r w:rsidRPr="008D7DBF">
              <w:t>Fundam</w:t>
            </w:r>
            <w:r w:rsidRPr="008D7DBF">
              <w:t>entals of three phase induction motors - basic principles of operation (non mathematical), motor identification, motor ratings, motor starter principles, basic principles of operation of control equipment and protection devices, fault conditions and sympto</w:t>
            </w:r>
            <w:r w:rsidRPr="008D7DBF">
              <w:t>ms, safe isolation procedures, safe testing procedure, fault-finding procedures (prescriptive)</w:t>
            </w:r>
          </w:p>
          <w:p w:rsidR="00000000" w:rsidRPr="008D7DBF" w:rsidP="008D7DBF">
            <w:pPr>
              <w:pStyle w:val="ListBullet"/>
            </w:pPr>
            <w:r w:rsidRPr="008D7DBF">
              <w:t>Fundamentals of single and three phase electrical heaters - basic principles of operation, types of electrical heaters, electrical heater identification, electri</w:t>
            </w:r>
            <w:r w:rsidRPr="008D7DBF">
              <w:t>cal heater ratings, basic principles of operation of control and protection devices, fault conditions and symptoms, safe testing procedure, fault-finding procedures (prescriptive).</w:t>
            </w:r>
          </w:p>
          <w:p w:rsidR="00000000" w:rsidRPr="008D7DBF" w:rsidP="008D7DBF">
            <w:pPr>
              <w:pStyle w:val="BodyText"/>
            </w:pPr>
            <w:r w:rsidRPr="008D7DBF">
              <w:t>T2</w:t>
            </w:r>
            <w:r w:rsidRPr="008D7DBF">
              <w:tab/>
              <w:t>Detailed operation of metering devices and principles encompassing:</w:t>
            </w:r>
          </w:p>
          <w:p w:rsidR="00000000" w:rsidRPr="008D7DBF" w:rsidP="008D7DBF">
            <w:pPr>
              <w:pStyle w:val="ListBullet"/>
            </w:pPr>
            <w:r w:rsidRPr="008D7DBF">
              <w:t>Common circuit configurations</w:t>
            </w:r>
          </w:p>
          <w:p w:rsidR="00000000" w:rsidRPr="008D7DBF" w:rsidP="008D7DBF">
            <w:pPr>
              <w:pStyle w:val="ListBullet"/>
            </w:pPr>
            <w:r w:rsidRPr="008D7DBF">
              <w:t>Meters and measurement principles</w:t>
            </w:r>
          </w:p>
          <w:p w:rsidR="00000000" w:rsidRPr="008D7DBF" w:rsidP="008D7DBF">
            <w:pPr>
              <w:pStyle w:val="ListBullet"/>
            </w:pPr>
            <w:r w:rsidRPr="008D7DBF">
              <w:t>Instrument transformer application</w:t>
            </w:r>
          </w:p>
          <w:p w:rsidR="00000000" w:rsidRPr="008D7DBF" w:rsidP="008D7DBF">
            <w:pPr>
              <w:pStyle w:val="ListBullet"/>
            </w:pPr>
            <w:r w:rsidRPr="008D7DBF">
              <w:t>Testing of metering systems and devices</w:t>
            </w:r>
          </w:p>
          <w:p w:rsidR="00000000" w:rsidRPr="008D7DBF" w:rsidP="008D7DBF">
            <w:pPr>
              <w:pStyle w:val="ListBullet"/>
            </w:pPr>
            <w:r w:rsidRPr="008D7DBF">
              <w:t>Implications of market operation.</w:t>
            </w:r>
          </w:p>
          <w:p w:rsidR="00000000" w:rsidRPr="008D7DBF" w:rsidP="008D7DBF">
            <w:pPr>
              <w:pStyle w:val="BodyText"/>
            </w:pPr>
            <w:r w:rsidRPr="008D7DBF">
              <w:t>T3</w:t>
            </w:r>
            <w:r w:rsidRPr="008D7DBF">
              <w:tab/>
              <w:t>Detailed operation of fundamental test equipment encompassing:</w:t>
            </w:r>
          </w:p>
          <w:p w:rsidR="00000000" w:rsidRPr="008D7DBF" w:rsidP="008D7DBF">
            <w:pPr>
              <w:pStyle w:val="ListBullet"/>
            </w:pPr>
            <w:r w:rsidRPr="008D7DBF">
              <w:t>Care and safe us</w:t>
            </w:r>
            <w:r w:rsidRPr="008D7DBF">
              <w:t>e</w:t>
            </w:r>
          </w:p>
          <w:p w:rsidR="00000000" w:rsidRPr="008D7DBF" w:rsidP="008D7DBF">
            <w:pPr>
              <w:pStyle w:val="ListBullet"/>
            </w:pPr>
            <w:r w:rsidRPr="008D7DBF">
              <w:t>Operating principles</w:t>
            </w:r>
          </w:p>
          <w:p w:rsidR="00000000" w:rsidRPr="008D7DBF" w:rsidP="008D7DBF">
            <w:pPr>
              <w:pStyle w:val="ListBullet"/>
            </w:pPr>
            <w:r w:rsidRPr="008D7DBF">
              <w:t>Comparison of different operating principle meters used for the same purpose</w:t>
            </w:r>
          </w:p>
          <w:p w:rsidR="00000000" w:rsidRPr="008D7DBF" w:rsidP="008D7DBF">
            <w:pPr>
              <w:pStyle w:val="ListBullet"/>
            </w:pPr>
            <w:r w:rsidRPr="008D7DBF">
              <w:t>Accuracy and loading effects of meters - measurement of voltage, current, power, resistance, insulation resistance, impedance and phase sequence and the use</w:t>
            </w:r>
            <w:r w:rsidRPr="008D7DBF">
              <w:t xml:space="preserve"> of oscilloscopes.</w:t>
            </w:r>
          </w:p>
          <w:p w:rsidR="00000000" w:rsidRPr="008D7DBF" w:rsidP="008D7DBF">
            <w:pPr>
              <w:pStyle w:val="BodyText"/>
            </w:pPr>
            <w:r w:rsidRPr="008D7DBF">
              <w:t>T4</w:t>
            </w:r>
            <w:r w:rsidRPr="008D7DBF">
              <w:tab/>
              <w:t>Detailed operation of protection test equipment encompassing:</w:t>
            </w:r>
          </w:p>
          <w:p w:rsidR="00000000" w:rsidRPr="008D7DBF" w:rsidP="008D7DBF">
            <w:pPr>
              <w:pStyle w:val="ListBullet"/>
            </w:pPr>
            <w:r w:rsidRPr="008D7DBF">
              <w:t>Care and safe use</w:t>
            </w:r>
          </w:p>
          <w:p w:rsidR="00000000" w:rsidRPr="008D7DBF" w:rsidP="008D7DBF">
            <w:pPr>
              <w:pStyle w:val="ListBullet"/>
            </w:pPr>
            <w:r w:rsidRPr="008D7DBF">
              <w:t>Operating principles</w:t>
            </w:r>
          </w:p>
          <w:p w:rsidR="00000000" w:rsidRPr="008D7DBF" w:rsidP="008D7DBF">
            <w:pPr>
              <w:pStyle w:val="ListBullet"/>
            </w:pPr>
            <w:r w:rsidRPr="008D7DBF">
              <w:t>Comparison of different operating principle meters used for the same purpose</w:t>
            </w:r>
          </w:p>
          <w:p w:rsidR="00000000" w:rsidRPr="008D7DBF" w:rsidP="008D7DBF">
            <w:pPr>
              <w:pStyle w:val="ListBullet"/>
            </w:pPr>
            <w:r w:rsidRPr="008D7DBF">
              <w:t>Accuracy and loading effects of meters - measurement of</w:t>
            </w:r>
            <w:r w:rsidRPr="008D7DBF">
              <w:t xml:space="preserve"> timing, voltage, current, resistance, inductance, capacitance, impedance, frequency, phase angle, phase difference and the use of primary, secondary and gas injection equipment.</w:t>
            </w:r>
          </w:p>
          <w:p w:rsidR="00000000" w:rsidRPr="008D7DBF" w:rsidP="008D7DBF">
            <w:pPr>
              <w:pStyle w:val="BodyText"/>
            </w:pPr>
            <w:r w:rsidRPr="008D7DBF">
              <w:t>T5</w:t>
            </w:r>
            <w:r w:rsidRPr="008D7DBF">
              <w:tab/>
              <w:t>Protection schemes encompassing:</w:t>
            </w:r>
          </w:p>
          <w:p w:rsidR="00000000" w:rsidRPr="008D7DBF" w:rsidP="008D7DBF">
            <w:pPr>
              <w:pStyle w:val="ListBullet"/>
            </w:pPr>
            <w:r w:rsidRPr="008D7DBF">
              <w:t>Standards, codes, legislation, supply au</w:t>
            </w:r>
            <w:r w:rsidRPr="008D7DBF">
              <w:t>thority regulations and or enterprise requirements applicable to protection schemes</w:t>
            </w:r>
          </w:p>
          <w:p w:rsidR="00000000" w:rsidRPr="008D7DBF" w:rsidP="008D7DBF">
            <w:pPr>
              <w:pStyle w:val="ListBullet"/>
            </w:pPr>
            <w:r w:rsidRPr="008D7DBF">
              <w:t>Types of protection schemes - reasons for use, application of protection zones around system elements, degree of protection</w:t>
            </w:r>
          </w:p>
          <w:p w:rsidR="00000000" w:rsidRPr="008D7DBF" w:rsidP="008D7DBF">
            <w:pPr>
              <w:pStyle w:val="ListBullet"/>
            </w:pPr>
            <w:r w:rsidRPr="008D7DBF">
              <w:t>Types of feeder protection equipment - over curr</w:t>
            </w:r>
            <w:r w:rsidRPr="008D7DBF">
              <w:t>ent protection inverse time-current operating characteristics</w:t>
            </w:r>
          </w:p>
          <w:p w:rsidR="00000000" w:rsidRPr="008D7DBF" w:rsidP="008D7DBF">
            <w:pPr>
              <w:pStyle w:val="ListBullet"/>
            </w:pPr>
            <w:r w:rsidRPr="008D7DBF">
              <w:t>Operation of over current protection equipment used on distribution systems</w:t>
            </w:r>
          </w:p>
          <w:p w:rsidR="00000000" w:rsidRPr="008D7DBF" w:rsidP="008D7DBF">
            <w:pPr>
              <w:pStyle w:val="ListBullet"/>
            </w:pPr>
            <w:r w:rsidRPr="008D7DBF">
              <w:t>Operation of ACRs and their time-current characteristics</w:t>
            </w:r>
          </w:p>
          <w:p w:rsidR="00000000" w:rsidRPr="008D7DBF" w:rsidP="008D7DBF">
            <w:pPr>
              <w:pStyle w:val="ListBullet"/>
            </w:pPr>
            <w:r w:rsidRPr="008D7DBF">
              <w:t>Types and characteristics of over-current relays</w:t>
            </w:r>
          </w:p>
          <w:p w:rsidR="00000000" w:rsidRPr="008D7DBF" w:rsidP="008D7DBF">
            <w:pPr>
              <w:pStyle w:val="ListBullet"/>
            </w:pPr>
            <w:r w:rsidRPr="008D7DBF">
              <w:t>Coordination methods of a distribution feeder protection scheme</w:t>
            </w:r>
          </w:p>
          <w:p w:rsidR="00000000" w:rsidRPr="008D7DBF" w:rsidP="008D7DBF">
            <w:pPr>
              <w:pStyle w:val="ListBullet"/>
            </w:pPr>
            <w:r w:rsidRPr="008D7DBF">
              <w:t>Earth fault protection used on a distribution feeder</w:t>
            </w:r>
          </w:p>
          <w:p w:rsidR="00000000" w:rsidRPr="008D7DBF" w:rsidP="008D7DBF">
            <w:pPr>
              <w:pStyle w:val="ListBullet"/>
            </w:pPr>
            <w:r w:rsidRPr="008D7DBF">
              <w:t>Operation of a single wire earth return (S.W.E.R) system.</w:t>
            </w:r>
          </w:p>
        </w:tc>
      </w:tr>
    </w:tbl>
    <w:p w:rsidR="00000000" w:rsidRPr="008D7DBF" w:rsidP="008D7DBF">
      <w:pPr>
        <w:pStyle w:val="BodyText"/>
      </w:pPr>
    </w:p>
    <w:p w:rsidR="00000000" w:rsidRPr="008D7DBF" w:rsidP="008D7DBF">
      <w:pPr>
        <w:pStyle w:val="AllowPageBreak"/>
      </w:pPr>
    </w:p>
    <w:p w:rsidR="00000000" w:rsidRPr="008D7DBF" w:rsidP="008D7DBF">
      <w:pPr>
        <w:pStyle w:val="Heading1"/>
      </w:pPr>
      <w:bookmarkStart w:id="10" w:name="O_464523"/>
      <w:bookmarkEnd w:id="10"/>
      <w:r w:rsidRPr="008D7DBF">
        <w:t>Evidence Guide</w:t>
      </w:r>
    </w:p>
    <w:tbl>
      <w:tblPr>
        <w:tblW w:w="0" w:type="auto"/>
        <w:tblLayout w:type="fixed"/>
        <w:tblCellMar>
          <w:left w:w="62" w:type="dxa"/>
          <w:right w:w="62" w:type="dxa"/>
        </w:tblCellMar>
        <w:tblLook w:val="0000"/>
      </w:tblPr>
      <w:tblGrid>
        <w:gridCol w:w="8460"/>
      </w:tblGrid>
      <w:tr w:rsidTr="00740BB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rPr>
                <w:rStyle w:val="SpecialBold"/>
              </w:rPr>
              <w:t>EVIDENCE GUIDE</w:t>
            </w:r>
          </w:p>
        </w:tc>
      </w:tr>
      <w:tr w:rsidTr="00740BB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rPr>
                <w:rStyle w:val="SpecialBold"/>
              </w:rPr>
              <w:t>9)</w:t>
            </w:r>
            <w:r w:rsidRPr="008D7DBF">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8D7DBF" w:rsidP="008D7DBF">
            <w:pPr>
              <w:pStyle w:val="BodyText"/>
            </w:pPr>
            <w:r w:rsidRPr="008D7DBF">
              <w:t>The Evidence Guide form</w:t>
            </w:r>
            <w:r w:rsidRPr="008D7DBF">
              <w:t>s an integral part of this Competency Standard Unit and shall be used in conjunction with all component parts of this unit and, performed in accordance with the Assessment Guidelines of this Training Package.</w:t>
            </w:r>
          </w:p>
        </w:tc>
      </w:tr>
    </w:tbl>
    <w:p w:rsidR="00000000" w:rsidRPr="008D7DBF" w:rsidP="008D7DBF">
      <w:pPr>
        <w:pStyle w:val="BodyText"/>
      </w:pPr>
    </w:p>
    <w:tbl>
      <w:tblPr>
        <w:tblW w:w="0" w:type="auto"/>
        <w:tblLayout w:type="fixed"/>
        <w:tblCellMar>
          <w:left w:w="62" w:type="dxa"/>
          <w:right w:w="62" w:type="dxa"/>
        </w:tblCellMar>
        <w:tblLook w:val="0000"/>
      </w:tblPr>
      <w:tblGrid>
        <w:gridCol w:w="1890"/>
        <w:gridCol w:w="6570"/>
      </w:tblGrid>
      <w:tr w:rsidTr="00740BB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rPr>
                <w:rStyle w:val="SpecialBold"/>
              </w:rPr>
              <w:t>9.1)</w:t>
            </w:r>
          </w:p>
        </w:tc>
      </w:tr>
      <w:tr w:rsidTr="00740BB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t>Longitudinal co</w:t>
            </w:r>
            <w:r w:rsidRPr="008D7DBF">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8D7DBF">
              <w:t>It is the Industry’s preferred model for apprenticeships. However, where summative (or final) assessment is used it is to include the application of the competency in the normal work environment or, at a minimum, the application of the competency in a real</w:t>
            </w:r>
            <w:r w:rsidRPr="008D7DBF">
              <w:t>istically simulated work environment. It is recognised that, in some circumstances, assessment in part or full can occur outside the workplace. However, it must be in accord with Industry and, Regulatory policy in this regard.</w:t>
            </w:r>
          </w:p>
          <w:p w:rsidR="00000000" w:rsidRPr="008D7DBF" w:rsidP="008D7DBF">
            <w:pPr>
              <w:pStyle w:val="BodyText"/>
            </w:pPr>
            <w:r w:rsidRPr="008D7DBF">
              <w:t>Methods chosen for a particul</w:t>
            </w:r>
            <w:r w:rsidRPr="008D7DBF">
              <w:t>ar assessment will be influenced by various factors. These include the extent of the assessment, the most effective locations for the assessment activities to take place, access to physical resources, additional safety measures that may be required and the</w:t>
            </w:r>
            <w:r w:rsidRPr="008D7DBF">
              <w:t xml:space="preserve"> critical nature of the competencies being assessed.</w:t>
            </w:r>
          </w:p>
          <w:p w:rsidR="00000000" w:rsidRPr="008D7DBF" w:rsidP="008D7DBF">
            <w:pPr>
              <w:pStyle w:val="BodyText"/>
            </w:pPr>
            <w:r w:rsidRPr="008D7DBF">
              <w:t xml:space="preserve">The critical safety nature of working with electricity, electrical equipment, gas or any other hazardous substance/material carries risk in deeming a person competent. Hence, sources of evidence need to </w:t>
            </w:r>
            <w:r w:rsidRPr="008D7DBF">
              <w:t>be ‘rich’ in nature so as to minimise error in judgment.</w:t>
            </w:r>
          </w:p>
          <w:p w:rsidR="00000000" w:rsidRPr="008D7DBF" w:rsidP="008D7DBF">
            <w:pPr>
              <w:pStyle w:val="BodyText"/>
            </w:pPr>
            <w:r w:rsidRPr="008D7DBF">
              <w:t>Activities associated with normal every day work have a bearing on the decision as to how much and how detailed the data gathered will contribute to its ‘richness’</w:t>
            </w:r>
            <w:r w:rsidRPr="008D7DBF">
              <w:t>. Some skills are more critical to safety and operational requirements while the same skills may be more or less frequently practiced. These points are raised for the assessors to consider when choosing an assessment method and developing assessment instru</w:t>
            </w:r>
            <w:r w:rsidRPr="008D7DBF">
              <w:t>ments. Sample assessment instruments are included for Assessors in the Assessment Guidelines of this Training Package.</w:t>
            </w:r>
          </w:p>
        </w:tc>
      </w:tr>
    </w:tbl>
    <w:p w:rsidR="00000000" w:rsidRPr="008D7DBF" w:rsidP="008D7DBF">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740BB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rPr>
                <w:rStyle w:val="SpecialBold"/>
              </w:rPr>
              <w:t>9.2)</w:t>
            </w:r>
          </w:p>
        </w:tc>
      </w:tr>
      <w:tr w:rsidTr="00740BB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t>Before the critical aspects of evidence are cons</w:t>
            </w:r>
            <w:r w:rsidRPr="008D7DBF">
              <w:t>idered all prerequisites shall be met.</w:t>
            </w:r>
          </w:p>
          <w:p w:rsidR="00000000" w:rsidRPr="008D7DBF" w:rsidP="008D7DBF">
            <w:pPr>
              <w:pStyle w:val="BodyText"/>
            </w:pPr>
            <w:r w:rsidRPr="008D7DBF">
              <w:t>Evidence for competence in this unit shall be considered holistically. Each element and associated Performance Criteria shall be demonstrated on at least two occasions in accordance with the “Assessment Guidelines – U</w:t>
            </w:r>
            <w:r w:rsidRPr="008D7DBF">
              <w:t>ET12”. Evidence shall also comprise:</w:t>
            </w:r>
          </w:p>
          <w:p w:rsidR="00000000" w:rsidRPr="008D7DBF" w:rsidP="008D7DBF">
            <w:pPr>
              <w:pStyle w:val="ListBullet"/>
            </w:pPr>
            <w:r w:rsidRPr="008D7DBF">
              <w:t xml:space="preserve">A representative body of Performance Criteria demonstrated within the timeframes typically expected of the discipline, work function and industrial environment. In particular this shall incorporate evidence that shows </w:t>
            </w:r>
            <w:r w:rsidRPr="008D7DBF">
              <w:t>a candidate is able to:</w:t>
            </w:r>
          </w:p>
          <w:p w:rsidR="00000000" w:rsidRPr="008D7DBF" w:rsidP="008D7DBF">
            <w:pPr>
              <w:pStyle w:val="ListBullet2"/>
            </w:pPr>
            <w:r w:rsidRPr="008D7DBF">
              <w:t>Implement Occupational Health and Safety workplace procedures and practices including the use of risk control measures as specified in the Performance Criteria and range; and</w:t>
            </w:r>
          </w:p>
          <w:p w:rsidR="00000000" w:rsidRPr="008D7DBF" w:rsidP="008D7DBF">
            <w:pPr>
              <w:pStyle w:val="ListBullet2"/>
            </w:pPr>
            <w:r w:rsidRPr="008D7DBF">
              <w:t>Apply sustainable energy principles and practices as specified in the Performance Criteria and range; and</w:t>
            </w:r>
          </w:p>
          <w:p w:rsidR="00000000" w:rsidRPr="008D7DBF" w:rsidP="008D7DBF">
            <w:pPr>
              <w:pStyle w:val="ListBullet2"/>
            </w:pPr>
            <w:r w:rsidRPr="008D7DBF">
              <w:t>Demonstrate an understanding of the essential knowledge and associated skills as described in this unit to such an extent that the learner’s performan</w:t>
            </w:r>
            <w:r w:rsidRPr="008D7DBF">
              <w:t>ce outcome is reported in accordance with the preferred approach; namely a percentile graded result, where required by the regulated environment; and</w:t>
            </w:r>
          </w:p>
          <w:p w:rsidR="00000000" w:rsidRPr="008D7DBF" w:rsidP="008D7DBF">
            <w:pPr>
              <w:pStyle w:val="ListBullet2"/>
            </w:pPr>
            <w:r w:rsidRPr="008D7DBF">
              <w:t>Demonstrate an appropriate level of employability skills; and</w:t>
            </w:r>
          </w:p>
          <w:p w:rsidR="00000000" w:rsidRPr="008D7DBF" w:rsidP="008D7DBF">
            <w:pPr>
              <w:pStyle w:val="ListBullet"/>
            </w:pPr>
            <w:r w:rsidRPr="008D7DBF">
              <w:t>Conduct work observing the relevant Anti di</w:t>
            </w:r>
            <w:r w:rsidRPr="008D7DBF">
              <w:t>scrimination legislation, regulations, policies and workplace procedures; and</w:t>
            </w:r>
          </w:p>
          <w:p w:rsidR="00000000" w:rsidP="008D7DBF">
            <w:pPr>
              <w:pStyle w:val="ListBullet2"/>
              <w:rPr>
                <w:lang w:val="en-NZ"/>
              </w:rPr>
            </w:pPr>
            <w:r w:rsidRPr="008D7DBF">
              <w:t>Demonstrated performance across a representative range of contexts from the prescribed items below:</w:t>
            </w:r>
          </w:p>
        </w:tc>
      </w:tr>
      <w:tr w:rsidTr="00740BB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8D7DBF">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DBF">
            <w:pPr>
              <w:pStyle w:val="BodyText"/>
              <w:rPr>
                <w:lang w:val="en-NZ"/>
              </w:rPr>
            </w:pPr>
            <w:r w:rsidRPr="008D7DBF">
              <w:rPr>
                <w:rStyle w:val="SpecialBold"/>
              </w:rPr>
              <w:t>Range of tools/equipment/materials/procedures/workplaces/other variables</w:t>
            </w:r>
          </w:p>
        </w:tc>
      </w:tr>
      <w:tr w:rsidTr="00740BB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8D7DB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DBF" w:rsidP="008D7DBF">
            <w:pPr>
              <w:pStyle w:val="BodyText"/>
            </w:pPr>
            <w:r w:rsidRPr="008D7DBF">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DBF" w:rsidP="008D7DBF">
            <w:pPr>
              <w:pStyle w:val="BodyText"/>
            </w:pPr>
            <w:r w:rsidRPr="008D7DBF">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DBF">
            <w:pPr>
              <w:pStyle w:val="BodyText"/>
              <w:rPr>
                <w:lang w:val="en-NZ"/>
              </w:rPr>
            </w:pPr>
            <w:r w:rsidRPr="008D7DBF">
              <w:rPr>
                <w:rStyle w:val="SpecialBold"/>
              </w:rPr>
              <w:t>Item List</w:t>
            </w:r>
          </w:p>
        </w:tc>
      </w:tr>
      <w:tr w:rsidTr="00740BB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DBF">
            <w:pPr>
              <w:pStyle w:val="BodyText"/>
              <w:rPr>
                <w:lang w:val="en-NZ"/>
              </w:rPr>
            </w:pPr>
            <w:r w:rsidRPr="008D7DBF">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DBF">
            <w:pPr>
              <w:pStyle w:val="BodyText"/>
              <w:rPr>
                <w:lang w:val="en-NZ"/>
              </w:rPr>
            </w:pPr>
            <w:r w:rsidRPr="008D7DBF">
              <w:t>All of the following simple protection schemes: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DBF" w:rsidP="008D7DBF">
            <w:pPr>
              <w:pStyle w:val="BodyText"/>
            </w:pPr>
            <w:r w:rsidRPr="008D7DBF">
              <w:t>Auxiliary</w:t>
            </w:r>
          </w:p>
          <w:p w:rsidR="00000000" w:rsidRPr="008D7DBF" w:rsidP="008D7DBF">
            <w:pPr>
              <w:pStyle w:val="BodyText"/>
            </w:pPr>
            <w:r w:rsidRPr="008D7DBF">
              <w:t>Overcurrent</w:t>
            </w:r>
          </w:p>
          <w:p w:rsidR="00000000" w:rsidRPr="008D7DBF" w:rsidP="008D7DBF">
            <w:pPr>
              <w:pStyle w:val="BodyText"/>
            </w:pPr>
            <w:r w:rsidRPr="008D7DBF">
              <w:t>Timers</w:t>
            </w:r>
          </w:p>
          <w:p w:rsidR="00000000" w:rsidP="008D7DBF">
            <w:pPr>
              <w:pStyle w:val="BodyText"/>
              <w:rPr>
                <w:lang w:val="en-NZ"/>
              </w:rPr>
            </w:pPr>
            <w:r w:rsidRPr="008D7DBF">
              <w:t>Voltage</w:t>
            </w:r>
          </w:p>
        </w:tc>
      </w:tr>
      <w:tr w:rsidTr="00740BB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DBF">
            <w:pPr>
              <w:pStyle w:val="BodyText"/>
              <w:rPr>
                <w:lang w:val="en-NZ"/>
              </w:rPr>
            </w:pPr>
            <w:r w:rsidRPr="008D7DBF">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DBF">
            <w:pPr>
              <w:pStyle w:val="BodyText"/>
              <w:rPr>
                <w:lang w:val="en-NZ"/>
              </w:rPr>
            </w:pPr>
            <w:r w:rsidRPr="008D7DBF">
              <w:t>At least three (3) of the following intermediate protection devices: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DBF" w:rsidP="008D7DBF">
            <w:pPr>
              <w:pStyle w:val="BodyText"/>
            </w:pPr>
            <w:r w:rsidRPr="008D7DBF">
              <w:t>Inverse time delay overcurrent</w:t>
            </w:r>
          </w:p>
          <w:p w:rsidR="00000000" w:rsidRPr="008D7DBF" w:rsidP="008D7DBF">
            <w:pPr>
              <w:pStyle w:val="BodyText"/>
            </w:pPr>
            <w:r w:rsidRPr="008D7DBF">
              <w:t>Voltage regulating relays</w:t>
            </w:r>
          </w:p>
          <w:p w:rsidR="00000000" w:rsidRPr="008D7DBF" w:rsidP="008D7DBF">
            <w:pPr>
              <w:pStyle w:val="BodyText"/>
            </w:pPr>
            <w:r w:rsidRPr="008D7DBF">
              <w:t>Differential</w:t>
            </w:r>
          </w:p>
          <w:p w:rsidR="00000000" w:rsidP="008D7DBF">
            <w:pPr>
              <w:pStyle w:val="BodyText"/>
              <w:rPr>
                <w:lang w:val="en-NZ"/>
              </w:rPr>
            </w:pPr>
            <w:r w:rsidRPr="008D7DBF">
              <w:t>Pilot wire</w:t>
            </w:r>
          </w:p>
        </w:tc>
      </w:tr>
      <w:tr w:rsidTr="00740BB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DBF">
            <w:pPr>
              <w:pStyle w:val="BodyText"/>
              <w:rPr>
                <w:lang w:val="en-NZ"/>
              </w:rPr>
            </w:pPr>
            <w:r w:rsidRPr="008D7DBF">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DBF">
            <w:pPr>
              <w:pStyle w:val="BodyText"/>
              <w:rPr>
                <w:lang w:val="en-NZ"/>
              </w:rPr>
            </w:pPr>
            <w:r w:rsidRPr="008D7DBF">
              <w:t>At least two (2) of the following advanced protection schemes: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DBF" w:rsidP="008D7DBF">
            <w:pPr>
              <w:pStyle w:val="BodyText"/>
            </w:pPr>
            <w:r w:rsidRPr="008D7DBF">
              <w:t>Multi zone impedance</w:t>
            </w:r>
          </w:p>
          <w:p w:rsidR="00000000" w:rsidRPr="008D7DBF" w:rsidP="008D7DBF">
            <w:pPr>
              <w:pStyle w:val="BodyText"/>
            </w:pPr>
            <w:r w:rsidRPr="008D7DBF">
              <w:t>Multi function feeder protection</w:t>
            </w:r>
          </w:p>
          <w:p w:rsidR="00000000" w:rsidRPr="008D7DBF" w:rsidP="008D7DBF">
            <w:pPr>
              <w:pStyle w:val="BodyText"/>
            </w:pPr>
            <w:r w:rsidRPr="008D7DBF">
              <w:t>Phase comparison</w:t>
            </w:r>
          </w:p>
          <w:p w:rsidR="00000000" w:rsidP="008D7DBF">
            <w:pPr>
              <w:pStyle w:val="BodyText"/>
              <w:rPr>
                <w:lang w:val="en-NZ"/>
              </w:rPr>
            </w:pPr>
            <w:r w:rsidRPr="008D7DBF">
              <w:t>Digital current differential</w:t>
            </w:r>
          </w:p>
        </w:tc>
      </w:tr>
      <w:tr w:rsidTr="00740BB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DBF">
            <w:pPr>
              <w:pStyle w:val="BodyText"/>
              <w:rPr>
                <w:lang w:val="en-NZ"/>
              </w:rPr>
            </w:pPr>
            <w:r w:rsidRPr="008D7DBF">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DBF">
            <w:pPr>
              <w:pStyle w:val="BodyText"/>
              <w:rPr>
                <w:lang w:val="en-NZ"/>
              </w:rPr>
            </w:pPr>
            <w:r w:rsidRPr="008D7DBF">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DBF" w:rsidP="008D7DBF">
            <w:pPr>
              <w:pStyle w:val="BodyText"/>
            </w:pPr>
            <w:r w:rsidRPr="008D7DBF">
              <w:t xml:space="preserve">Dealing with an unplanned event by </w:t>
            </w:r>
            <w:r w:rsidRPr="008D7DBF">
              <w:t xml:space="preserve">drawing on essential knowledge and associated skills to provide appropriate solutions incorporated in the holistic </w:t>
            </w:r>
            <w:r w:rsidRPr="008D7DBF">
              <w:t>assessment with the above listed items.</w:t>
            </w:r>
          </w:p>
        </w:tc>
      </w:tr>
    </w:tbl>
    <w:p w:rsidR="00000000" w:rsidRPr="008D7DBF" w:rsidP="008D7DBF">
      <w:pPr>
        <w:pStyle w:val="BodyText"/>
      </w:pPr>
    </w:p>
    <w:tbl>
      <w:tblPr>
        <w:tblW w:w="0" w:type="auto"/>
        <w:tblLayout w:type="fixed"/>
        <w:tblCellMar>
          <w:left w:w="62" w:type="dxa"/>
          <w:right w:w="62" w:type="dxa"/>
        </w:tblCellMar>
        <w:tblLook w:val="0000"/>
      </w:tblPr>
      <w:tblGrid>
        <w:gridCol w:w="1890"/>
        <w:gridCol w:w="6570"/>
      </w:tblGrid>
      <w:tr w:rsidTr="00740BB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rPr>
                <w:rStyle w:val="SpecialBold"/>
              </w:rPr>
              <w:t>9.3)</w:t>
            </w:r>
          </w:p>
        </w:tc>
      </w:tr>
      <w:tr w:rsidTr="00740BB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t>This unit should be assessed as it relates to normal work practice using procedures, information and resources typical of a workplace. This should include:</w:t>
            </w:r>
          </w:p>
          <w:p w:rsidR="00000000" w:rsidRPr="008D7DBF" w:rsidP="008D7DBF">
            <w:pPr>
              <w:pStyle w:val="ListBullet"/>
            </w:pPr>
            <w:r w:rsidRPr="008D7DBF">
              <w:t>OHS policy and work procedures and instructions.</w:t>
            </w:r>
          </w:p>
          <w:p w:rsidR="00000000" w:rsidRPr="008D7DBF" w:rsidP="008D7DBF">
            <w:pPr>
              <w:pStyle w:val="ListBullet"/>
            </w:pPr>
            <w:r w:rsidRPr="008D7DBF">
              <w:t>Suitable work environment, facilities, equipment and materials to undertake actual testing, repair and calibration of protection relays and meters.</w:t>
            </w:r>
          </w:p>
          <w:p w:rsidR="00000000" w:rsidRPr="008D7DBF" w:rsidP="008D7DBF">
            <w:pPr>
              <w:pStyle w:val="ListBullet"/>
            </w:pPr>
            <w:r w:rsidRPr="008D7DBF">
              <w:t>Operational access to relevant plant, protection and or met</w:t>
            </w:r>
            <w:r w:rsidRPr="008D7DBF">
              <w:t>ering equipment, scheme drawings, manufacture’s specifications/manuals and testing equipment.</w:t>
            </w:r>
          </w:p>
          <w:p w:rsidR="00000000" w:rsidRPr="008D7DBF" w:rsidP="008D7DBF">
            <w:pPr>
              <w:pStyle w:val="BodyText"/>
            </w:pPr>
            <w:r w:rsidRPr="008D7DBF">
              <w:t xml:space="preserve">In addition to the resources listed above, in Context of and specific resources for assessment, evidence should show demonstrated competency working in realistic </w:t>
            </w:r>
            <w:r w:rsidRPr="008D7DBF">
              <w:t>environment and a variety of conditions.</w:t>
            </w:r>
          </w:p>
        </w:tc>
      </w:tr>
    </w:tbl>
    <w:p w:rsidR="00000000" w:rsidRPr="008D7DBF" w:rsidP="008D7DBF">
      <w:pPr>
        <w:pStyle w:val="BodyText"/>
      </w:pPr>
    </w:p>
    <w:tbl>
      <w:tblPr>
        <w:tblW w:w="0" w:type="auto"/>
        <w:tblLayout w:type="fixed"/>
        <w:tblCellMar>
          <w:left w:w="62" w:type="dxa"/>
          <w:right w:w="62" w:type="dxa"/>
        </w:tblCellMar>
        <w:tblLook w:val="0000"/>
      </w:tblPr>
      <w:tblGrid>
        <w:gridCol w:w="1890"/>
        <w:gridCol w:w="6570"/>
      </w:tblGrid>
      <w:tr w:rsidTr="00740BB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rPr>
                <w:rStyle w:val="SpecialBold"/>
              </w:rPr>
              <w:t>9.4)</w:t>
            </w:r>
          </w:p>
        </w:tc>
      </w:tr>
      <w:tr w:rsidTr="00740BB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t>This Competency Standard Unit shall be assessed by methods given in Volume 1, Part 3 “Assessment Guidelines”.</w:t>
            </w:r>
          </w:p>
          <w:p w:rsidR="00000000" w:rsidRPr="008D7DBF" w:rsidP="008D7DBF">
            <w:pPr>
              <w:pStyle w:val="BodyText"/>
            </w:pPr>
            <w:r w:rsidRPr="008D7DBF">
              <w:t>Note:</w:t>
            </w:r>
          </w:p>
          <w:p w:rsidR="00000000" w:rsidRPr="008D7DBF" w:rsidP="008D7DBF">
            <w:pPr>
              <w:pStyle w:val="BodyText"/>
            </w:pPr>
            <w:r w:rsidRPr="008D7DBF">
              <w:t>Competent performa</w:t>
            </w:r>
            <w:r w:rsidRPr="008D7DBF">
              <w:t>nce with inherent safe working practices is expected in the Transmission, Distribution and Rail Traction Industry. This requires that the specified essential knowledge and associated skills are assessed in a structured environment which is primarily intend</w:t>
            </w:r>
            <w:r w:rsidRPr="008D7DBF">
              <w:t>ed for learning/assessment and incorporates all necessary equipment and facilities for learners to develop and demonstrate the essential knowledge and associated skills described in this unit.</w:t>
            </w:r>
          </w:p>
        </w:tc>
      </w:tr>
    </w:tbl>
    <w:p w:rsidR="00000000" w:rsidRPr="008D7DBF" w:rsidP="008D7DBF">
      <w:pPr>
        <w:pStyle w:val="BodyText"/>
      </w:pPr>
    </w:p>
    <w:tbl>
      <w:tblPr>
        <w:tblW w:w="0" w:type="auto"/>
        <w:tblLayout w:type="fixed"/>
        <w:tblCellMar>
          <w:left w:w="62" w:type="dxa"/>
          <w:right w:w="62" w:type="dxa"/>
        </w:tblCellMar>
        <w:tblLook w:val="0000"/>
      </w:tblPr>
      <w:tblGrid>
        <w:gridCol w:w="1890"/>
        <w:gridCol w:w="6570"/>
      </w:tblGrid>
      <w:tr w:rsidTr="00740BB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rPr>
                <w:rStyle w:val="SpecialBold"/>
              </w:rPr>
              <w:t>9.5)</w:t>
            </w:r>
          </w:p>
        </w:tc>
      </w:tr>
      <w:tr w:rsidTr="00740BB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t>There are no concurrent assessment recommendations for this unit.</w:t>
            </w:r>
          </w:p>
        </w:tc>
      </w:tr>
    </w:tbl>
    <w:p w:rsidR="00000000" w:rsidRPr="008D7DBF" w:rsidP="008D7DBF">
      <w:pPr>
        <w:pStyle w:val="BodyText"/>
      </w:pPr>
    </w:p>
    <w:p w:rsidR="00000000" w:rsidRPr="008D7DBF" w:rsidP="008D7DBF">
      <w:pPr>
        <w:pStyle w:val="AllowPageBreak"/>
      </w:pPr>
    </w:p>
    <w:p w:rsidR="00000000" w:rsidRPr="008D7DBF" w:rsidP="008D7DBF">
      <w:pPr>
        <w:pStyle w:val="Heading1"/>
      </w:pPr>
      <w:bookmarkStart w:id="11" w:name="O_464527"/>
      <w:bookmarkEnd w:id="11"/>
      <w:r w:rsidRPr="008D7DBF">
        <w:t>Range Statement</w:t>
      </w:r>
    </w:p>
    <w:tbl>
      <w:tblPr>
        <w:tblW w:w="0" w:type="auto"/>
        <w:tblLayout w:type="fixed"/>
        <w:tblCellMar>
          <w:left w:w="62" w:type="dxa"/>
          <w:right w:w="62" w:type="dxa"/>
        </w:tblCellMar>
        <w:tblLook w:val="0000"/>
      </w:tblPr>
      <w:tblGrid>
        <w:gridCol w:w="8460"/>
      </w:tblGrid>
      <w:tr w:rsidTr="00740BB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rPr>
                <w:rStyle w:val="SpecialBold"/>
              </w:rPr>
              <w:t>RANGE STATEMENT</w:t>
            </w:r>
          </w:p>
        </w:tc>
      </w:tr>
      <w:tr w:rsidTr="00740BB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rPr>
                <w:rStyle w:val="SpecialBold"/>
              </w:rPr>
              <w:t>10)</w:t>
            </w:r>
            <w:r w:rsidRPr="008D7DBF">
              <w:t xml:space="preserve"> This relates to the unit of competency as a whole providing the range of contexts and conditions </w:t>
            </w:r>
            <w:r w:rsidRPr="008D7DBF">
              <w:t>to which the Performance Criteria apply. It allows for different work environments and situations that will affect performance.</w:t>
            </w:r>
          </w:p>
          <w:p w:rsidR="00000000" w:rsidRPr="008D7DBF" w:rsidP="008D7DBF">
            <w:pPr>
              <w:pStyle w:val="BodyText"/>
            </w:pPr>
            <w:r w:rsidRPr="008D7DBF">
              <w:t xml:space="preserve">This Competency Standard Unit shall be demonstrated in relation to the testing, repair and calibration of protection relays and </w:t>
            </w:r>
            <w:r w:rsidRPr="008D7DBF">
              <w:t>meters and may include the following:</w:t>
            </w:r>
          </w:p>
          <w:p w:rsidR="00000000" w:rsidRPr="008D7DBF" w:rsidP="008D7DBF">
            <w:pPr>
              <w:pStyle w:val="BodyText"/>
            </w:pPr>
            <w:r w:rsidRPr="008D7DBF">
              <w:t>Frame leakage relays; distance relays; pilot wire relays; transformer differential relays; busbar differential relays; impedance bus zone relays; overcurrent and earth fault relays; transformer neutral check relays; ci</w:t>
            </w:r>
            <w:r w:rsidRPr="008D7DBF">
              <w:t>rcuit breaker fail relays; multi-trip relays; auto recloser relays; voltage transformer failure relays; surge protection relays; buchholz relays; winding temperature relays; sensitive earth fault relays; phase failure relays; frequency relays; load sheddin</w:t>
            </w:r>
            <w:r w:rsidRPr="008D7DBF">
              <w:t>g relays.</w:t>
            </w:r>
          </w:p>
          <w:p w:rsidR="00000000" w:rsidRPr="008D7DBF" w:rsidP="008D7DBF">
            <w:pPr>
              <w:pStyle w:val="BodyText"/>
            </w:pPr>
            <w:r w:rsidRPr="008D7DBF">
              <w:t>The following constants and variables included in the element/Performance Criteria in this unit are fully described in the Definitions Section 1 of this volume and form an integral part of the Range Statement of this unit:</w:t>
            </w:r>
          </w:p>
          <w:p w:rsidR="00000000" w:rsidRPr="008D7DBF" w:rsidP="008D7DBF">
            <w:pPr>
              <w:pStyle w:val="ListBullet3"/>
            </w:pPr>
            <w:r w:rsidRPr="008D7DBF">
              <w:t>Appropriate and releva</w:t>
            </w:r>
            <w:r w:rsidRPr="008D7DBF">
              <w:t>nt persons (see Personnel)</w:t>
            </w:r>
          </w:p>
          <w:p w:rsidR="00000000" w:rsidRPr="008D7DBF" w:rsidP="008D7DBF">
            <w:pPr>
              <w:pStyle w:val="ListBullet3"/>
            </w:pPr>
            <w:r w:rsidRPr="008D7DBF">
              <w:t>Appropriate authorities</w:t>
            </w:r>
          </w:p>
          <w:p w:rsidR="00000000" w:rsidRPr="008D7DBF" w:rsidP="008D7DBF">
            <w:pPr>
              <w:pStyle w:val="ListBullet3"/>
            </w:pPr>
            <w:r w:rsidRPr="008D7DBF">
              <w:t>Appropriate work platform</w:t>
            </w:r>
          </w:p>
          <w:p w:rsidR="00000000" w:rsidRPr="008D7DBF" w:rsidP="008D7DBF">
            <w:pPr>
              <w:pStyle w:val="ListBullet3"/>
            </w:pPr>
            <w:r w:rsidRPr="008D7DBF">
              <w:t>Assessing risk</w:t>
            </w:r>
          </w:p>
          <w:p w:rsidR="00000000" w:rsidRPr="008D7DBF" w:rsidP="008D7DBF">
            <w:pPr>
              <w:pStyle w:val="ListBullet3"/>
            </w:pPr>
            <w:r w:rsidRPr="008D7DBF">
              <w:t>Assessment</w:t>
            </w:r>
          </w:p>
          <w:p w:rsidR="00000000" w:rsidRPr="008D7DBF" w:rsidP="008D7DBF">
            <w:pPr>
              <w:pStyle w:val="ListBullet3"/>
            </w:pPr>
            <w:r w:rsidRPr="008D7DBF">
              <w:t>Authorisation</w:t>
            </w:r>
          </w:p>
          <w:p w:rsidR="00000000" w:rsidRPr="008D7DBF" w:rsidP="008D7DBF">
            <w:pPr>
              <w:pStyle w:val="ListBullet3"/>
            </w:pPr>
            <w:r w:rsidRPr="008D7DBF">
              <w:t>Confined space</w:t>
            </w:r>
          </w:p>
          <w:p w:rsidR="00000000" w:rsidRPr="008D7DBF" w:rsidP="008D7DBF">
            <w:pPr>
              <w:pStyle w:val="ListBullet3"/>
            </w:pPr>
            <w:r w:rsidRPr="008D7DBF">
              <w:t>Diagnostic, testing and restoration</w:t>
            </w:r>
          </w:p>
          <w:p w:rsidR="00000000" w:rsidRPr="008D7DBF" w:rsidP="008D7DBF">
            <w:pPr>
              <w:pStyle w:val="ListBullet3"/>
            </w:pPr>
            <w:r w:rsidRPr="008D7DBF">
              <w:t>Documenting detail work events, record keeping and or storage of information</w:t>
            </w:r>
          </w:p>
          <w:p w:rsidR="00000000" w:rsidRPr="008D7DBF" w:rsidP="008D7DBF">
            <w:pPr>
              <w:pStyle w:val="ListBullet3"/>
            </w:pPr>
            <w:r w:rsidRPr="008D7DBF">
              <w:t>Drawings an</w:t>
            </w:r>
            <w:r w:rsidRPr="008D7DBF">
              <w:t>d specifications</w:t>
            </w:r>
          </w:p>
          <w:p w:rsidR="00000000" w:rsidRPr="008D7DBF" w:rsidP="008D7DBF">
            <w:pPr>
              <w:pStyle w:val="ListBullet3"/>
            </w:pPr>
            <w:r w:rsidRPr="008D7DBF">
              <w:t>Emergency</w:t>
            </w:r>
          </w:p>
          <w:p w:rsidR="00000000" w:rsidRPr="008D7DBF" w:rsidP="008D7DBF">
            <w:pPr>
              <w:pStyle w:val="ListBullet3"/>
            </w:pPr>
            <w:r w:rsidRPr="008D7DBF">
              <w:t>Environmental and sustainable energy procedures</w:t>
            </w:r>
          </w:p>
          <w:p w:rsidR="00000000" w:rsidRPr="008D7DBF" w:rsidP="008D7DBF">
            <w:pPr>
              <w:pStyle w:val="ListBullet3"/>
            </w:pPr>
            <w:r w:rsidRPr="008D7DBF">
              <w:t>Environmental legislation</w:t>
            </w:r>
          </w:p>
          <w:p w:rsidR="00000000" w:rsidRPr="008D7DBF" w:rsidP="008D7DBF">
            <w:pPr>
              <w:pStyle w:val="ListBullet3"/>
            </w:pPr>
            <w:r w:rsidRPr="008D7DBF">
              <w:t>Environmental management documentation</w:t>
            </w:r>
          </w:p>
          <w:p w:rsidR="00000000" w:rsidRPr="008D7DBF" w:rsidP="008D7DBF">
            <w:pPr>
              <w:pStyle w:val="ListBullet3"/>
            </w:pPr>
            <w:r w:rsidRPr="008D7DBF">
              <w:t>Established procedures</w:t>
            </w:r>
          </w:p>
          <w:p w:rsidR="00000000" w:rsidRPr="008D7DBF" w:rsidP="008D7DBF">
            <w:pPr>
              <w:pStyle w:val="ListBullet3"/>
            </w:pPr>
            <w:r w:rsidRPr="008D7DBF">
              <w:t>Fall prevention</w:t>
            </w:r>
          </w:p>
          <w:p w:rsidR="00000000" w:rsidRPr="008D7DBF" w:rsidP="008D7DBF">
            <w:pPr>
              <w:pStyle w:val="ListBullet3"/>
            </w:pPr>
            <w:r w:rsidRPr="008D7DBF">
              <w:t>Hazards</w:t>
            </w:r>
          </w:p>
          <w:p w:rsidR="00000000" w:rsidRPr="008D7DBF" w:rsidP="008D7DBF">
            <w:pPr>
              <w:pStyle w:val="ListBullet3"/>
            </w:pPr>
            <w:r w:rsidRPr="008D7DBF">
              <w:t>Identifying hazards</w:t>
            </w:r>
          </w:p>
          <w:p w:rsidR="00000000" w:rsidRPr="008D7DBF" w:rsidP="008D7DBF">
            <w:pPr>
              <w:pStyle w:val="ListBullet3"/>
            </w:pPr>
            <w:r w:rsidRPr="008D7DBF">
              <w:t>Inspect</w:t>
            </w:r>
          </w:p>
          <w:p w:rsidR="00000000" w:rsidRPr="008D7DBF" w:rsidP="008D7DBF">
            <w:pPr>
              <w:pStyle w:val="ListBullet3"/>
            </w:pPr>
            <w:r w:rsidRPr="008D7DBF">
              <w:t>Legislation</w:t>
            </w:r>
          </w:p>
          <w:p w:rsidR="00000000" w:rsidRPr="008D7DBF" w:rsidP="008D7DBF">
            <w:pPr>
              <w:pStyle w:val="ListBullet3"/>
            </w:pPr>
            <w:r w:rsidRPr="008D7DBF">
              <w:t>MSDS</w:t>
            </w:r>
          </w:p>
          <w:p w:rsidR="00000000" w:rsidRPr="008D7DBF" w:rsidP="008D7DBF">
            <w:pPr>
              <w:pStyle w:val="ListBullet3"/>
            </w:pPr>
            <w:r w:rsidRPr="008D7DBF">
              <w:t>Notification</w:t>
            </w:r>
          </w:p>
          <w:p w:rsidR="00000000" w:rsidRPr="008D7DBF" w:rsidP="008D7DBF">
            <w:pPr>
              <w:pStyle w:val="ListBullet3"/>
            </w:pPr>
            <w:r w:rsidRPr="008D7DBF">
              <w:t>OHS practices</w:t>
            </w:r>
          </w:p>
          <w:p w:rsidR="00000000" w:rsidRPr="008D7DBF" w:rsidP="008D7DBF">
            <w:pPr>
              <w:pStyle w:val="ListBullet3"/>
            </w:pPr>
            <w:r w:rsidRPr="008D7DBF">
              <w:t>OHS issues</w:t>
            </w:r>
          </w:p>
          <w:p w:rsidR="00000000" w:rsidRPr="008D7DBF" w:rsidP="008D7DBF">
            <w:pPr>
              <w:pStyle w:val="ListBullet3"/>
            </w:pPr>
            <w:r w:rsidRPr="008D7DBF">
              <w:t>Permits and/or permits to work</w:t>
            </w:r>
          </w:p>
          <w:p w:rsidR="00000000" w:rsidRPr="008D7DBF" w:rsidP="008D7DBF">
            <w:pPr>
              <w:pStyle w:val="ListBullet3"/>
            </w:pPr>
            <w:r w:rsidRPr="008D7DBF">
              <w:t>Personnel</w:t>
            </w:r>
          </w:p>
          <w:p w:rsidR="00000000" w:rsidRPr="008D7DBF" w:rsidP="008D7DBF">
            <w:pPr>
              <w:pStyle w:val="ListBullet3"/>
            </w:pPr>
            <w:r w:rsidRPr="008D7DBF">
              <w:t>Quality assurance systems</w:t>
            </w:r>
          </w:p>
          <w:p w:rsidR="00000000" w:rsidRPr="008D7DBF" w:rsidP="008D7DBF">
            <w:pPr>
              <w:pStyle w:val="ListBullet3"/>
            </w:pPr>
            <w:r w:rsidRPr="008D7DBF">
              <w:t>Requirements</w:t>
            </w:r>
          </w:p>
          <w:p w:rsidR="00000000" w:rsidRPr="008D7DBF" w:rsidP="008D7DBF">
            <w:pPr>
              <w:pStyle w:val="ListBullet3"/>
            </w:pPr>
            <w:r w:rsidRPr="008D7DBF">
              <w:t>Testing procedures</w:t>
            </w:r>
          </w:p>
          <w:p w:rsidR="00000000" w:rsidRPr="008D7DBF" w:rsidP="008D7DBF">
            <w:pPr>
              <w:pStyle w:val="ListBullet3"/>
            </w:pPr>
            <w:r w:rsidRPr="008D7DBF">
              <w:t>Work clearance systems</w:t>
            </w:r>
          </w:p>
        </w:tc>
      </w:tr>
    </w:tbl>
    <w:p w:rsidR="00000000" w:rsidRPr="008D7DBF" w:rsidP="008D7DBF">
      <w:pPr>
        <w:pStyle w:val="BodyText"/>
      </w:pPr>
    </w:p>
    <w:p w:rsidR="00000000" w:rsidRPr="008D7DBF" w:rsidP="008D7DBF">
      <w:pPr>
        <w:pStyle w:val="AllowPageBreak"/>
      </w:pPr>
    </w:p>
    <w:p w:rsidR="00000000" w:rsidRPr="008D7DBF" w:rsidP="008D7DBF">
      <w:pPr>
        <w:pStyle w:val="Heading1"/>
      </w:pPr>
      <w:bookmarkStart w:id="12" w:name="O_464530"/>
      <w:bookmarkEnd w:id="12"/>
      <w:r w:rsidRPr="008D7DBF">
        <w:t>Unit Sector(s)</w:t>
      </w:r>
    </w:p>
    <w:p w:rsidR="00000000" w:rsidRPr="008D7DBF" w:rsidP="008D7DBF">
      <w:pPr>
        <w:pStyle w:val="BodyText"/>
      </w:pPr>
      <w:r w:rsidRPr="008D7DBF">
        <w:t>Not applicable.</w:t>
      </w:r>
    </w:p>
    <w:p w:rsidR="00000000" w:rsidRPr="008D7DBF" w:rsidP="008D7DBF">
      <w:pPr>
        <w:pStyle w:val="AllowPageBreak"/>
      </w:pPr>
    </w:p>
    <w:p w:rsidR="00000000" w:rsidRPr="008D7DBF" w:rsidP="008D7DBF">
      <w:pPr>
        <w:pStyle w:val="Heading1"/>
      </w:pPr>
      <w:bookmarkStart w:id="13" w:name="O_464519"/>
      <w:bookmarkEnd w:id="13"/>
      <w:r w:rsidRPr="008D7DBF">
        <w:t>Competency Field</w:t>
      </w:r>
    </w:p>
    <w:tbl>
      <w:tblPr>
        <w:tblW w:w="0" w:type="auto"/>
        <w:tblLayout w:type="fixed"/>
        <w:tblCellMar>
          <w:left w:w="62" w:type="dxa"/>
          <w:right w:w="62" w:type="dxa"/>
        </w:tblCellMar>
        <w:tblLook w:val="0000"/>
      </w:tblPr>
      <w:tblGrid>
        <w:gridCol w:w="2700"/>
        <w:gridCol w:w="5760"/>
      </w:tblGrid>
      <w:tr w:rsidTr="00740BB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D7DBF">
            <w:pPr>
              <w:pStyle w:val="BodyText"/>
              <w:rPr>
                <w:lang w:val="en-NZ"/>
              </w:rPr>
            </w:pPr>
            <w:r w:rsidRPr="008D7DBF">
              <w:rPr>
                <w:rStyle w:val="SpecialBold"/>
              </w:rPr>
              <w:t xml:space="preserve">11) </w:t>
            </w:r>
          </w:p>
        </w:tc>
      </w:tr>
      <w:tr w:rsidTr="00740BB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7DBF" w:rsidP="008D7DBF">
            <w:pPr>
              <w:pStyle w:val="BodyText"/>
            </w:pPr>
            <w:r w:rsidRPr="008D7DBF">
              <w:t>Testing Units</w:t>
            </w:r>
          </w:p>
        </w:tc>
      </w:tr>
    </w:tbl>
    <w:p w:rsidR="00000000" w:rsidRPr="008D7DBF" w:rsidP="008D7DBF">
      <w:pPr>
        <w:pStyle w:val="BodyText"/>
      </w:pPr>
    </w:p>
    <w:p w:rsidR="00000000" w:rsidRPr="008D7DBF" w:rsidP="008D7DBF"/>
    <w:sectPr w:rsidSect="008D7D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0BBF" w:rsidP="00740B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BF" w:rsidP="008D7D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40BBF" w:rsidP="008D7D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40BBF" w:rsidP="008D7D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0BBF" w:rsidP="00740B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BF" w:rsidP="008D7DBF">
    <w:pPr>
      <w:pStyle w:val="Header"/>
      <w:framePr w:wrap="around"/>
    </w:pPr>
    <w:r>
      <w:fldChar w:fldCharType="begin"/>
    </w:r>
    <w:r>
      <w:instrText xml:space="preserve"> TITLE   \* MERGEFORMAT </w:instrText>
    </w:r>
    <w:r>
      <w:fldChar w:fldCharType="separate"/>
    </w:r>
    <w:r>
      <w:t>UETTDRTS28A Repair, test and calibrate protection relays and 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40BBF" w:rsidP="008D7D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3EB9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0AB2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C87C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D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7DBF"/>
    <w:pPr>
      <w:spacing w:before="360" w:after="60"/>
      <w:outlineLvl w:val="0"/>
    </w:pPr>
    <w:rPr>
      <w:sz w:val="32"/>
    </w:rPr>
  </w:style>
  <w:style w:type="paragraph" w:styleId="Heading2">
    <w:name w:val="heading 2"/>
    <w:basedOn w:val="HeadingBase"/>
    <w:next w:val="BodyText"/>
    <w:link w:val="Heading2Char"/>
    <w:qFormat/>
    <w:rsid w:val="008D7DBF"/>
    <w:pPr>
      <w:keepLines/>
      <w:spacing w:before="240" w:after="120"/>
      <w:outlineLvl w:val="1"/>
    </w:pPr>
    <w:rPr>
      <w:sz w:val="28"/>
      <w:szCs w:val="40"/>
    </w:rPr>
  </w:style>
  <w:style w:type="paragraph" w:styleId="Heading3">
    <w:name w:val="heading 3"/>
    <w:basedOn w:val="HeadingBase"/>
    <w:next w:val="BodyText"/>
    <w:link w:val="Heading3Char"/>
    <w:qFormat/>
    <w:rsid w:val="008D7DBF"/>
    <w:pPr>
      <w:spacing w:before="180" w:after="120"/>
      <w:outlineLvl w:val="2"/>
    </w:pPr>
    <w:rPr>
      <w:spacing w:val="-10"/>
      <w:kern w:val="32"/>
    </w:rPr>
  </w:style>
  <w:style w:type="paragraph" w:styleId="Heading4">
    <w:name w:val="heading 4"/>
    <w:basedOn w:val="HeadingBase"/>
    <w:next w:val="BodyText"/>
    <w:link w:val="Heading4Char"/>
    <w:qFormat/>
    <w:rsid w:val="008D7DBF"/>
    <w:pPr>
      <w:spacing w:before="160" w:after="120"/>
      <w:outlineLvl w:val="3"/>
    </w:pPr>
    <w:rPr>
      <w:sz w:val="22"/>
    </w:rPr>
  </w:style>
  <w:style w:type="paragraph" w:styleId="Heading5">
    <w:name w:val="heading 5"/>
    <w:basedOn w:val="HeadingBase"/>
    <w:next w:val="Normal"/>
    <w:link w:val="Heading5Char"/>
    <w:qFormat/>
    <w:rsid w:val="008D7DBF"/>
    <w:pPr>
      <w:spacing w:before="80"/>
      <w:outlineLvl w:val="4"/>
    </w:pPr>
    <w:rPr>
      <w:color w:val="918585"/>
      <w:sz w:val="20"/>
    </w:rPr>
  </w:style>
  <w:style w:type="paragraph" w:styleId="Heading6">
    <w:name w:val="heading 6"/>
    <w:basedOn w:val="HeadingBase"/>
    <w:next w:val="Normal"/>
    <w:link w:val="Heading6Char"/>
    <w:qFormat/>
    <w:rsid w:val="008D7DBF"/>
    <w:pPr>
      <w:spacing w:before="60"/>
      <w:outlineLvl w:val="5"/>
    </w:pPr>
    <w:rPr>
      <w:color w:val="918585"/>
      <w:sz w:val="20"/>
    </w:rPr>
  </w:style>
  <w:style w:type="paragraph" w:styleId="Heading7">
    <w:name w:val="heading 7"/>
    <w:basedOn w:val="Normal"/>
    <w:next w:val="Normal"/>
    <w:link w:val="Heading7Char"/>
    <w:qFormat/>
    <w:rsid w:val="008D7DBF"/>
    <w:pPr>
      <w:ind w:left="720"/>
      <w:outlineLvl w:val="6"/>
    </w:pPr>
    <w:rPr>
      <w:i/>
    </w:rPr>
  </w:style>
  <w:style w:type="paragraph" w:styleId="Heading8">
    <w:name w:val="heading 8"/>
    <w:basedOn w:val="Normal"/>
    <w:next w:val="Normal"/>
    <w:link w:val="Heading8Char"/>
    <w:qFormat/>
    <w:rsid w:val="008D7DBF"/>
    <w:pPr>
      <w:ind w:left="720"/>
      <w:outlineLvl w:val="7"/>
    </w:pPr>
    <w:rPr>
      <w:i/>
    </w:rPr>
  </w:style>
  <w:style w:type="paragraph" w:styleId="Heading9">
    <w:name w:val="heading 9"/>
    <w:basedOn w:val="Normal"/>
    <w:next w:val="Normal"/>
    <w:link w:val="Heading9Char"/>
    <w:qFormat/>
    <w:rsid w:val="008D7DBF"/>
    <w:pPr>
      <w:ind w:left="720"/>
      <w:outlineLvl w:val="8"/>
    </w:pPr>
    <w:rPr>
      <w:i/>
    </w:rPr>
  </w:style>
  <w:style w:type="character" w:default="1" w:styleId="DefaultParagraphFont">
    <w:name w:val="Default Paragraph Font"/>
    <w:uiPriority w:val="1"/>
    <w:unhideWhenUsed/>
    <w:rsid w:val="008D7D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DBF"/>
  </w:style>
  <w:style w:type="character" w:customStyle="1" w:styleId="Heading1Char">
    <w:name w:val="Heading 1 Char"/>
    <w:basedOn w:val="DefaultParagraphFont"/>
    <w:link w:val="Heading1"/>
    <w:rsid w:val="008D7DBF"/>
    <w:rPr>
      <w:rFonts w:ascii="Times New Roman" w:eastAsia="Times New Roman" w:hAnsi="Times New Roman" w:cs="Times New Roman"/>
      <w:b/>
      <w:sz w:val="32"/>
      <w:szCs w:val="20"/>
      <w:lang w:eastAsia="en-US"/>
    </w:rPr>
  </w:style>
  <w:style w:type="paragraph" w:styleId="BodyText">
    <w:name w:val="Body Text"/>
    <w:basedOn w:val="Normal"/>
    <w:link w:val="BodyTextChar"/>
    <w:rsid w:val="008D7D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7DBF"/>
    <w:rPr>
      <w:rFonts w:ascii="Times New Roman" w:eastAsia="Times New Roman" w:hAnsi="Times New Roman" w:cs="Times New Roman"/>
      <w:sz w:val="24"/>
      <w:lang w:val="en-US" w:eastAsia="en-US"/>
    </w:rPr>
  </w:style>
  <w:style w:type="paragraph" w:styleId="Footer">
    <w:name w:val="footer"/>
    <w:basedOn w:val="Normal"/>
    <w:link w:val="FooterChar"/>
    <w:rsid w:val="008D7D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DBF"/>
    <w:rPr>
      <w:rFonts w:ascii="Times New Roman" w:eastAsia="Times New Roman" w:hAnsi="Times New Roman" w:cs="Times New Roman"/>
      <w:sz w:val="16"/>
      <w:lang w:val="en-US" w:eastAsia="en-US"/>
    </w:rPr>
  </w:style>
  <w:style w:type="paragraph" w:styleId="ListBullet">
    <w:name w:val="List Bullet"/>
    <w:basedOn w:val="List"/>
    <w:rsid w:val="008D7DBF"/>
    <w:pPr>
      <w:numPr>
        <w:numId w:val="14"/>
      </w:numPr>
      <w:tabs>
        <w:tab w:val="clear" w:pos="340"/>
      </w:tabs>
      <w:spacing w:before="40" w:after="40"/>
    </w:pPr>
  </w:style>
  <w:style w:type="character" w:customStyle="1" w:styleId="SpecialBold">
    <w:name w:val="Special Bold"/>
    <w:basedOn w:val="DefaultParagraphFont"/>
    <w:rsid w:val="008D7DBF"/>
    <w:rPr>
      <w:b/>
      <w:spacing w:val="0"/>
    </w:rPr>
  </w:style>
  <w:style w:type="paragraph" w:styleId="ListBullet2">
    <w:name w:val="List Bullet 2"/>
    <w:basedOn w:val="List2"/>
    <w:rsid w:val="008D7DBF"/>
    <w:pPr>
      <w:numPr>
        <w:numId w:val="15"/>
      </w:numPr>
      <w:tabs>
        <w:tab w:val="clear" w:pos="680"/>
      </w:tabs>
    </w:pPr>
  </w:style>
  <w:style w:type="paragraph" w:styleId="Header">
    <w:name w:val="header"/>
    <w:basedOn w:val="Normal"/>
    <w:link w:val="HeaderChar"/>
    <w:rsid w:val="008D7D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D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7DBF"/>
    <w:pPr>
      <w:spacing w:before="240" w:after="120"/>
      <w:outlineLvl w:val="0"/>
    </w:pPr>
    <w:rPr>
      <w:rFonts w:ascii="Times New Roman" w:hAnsi="Times New Roman"/>
      <w:b/>
      <w:sz w:val="28"/>
    </w:rPr>
  </w:style>
  <w:style w:type="paragraph" w:customStyle="1" w:styleId="AllowPageBreak">
    <w:name w:val="AllowPageBreak"/>
    <w:rsid w:val="008D7DB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7DBF"/>
    <w:pPr>
      <w:numPr>
        <w:numId w:val="3"/>
      </w:numPr>
      <w:tabs>
        <w:tab w:val="clear" w:pos="1021"/>
      </w:tabs>
      <w:ind w:left="1037" w:hanging="357"/>
    </w:pPr>
  </w:style>
  <w:style w:type="character" w:customStyle="1" w:styleId="Heading2Char">
    <w:name w:val="Heading 2 Char"/>
    <w:basedOn w:val="DefaultParagraphFont"/>
    <w:link w:val="Heading2"/>
    <w:rsid w:val="008D7D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D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D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D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D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D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7D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7DBF"/>
    <w:rPr>
      <w:rFonts w:ascii="Courier New" w:eastAsia="Times New Roman" w:hAnsi="Courier New" w:cs="Times New Roman"/>
      <w:i/>
      <w:szCs w:val="20"/>
      <w:lang w:val="en-US" w:eastAsia="en-US"/>
    </w:rPr>
  </w:style>
  <w:style w:type="paragraph" w:customStyle="1" w:styleId="HeadingBase">
    <w:name w:val="Heading Base"/>
    <w:rsid w:val="008D7D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DBF"/>
    <w:pPr>
      <w:tabs>
        <w:tab w:val="right" w:leader="dot" w:pos="9072"/>
      </w:tabs>
      <w:ind w:left="567"/>
    </w:pPr>
    <w:rPr>
      <w:szCs w:val="22"/>
    </w:rPr>
  </w:style>
  <w:style w:type="paragraph" w:customStyle="1" w:styleId="TOCBase">
    <w:name w:val="TOC Base"/>
    <w:rsid w:val="008D7D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DBF"/>
    <w:pPr>
      <w:tabs>
        <w:tab w:val="right" w:leader="dot" w:pos="9072"/>
      </w:tabs>
      <w:spacing w:before="40" w:after="40"/>
      <w:ind w:left="284"/>
    </w:pPr>
    <w:rPr>
      <w:rFonts w:ascii="Times New Roman" w:hAnsi="Times New Roman"/>
    </w:rPr>
  </w:style>
  <w:style w:type="paragraph" w:styleId="TOC1">
    <w:name w:val="toc 1"/>
    <w:basedOn w:val="TOCBase"/>
    <w:next w:val="Normal"/>
    <w:rsid w:val="008D7D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7DBF"/>
    <w:pPr>
      <w:spacing w:before="5040"/>
      <w:jc w:val="center"/>
    </w:pPr>
    <w:rPr>
      <w:sz w:val="48"/>
      <w:szCs w:val="72"/>
      <w:lang w:val="en-US"/>
    </w:rPr>
  </w:style>
  <w:style w:type="character" w:customStyle="1" w:styleId="TitleChar">
    <w:name w:val="Title Char"/>
    <w:basedOn w:val="DefaultParagraphFont"/>
    <w:link w:val="Title"/>
    <w:rsid w:val="008D7D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DBF"/>
    <w:pPr>
      <w:tabs>
        <w:tab w:val="left" w:pos="3600"/>
        <w:tab w:val="left" w:pos="3958"/>
      </w:tabs>
    </w:pPr>
  </w:style>
  <w:style w:type="paragraph" w:styleId="List">
    <w:name w:val="List"/>
    <w:basedOn w:val="BodyText"/>
    <w:next w:val="BodyText"/>
    <w:rsid w:val="008D7DBF"/>
    <w:pPr>
      <w:tabs>
        <w:tab w:val="left" w:pos="340"/>
      </w:tabs>
      <w:spacing w:before="60" w:after="60"/>
      <w:ind w:left="340" w:hanging="340"/>
    </w:pPr>
  </w:style>
  <w:style w:type="paragraph" w:customStyle="1" w:styleId="Note">
    <w:name w:val="Note"/>
    <w:basedOn w:val="BodyText"/>
    <w:rsid w:val="008D7D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DBF"/>
    <w:pPr>
      <w:framePr w:wrap="auto" w:hAnchor="text" w:y="6049"/>
    </w:pPr>
    <w:rPr>
      <w:color w:val="000000"/>
      <w:sz w:val="40"/>
    </w:rPr>
  </w:style>
  <w:style w:type="paragraph" w:customStyle="1" w:styleId="TOCTitle">
    <w:name w:val="TOCTitle"/>
    <w:basedOn w:val="Heading1"/>
    <w:rsid w:val="008D7DBF"/>
    <w:pPr>
      <w:spacing w:after="240"/>
      <w:jc w:val="center"/>
      <w:outlineLvl w:val="9"/>
    </w:pPr>
    <w:rPr>
      <w:caps/>
    </w:rPr>
  </w:style>
  <w:style w:type="paragraph" w:customStyle="1" w:styleId="Version">
    <w:name w:val="Version"/>
    <w:rsid w:val="008D7D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7DBF"/>
    <w:pPr>
      <w:keepNext w:val="0"/>
      <w:tabs>
        <w:tab w:val="right" w:pos="4176"/>
      </w:tabs>
      <w:ind w:left="198" w:hanging="198"/>
    </w:pPr>
    <w:rPr>
      <w:rFonts w:ascii="Garamond" w:hAnsi="Garamond"/>
    </w:rPr>
  </w:style>
  <w:style w:type="paragraph" w:styleId="IndexHeading">
    <w:name w:val="index heading"/>
    <w:basedOn w:val="Normal"/>
    <w:next w:val="Index1"/>
    <w:semiHidden/>
    <w:rsid w:val="008D7DBF"/>
    <w:pPr>
      <w:spacing w:before="120" w:after="120"/>
    </w:pPr>
    <w:rPr>
      <w:rFonts w:ascii="Arial" w:hAnsi="Arial"/>
      <w:b/>
      <w:color w:val="918585"/>
      <w:sz w:val="24"/>
    </w:rPr>
  </w:style>
  <w:style w:type="paragraph" w:customStyle="1" w:styleId="Chapter">
    <w:name w:val="Chapter"/>
    <w:basedOn w:val="Normal"/>
    <w:rsid w:val="008D7DBF"/>
    <w:pPr>
      <w:spacing w:before="240"/>
    </w:pPr>
    <w:rPr>
      <w:rFonts w:ascii="Times New Roman" w:hAnsi="Times New Roman"/>
      <w:smallCaps/>
      <w:spacing w:val="80"/>
      <w:sz w:val="28"/>
    </w:rPr>
  </w:style>
  <w:style w:type="paragraph" w:customStyle="1" w:styleId="InChapter">
    <w:name w:val="InChapter"/>
    <w:basedOn w:val="Heading3"/>
    <w:rsid w:val="008D7DBF"/>
    <w:pPr>
      <w:spacing w:after="240"/>
      <w:outlineLvl w:val="9"/>
    </w:pPr>
    <w:rPr>
      <w:noProof/>
    </w:rPr>
  </w:style>
  <w:style w:type="paragraph" w:styleId="Index2">
    <w:name w:val="index 2"/>
    <w:basedOn w:val="Normal"/>
    <w:next w:val="Normal"/>
    <w:semiHidden/>
    <w:rsid w:val="008D7DBF"/>
    <w:pPr>
      <w:tabs>
        <w:tab w:val="right" w:pos="4176"/>
      </w:tabs>
      <w:ind w:left="568" w:hanging="284"/>
    </w:pPr>
    <w:rPr>
      <w:rFonts w:ascii="Garamond" w:hAnsi="Garamond"/>
    </w:rPr>
  </w:style>
  <w:style w:type="paragraph" w:customStyle="1" w:styleId="Byline">
    <w:name w:val="Byline"/>
    <w:rsid w:val="008D7D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DBF"/>
    <w:pPr>
      <w:tabs>
        <w:tab w:val="clear" w:pos="3600"/>
        <w:tab w:val="clear" w:pos="3958"/>
      </w:tabs>
      <w:jc w:val="right"/>
    </w:pPr>
  </w:style>
  <w:style w:type="character" w:styleId="Emphasis">
    <w:name w:val="Emphasis"/>
    <w:basedOn w:val="DefaultParagraphFont"/>
    <w:qFormat/>
    <w:rsid w:val="008D7DBF"/>
    <w:rPr>
      <w:i/>
    </w:rPr>
  </w:style>
  <w:style w:type="paragraph" w:styleId="Caption">
    <w:name w:val="caption"/>
    <w:basedOn w:val="BodyText"/>
    <w:next w:val="Normal"/>
    <w:qFormat/>
    <w:rsid w:val="008D7DBF"/>
    <w:pPr>
      <w:framePr w:w="2268" w:hSpace="181" w:vSpace="181" w:wrap="around" w:vAnchor="text" w:hAnchor="page" w:x="1135" w:y="285" w:anchorLock="1"/>
    </w:pPr>
    <w:rPr>
      <w:i/>
    </w:rPr>
  </w:style>
  <w:style w:type="paragraph" w:customStyle="1" w:styleId="MiniTOCTitle">
    <w:name w:val="MiniTOCTitle"/>
    <w:basedOn w:val="Heading4"/>
    <w:rsid w:val="008D7DBF"/>
    <w:pPr>
      <w:spacing w:before="240"/>
      <w:outlineLvl w:val="9"/>
    </w:pPr>
    <w:rPr>
      <w:noProof/>
      <w:sz w:val="24"/>
    </w:rPr>
  </w:style>
  <w:style w:type="paragraph" w:customStyle="1" w:styleId="MiniTOCItem">
    <w:name w:val="MiniTOCItem"/>
    <w:basedOn w:val="ListBullet"/>
    <w:rsid w:val="008D7DBF"/>
    <w:pPr>
      <w:numPr>
        <w:numId w:val="0"/>
      </w:numPr>
      <w:tabs>
        <w:tab w:val="right" w:leader="dot" w:pos="6521"/>
      </w:tabs>
      <w:spacing w:before="0" w:after="0"/>
    </w:pPr>
  </w:style>
  <w:style w:type="paragraph" w:customStyle="1" w:styleId="TOFTitle">
    <w:name w:val="TOFTitle"/>
    <w:basedOn w:val="TOCTitle"/>
    <w:rsid w:val="008D7DBF"/>
  </w:style>
  <w:style w:type="paragraph" w:styleId="TableofFigures">
    <w:name w:val="table of figures"/>
    <w:basedOn w:val="Normal"/>
    <w:next w:val="Normal"/>
    <w:semiHidden/>
    <w:rsid w:val="008D7DBF"/>
    <w:pPr>
      <w:tabs>
        <w:tab w:val="right" w:leader="dot" w:pos="9072"/>
      </w:tabs>
      <w:ind w:left="970" w:hanging="403"/>
    </w:pPr>
    <w:rPr>
      <w:rFonts w:ascii="Times New Roman" w:hAnsi="Times New Roman"/>
      <w:b/>
    </w:rPr>
  </w:style>
  <w:style w:type="paragraph" w:styleId="ListNumber">
    <w:name w:val="List Number"/>
    <w:basedOn w:val="List"/>
    <w:rsid w:val="008D7DBF"/>
    <w:pPr>
      <w:numPr>
        <w:numId w:val="12"/>
      </w:numPr>
    </w:pPr>
  </w:style>
  <w:style w:type="character" w:customStyle="1" w:styleId="WingdingSymbols">
    <w:name w:val="Wingding Symbols"/>
    <w:rsid w:val="008D7DBF"/>
    <w:rPr>
      <w:rFonts w:ascii="Wingdings" w:hAnsi="Wingdings"/>
    </w:rPr>
  </w:style>
  <w:style w:type="paragraph" w:customStyle="1" w:styleId="TableHeading">
    <w:name w:val="Table Heading"/>
    <w:basedOn w:val="HeadingBase"/>
    <w:rsid w:val="008D7DBF"/>
    <w:pPr>
      <w:keepLines/>
      <w:pBdr>
        <w:bottom w:val="single" w:sz="6" w:space="1" w:color="918585"/>
      </w:pBdr>
      <w:spacing w:before="240"/>
    </w:pPr>
  </w:style>
  <w:style w:type="character" w:customStyle="1" w:styleId="HotSpot">
    <w:name w:val="HotSpot"/>
    <w:rsid w:val="008D7DBF"/>
    <w:rPr>
      <w:color w:val="0033CC"/>
      <w:u w:val="none"/>
    </w:rPr>
  </w:style>
  <w:style w:type="paragraph" w:customStyle="1" w:styleId="BodyTextRight">
    <w:name w:val="Body Text Right"/>
    <w:basedOn w:val="BodyText"/>
    <w:rsid w:val="008D7DBF"/>
    <w:pPr>
      <w:spacing w:before="0" w:after="0"/>
      <w:jc w:val="right"/>
    </w:pPr>
  </w:style>
  <w:style w:type="paragraph" w:styleId="Index3">
    <w:name w:val="index 3"/>
    <w:basedOn w:val="ListNumber2"/>
    <w:next w:val="Normal"/>
    <w:semiHidden/>
    <w:rsid w:val="008D7DBF"/>
    <w:pPr>
      <w:numPr>
        <w:numId w:val="0"/>
      </w:numPr>
      <w:tabs>
        <w:tab w:val="right" w:leader="dot" w:pos="4176"/>
      </w:tabs>
    </w:pPr>
  </w:style>
  <w:style w:type="paragraph" w:styleId="ListNumber2">
    <w:name w:val="List Number 2"/>
    <w:basedOn w:val="List2"/>
    <w:rsid w:val="008D7DBF"/>
    <w:pPr>
      <w:numPr>
        <w:numId w:val="11"/>
      </w:numPr>
      <w:tabs>
        <w:tab w:val="clear" w:pos="1060"/>
      </w:tabs>
    </w:pPr>
  </w:style>
  <w:style w:type="paragraph" w:customStyle="1" w:styleId="MarginNote">
    <w:name w:val="Margin Note"/>
    <w:basedOn w:val="BodyText"/>
    <w:rsid w:val="008D7D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D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D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7DBF"/>
    <w:rPr>
      <w:sz w:val="32"/>
    </w:rPr>
  </w:style>
  <w:style w:type="paragraph" w:customStyle="1" w:styleId="HeadingProcedure">
    <w:name w:val="Heading Procedure"/>
    <w:basedOn w:val="HeadingBase"/>
    <w:next w:val="Normal"/>
    <w:rsid w:val="008D7DBF"/>
    <w:pPr>
      <w:tabs>
        <w:tab w:val="left" w:pos="0"/>
      </w:tabs>
      <w:spacing w:before="120" w:after="60"/>
    </w:pPr>
    <w:rPr>
      <w:i/>
      <w:color w:val="918585"/>
      <w:sz w:val="22"/>
    </w:rPr>
  </w:style>
  <w:style w:type="paragraph" w:customStyle="1" w:styleId="TableBodyText">
    <w:name w:val="Table Body Text"/>
    <w:basedOn w:val="BodyText"/>
    <w:rsid w:val="008D7DBF"/>
    <w:pPr>
      <w:spacing w:before="60" w:after="60"/>
    </w:pPr>
  </w:style>
  <w:style w:type="paragraph" w:styleId="ListContinue">
    <w:name w:val="List Continue"/>
    <w:basedOn w:val="List"/>
    <w:rsid w:val="008D7DBF"/>
    <w:pPr>
      <w:ind w:firstLine="0"/>
    </w:pPr>
  </w:style>
  <w:style w:type="paragraph" w:customStyle="1" w:styleId="ListNote">
    <w:name w:val="List Note"/>
    <w:basedOn w:val="List"/>
    <w:rsid w:val="008D7DBF"/>
    <w:pPr>
      <w:pBdr>
        <w:top w:val="single" w:sz="6" w:space="2" w:color="918585"/>
        <w:bottom w:val="single" w:sz="6" w:space="2" w:color="918585"/>
      </w:pBdr>
      <w:tabs>
        <w:tab w:val="left" w:pos="1021"/>
      </w:tabs>
      <w:ind w:firstLine="0"/>
    </w:pPr>
  </w:style>
  <w:style w:type="paragraph" w:customStyle="1" w:styleId="Warning">
    <w:name w:val="Warning"/>
    <w:basedOn w:val="BodyText"/>
    <w:rsid w:val="008D7DBF"/>
    <w:pPr>
      <w:shd w:val="clear" w:color="auto" w:fill="D9D9D9"/>
      <w:tabs>
        <w:tab w:val="left" w:pos="992"/>
      </w:tabs>
      <w:ind w:left="119" w:right="119"/>
    </w:pPr>
    <w:rPr>
      <w:sz w:val="20"/>
    </w:rPr>
  </w:style>
  <w:style w:type="paragraph" w:customStyle="1" w:styleId="MarginIcons">
    <w:name w:val="Margin Icons"/>
    <w:basedOn w:val="BodyText"/>
    <w:rsid w:val="008D7D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DBF"/>
    <w:rPr>
      <w:rFonts w:ascii="Courier New" w:hAnsi="Courier New"/>
    </w:rPr>
  </w:style>
  <w:style w:type="paragraph" w:customStyle="1" w:styleId="NoteBullet">
    <w:name w:val="Note Bullet"/>
    <w:basedOn w:val="Note"/>
    <w:rsid w:val="008D7DBF"/>
    <w:pPr>
      <w:tabs>
        <w:tab w:val="clear" w:pos="680"/>
      </w:tabs>
      <w:spacing w:before="60" w:after="60"/>
    </w:pPr>
  </w:style>
  <w:style w:type="paragraph" w:customStyle="1" w:styleId="SubHeading2">
    <w:name w:val="SubHeading2"/>
    <w:basedOn w:val="HeadingBase"/>
    <w:rsid w:val="008D7DBF"/>
    <w:pPr>
      <w:spacing w:before="240" w:after="60"/>
    </w:pPr>
    <w:rPr>
      <w:sz w:val="20"/>
    </w:rPr>
  </w:style>
  <w:style w:type="paragraph" w:customStyle="1" w:styleId="SubHeading1">
    <w:name w:val="SubHeading1"/>
    <w:basedOn w:val="HeadingBase"/>
    <w:rsid w:val="008D7DBF"/>
    <w:pPr>
      <w:spacing w:before="240" w:after="60"/>
    </w:pPr>
    <w:rPr>
      <w:color w:val="918585"/>
      <w:sz w:val="22"/>
    </w:rPr>
  </w:style>
  <w:style w:type="paragraph" w:customStyle="1" w:styleId="SideHeading">
    <w:name w:val="Side Heading"/>
    <w:basedOn w:val="HeadingBase"/>
    <w:rsid w:val="008D7D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DBF"/>
    <w:pPr>
      <w:numPr>
        <w:numId w:val="13"/>
      </w:numPr>
    </w:pPr>
  </w:style>
  <w:style w:type="paragraph" w:styleId="PlainText">
    <w:name w:val="Plain Text"/>
    <w:basedOn w:val="Normal"/>
    <w:link w:val="PlainTextChar"/>
    <w:rsid w:val="008D7DBF"/>
    <w:rPr>
      <w:sz w:val="20"/>
    </w:rPr>
  </w:style>
  <w:style w:type="character" w:customStyle="1" w:styleId="PlainTextChar">
    <w:name w:val="Plain Text Char"/>
    <w:basedOn w:val="DefaultParagraphFont"/>
    <w:link w:val="PlainText"/>
    <w:rsid w:val="008D7D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7DBF"/>
    <w:rPr>
      <w:b/>
      <w:smallCaps/>
    </w:rPr>
  </w:style>
  <w:style w:type="paragraph" w:customStyle="1" w:styleId="TableListNumber">
    <w:name w:val="Table List Number"/>
    <w:basedOn w:val="ListNumber"/>
    <w:rsid w:val="008D7DBF"/>
    <w:pPr>
      <w:numPr>
        <w:numId w:val="0"/>
      </w:numPr>
    </w:pPr>
  </w:style>
  <w:style w:type="paragraph" w:styleId="TOC4">
    <w:name w:val="toc 4"/>
    <w:basedOn w:val="TOCBase"/>
    <w:next w:val="Normal"/>
    <w:semiHidden/>
    <w:rsid w:val="008D7DBF"/>
    <w:pPr>
      <w:tabs>
        <w:tab w:val="right" w:leader="dot" w:pos="9071"/>
      </w:tabs>
      <w:ind w:left="1701"/>
    </w:pPr>
  </w:style>
  <w:style w:type="paragraph" w:customStyle="1" w:styleId="ListAlpha">
    <w:name w:val="List Alpha"/>
    <w:basedOn w:val="List"/>
    <w:rsid w:val="008D7DBF"/>
    <w:pPr>
      <w:numPr>
        <w:numId w:val="10"/>
      </w:numPr>
    </w:pPr>
  </w:style>
  <w:style w:type="paragraph" w:customStyle="1" w:styleId="ListAlpha2">
    <w:name w:val="List Alpha 2"/>
    <w:basedOn w:val="List2"/>
    <w:rsid w:val="008D7DBF"/>
    <w:pPr>
      <w:numPr>
        <w:numId w:val="9"/>
      </w:numPr>
    </w:pPr>
  </w:style>
  <w:style w:type="paragraph" w:styleId="List2">
    <w:name w:val="List 2"/>
    <w:basedOn w:val="BodyText"/>
    <w:rsid w:val="008D7DBF"/>
    <w:pPr>
      <w:tabs>
        <w:tab w:val="left" w:pos="680"/>
      </w:tabs>
      <w:spacing w:before="60" w:after="60"/>
      <w:ind w:left="680" w:hanging="340"/>
    </w:pPr>
  </w:style>
  <w:style w:type="paragraph" w:styleId="List3">
    <w:name w:val="List 3"/>
    <w:basedOn w:val="BodyText"/>
    <w:rsid w:val="008D7DBF"/>
    <w:pPr>
      <w:tabs>
        <w:tab w:val="left" w:pos="1021"/>
      </w:tabs>
      <w:spacing w:before="60" w:after="60"/>
      <w:ind w:left="1020" w:hanging="340"/>
    </w:pPr>
  </w:style>
  <w:style w:type="paragraph" w:styleId="List4">
    <w:name w:val="List 4"/>
    <w:basedOn w:val="BodyText"/>
    <w:rsid w:val="008D7DBF"/>
    <w:pPr>
      <w:tabs>
        <w:tab w:val="left" w:pos="1361"/>
      </w:tabs>
      <w:spacing w:before="60" w:after="60"/>
      <w:ind w:left="1361" w:hanging="340"/>
    </w:pPr>
  </w:style>
  <w:style w:type="paragraph" w:styleId="List5">
    <w:name w:val="List 5"/>
    <w:basedOn w:val="BodyText"/>
    <w:rsid w:val="008D7DBF"/>
    <w:pPr>
      <w:tabs>
        <w:tab w:val="left" w:pos="1701"/>
      </w:tabs>
      <w:spacing w:before="60" w:after="60"/>
      <w:ind w:left="1701" w:hanging="340"/>
    </w:pPr>
  </w:style>
  <w:style w:type="paragraph" w:styleId="ListBullet4">
    <w:name w:val="List Bullet 4"/>
    <w:basedOn w:val="List4"/>
    <w:rsid w:val="008D7DBF"/>
    <w:pPr>
      <w:numPr>
        <w:numId w:val="4"/>
      </w:numPr>
    </w:pPr>
  </w:style>
  <w:style w:type="paragraph" w:styleId="ListBullet5">
    <w:name w:val="List Bullet 5"/>
    <w:basedOn w:val="List5"/>
    <w:rsid w:val="008D7DBF"/>
    <w:pPr>
      <w:numPr>
        <w:numId w:val="5"/>
      </w:numPr>
    </w:pPr>
  </w:style>
  <w:style w:type="paragraph" w:styleId="ListContinue2">
    <w:name w:val="List Continue 2"/>
    <w:basedOn w:val="List2"/>
    <w:rsid w:val="008D7DBF"/>
    <w:pPr>
      <w:ind w:firstLine="0"/>
    </w:pPr>
  </w:style>
  <w:style w:type="paragraph" w:styleId="ListContinue3">
    <w:name w:val="List Continue 3"/>
    <w:basedOn w:val="List3"/>
    <w:rsid w:val="008D7DBF"/>
    <w:pPr>
      <w:ind w:left="1021" w:firstLine="0"/>
    </w:pPr>
  </w:style>
  <w:style w:type="paragraph" w:styleId="ListContinue4">
    <w:name w:val="List Continue 4"/>
    <w:basedOn w:val="List4"/>
    <w:rsid w:val="008D7DBF"/>
    <w:pPr>
      <w:ind w:firstLine="0"/>
    </w:pPr>
  </w:style>
  <w:style w:type="paragraph" w:styleId="ListContinue5">
    <w:name w:val="List Continue 5"/>
    <w:basedOn w:val="List5"/>
    <w:rsid w:val="008D7DBF"/>
    <w:pPr>
      <w:ind w:firstLine="0"/>
    </w:pPr>
  </w:style>
  <w:style w:type="paragraph" w:styleId="ListNumber3">
    <w:name w:val="List Number 3"/>
    <w:basedOn w:val="List3"/>
    <w:rsid w:val="008D7DBF"/>
    <w:pPr>
      <w:numPr>
        <w:numId w:val="6"/>
      </w:numPr>
    </w:pPr>
  </w:style>
  <w:style w:type="paragraph" w:styleId="ListNumber4">
    <w:name w:val="List Number 4"/>
    <w:basedOn w:val="List4"/>
    <w:rsid w:val="008D7DBF"/>
    <w:pPr>
      <w:numPr>
        <w:numId w:val="7"/>
      </w:numPr>
    </w:pPr>
  </w:style>
  <w:style w:type="paragraph" w:styleId="ListNumber5">
    <w:name w:val="List Number 5"/>
    <w:basedOn w:val="List5"/>
    <w:rsid w:val="008D7DBF"/>
    <w:pPr>
      <w:numPr>
        <w:numId w:val="8"/>
      </w:numPr>
    </w:pPr>
  </w:style>
  <w:style w:type="paragraph" w:styleId="BlockText">
    <w:name w:val="Block Text"/>
    <w:basedOn w:val="Normal"/>
    <w:rsid w:val="008D7DBF"/>
    <w:pPr>
      <w:spacing w:after="120"/>
      <w:ind w:left="1440" w:right="1440"/>
    </w:pPr>
  </w:style>
  <w:style w:type="character" w:customStyle="1" w:styleId="Subscript">
    <w:name w:val="Subscript"/>
    <w:basedOn w:val="DefaultParagraphFont"/>
    <w:rsid w:val="008D7DBF"/>
    <w:rPr>
      <w:sz w:val="16"/>
      <w:vertAlign w:val="subscript"/>
    </w:rPr>
  </w:style>
  <w:style w:type="character" w:customStyle="1" w:styleId="Superscript">
    <w:name w:val="Superscript"/>
    <w:basedOn w:val="DefaultParagraphFont"/>
    <w:rsid w:val="008D7DBF"/>
    <w:rPr>
      <w:sz w:val="16"/>
      <w:vertAlign w:val="superscript"/>
    </w:rPr>
  </w:style>
  <w:style w:type="character" w:customStyle="1" w:styleId="Symbols">
    <w:name w:val="Symbols"/>
    <w:basedOn w:val="DefaultParagraphFont"/>
    <w:rsid w:val="008D7DBF"/>
    <w:rPr>
      <w:rFonts w:ascii="Symbol" w:hAnsi="Symbol"/>
    </w:rPr>
  </w:style>
  <w:style w:type="character" w:customStyle="1" w:styleId="MenuOptions">
    <w:name w:val="Menu Options"/>
    <w:basedOn w:val="DefaultParagraphFont"/>
    <w:rsid w:val="008D7DBF"/>
    <w:rPr>
      <w:rFonts w:ascii="Arial Narrow" w:hAnsi="Arial Narrow"/>
      <w:smallCaps/>
    </w:rPr>
  </w:style>
  <w:style w:type="character" w:customStyle="1" w:styleId="Buttons">
    <w:name w:val="Buttons"/>
    <w:basedOn w:val="DefaultParagraphFont"/>
    <w:rsid w:val="008D7DBF"/>
    <w:rPr>
      <w:b/>
    </w:rPr>
  </w:style>
  <w:style w:type="character" w:customStyle="1" w:styleId="Underlined">
    <w:name w:val="Underlined"/>
    <w:basedOn w:val="DefaultParagraphFont"/>
    <w:rsid w:val="008D7DBF"/>
    <w:rPr>
      <w:u w:val="single"/>
    </w:rPr>
  </w:style>
  <w:style w:type="paragraph" w:customStyle="1" w:styleId="TableBodyTextRight">
    <w:name w:val="Table Body Text Right"/>
    <w:basedOn w:val="TableBodyText"/>
    <w:rsid w:val="008D7DBF"/>
    <w:pPr>
      <w:widowControl w:val="0"/>
      <w:autoSpaceDE w:val="0"/>
      <w:autoSpaceDN w:val="0"/>
      <w:adjustRightInd w:val="0"/>
      <w:jc w:val="right"/>
    </w:pPr>
    <w:rPr>
      <w:rFonts w:cs="Arial"/>
      <w:szCs w:val="18"/>
    </w:rPr>
  </w:style>
  <w:style w:type="paragraph" w:customStyle="1" w:styleId="CopyrightText">
    <w:name w:val="Copyright Text"/>
    <w:basedOn w:val="BodyText"/>
    <w:rsid w:val="008D7DBF"/>
    <w:rPr>
      <w:sz w:val="18"/>
    </w:rPr>
  </w:style>
  <w:style w:type="paragraph" w:customStyle="1" w:styleId="BodySmallRight">
    <w:name w:val="Body Small Right"/>
    <w:basedOn w:val="BodyTextRight"/>
    <w:rsid w:val="008D7DBF"/>
    <w:rPr>
      <w:sz w:val="18"/>
      <w:szCs w:val="18"/>
    </w:rPr>
  </w:style>
  <w:style w:type="paragraph" w:customStyle="1" w:styleId="MarginEdition">
    <w:name w:val="Margin Edition"/>
    <w:basedOn w:val="MarginNote"/>
    <w:rsid w:val="008D7DBF"/>
    <w:pPr>
      <w:spacing w:before="0" w:after="0"/>
    </w:pPr>
    <w:rPr>
      <w:rFonts w:ascii="Times New Roman" w:hAnsi="Times New Roman"/>
      <w:color w:val="999999"/>
    </w:rPr>
  </w:style>
  <w:style w:type="paragraph" w:customStyle="1" w:styleId="Spacer">
    <w:name w:val="Spacer"/>
    <w:basedOn w:val="Normal"/>
    <w:rsid w:val="008D7DBF"/>
    <w:rPr>
      <w:sz w:val="2"/>
      <w:szCs w:val="2"/>
    </w:rPr>
  </w:style>
  <w:style w:type="character" w:customStyle="1" w:styleId="Small">
    <w:name w:val="Small"/>
    <w:basedOn w:val="DefaultParagraphFont"/>
    <w:rsid w:val="008D7DBF"/>
    <w:rPr>
      <w:sz w:val="16"/>
    </w:rPr>
  </w:style>
  <w:style w:type="paragraph" w:customStyle="1" w:styleId="WideTable">
    <w:name w:val="Wide Table"/>
    <w:basedOn w:val="Normal"/>
    <w:rsid w:val="008D7DBF"/>
    <w:pPr>
      <w:ind w:left="-1418"/>
    </w:pPr>
    <w:rPr>
      <w:sz w:val="2"/>
      <w:szCs w:val="2"/>
    </w:rPr>
  </w:style>
  <w:style w:type="character" w:styleId="PageNumber">
    <w:name w:val="page number"/>
    <w:basedOn w:val="DefaultParagraphFont"/>
    <w:rsid w:val="008D7DBF"/>
  </w:style>
  <w:style w:type="paragraph" w:styleId="Quote">
    <w:name w:val="Quote"/>
    <w:basedOn w:val="Heading1"/>
    <w:link w:val="QuoteChar"/>
    <w:qFormat/>
    <w:rsid w:val="008D7DBF"/>
    <w:rPr>
      <w:b w:val="0"/>
      <w:sz w:val="72"/>
      <w:szCs w:val="72"/>
      <w:lang w:val="en-NZ"/>
    </w:rPr>
  </w:style>
  <w:style w:type="character" w:customStyle="1" w:styleId="QuoteChar">
    <w:name w:val="Quote Char"/>
    <w:basedOn w:val="DefaultParagraphFont"/>
    <w:link w:val="Quote"/>
    <w:rsid w:val="008D7D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DBF"/>
    <w:pPr>
      <w:pageBreakBefore/>
    </w:pPr>
  </w:style>
  <w:style w:type="paragraph" w:customStyle="1" w:styleId="Border">
    <w:name w:val="Border"/>
    <w:basedOn w:val="Normal"/>
    <w:qFormat/>
    <w:rsid w:val="008D7D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DBF"/>
    <w:rPr>
      <w:b/>
      <w:bCs/>
      <w:i/>
      <w:iCs/>
      <w:color w:val="auto"/>
    </w:rPr>
  </w:style>
  <w:style w:type="paragraph" w:styleId="IntenseQuote">
    <w:name w:val="Intense Quote"/>
    <w:basedOn w:val="Normal"/>
    <w:next w:val="Normal"/>
    <w:link w:val="IntenseQuoteChar"/>
    <w:uiPriority w:val="30"/>
    <w:qFormat/>
    <w:rsid w:val="008D7D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D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7DBF"/>
    <w:rPr>
      <w:smallCaps/>
      <w:color w:val="auto"/>
      <w:u w:val="single"/>
    </w:rPr>
  </w:style>
  <w:style w:type="character" w:styleId="IntenseReference">
    <w:name w:val="Intense Reference"/>
    <w:basedOn w:val="DefaultParagraphFont"/>
    <w:uiPriority w:val="32"/>
    <w:qFormat/>
    <w:rsid w:val="008D7DBF"/>
    <w:rPr>
      <w:b/>
      <w:bCs/>
      <w:smallCaps/>
      <w:color w:val="auto"/>
      <w:spacing w:val="5"/>
      <w:u w:val="single"/>
    </w:rPr>
  </w:style>
  <w:style w:type="paragraph" w:customStyle="1" w:styleId="2ColumnHeading">
    <w:name w:val="2Column Heading"/>
    <w:basedOn w:val="BodyText"/>
    <w:qFormat/>
    <w:rsid w:val="008D7DBF"/>
    <w:pPr>
      <w:spacing w:after="60"/>
      <w:ind w:left="-2268"/>
    </w:pPr>
    <w:rPr>
      <w:b/>
    </w:rPr>
  </w:style>
  <w:style w:type="paragraph" w:customStyle="1" w:styleId="Heading1TOC">
    <w:name w:val="Heading1 TOC"/>
    <w:basedOn w:val="Normal"/>
    <w:qFormat/>
    <w:rsid w:val="008D7DBF"/>
    <w:pPr>
      <w:spacing w:before="240" w:after="120"/>
    </w:pPr>
    <w:rPr>
      <w:rFonts w:ascii="Times New Roman" w:hAnsi="Times New Roman"/>
      <w:b/>
      <w:sz w:val="32"/>
    </w:rPr>
  </w:style>
  <w:style w:type="paragraph" w:customStyle="1" w:styleId="Heading2TOC">
    <w:name w:val="Heading2 TOC"/>
    <w:basedOn w:val="Normal"/>
    <w:qFormat/>
    <w:rsid w:val="008D7DBF"/>
    <w:pPr>
      <w:spacing w:before="240" w:after="60"/>
    </w:pPr>
    <w:rPr>
      <w:rFonts w:ascii="Times New Roman" w:hAnsi="Times New Roman"/>
      <w:b/>
      <w:sz w:val="28"/>
    </w:rPr>
  </w:style>
  <w:style w:type="character" w:customStyle="1" w:styleId="Underline">
    <w:name w:val="Underline"/>
    <w:basedOn w:val="DefaultParagraphFont"/>
    <w:qFormat/>
    <w:rsid w:val="008D7DBF"/>
    <w:rPr>
      <w:u w:val="single"/>
    </w:rPr>
  </w:style>
  <w:style w:type="character" w:customStyle="1" w:styleId="BoldandItalics">
    <w:name w:val="Bold and Italics"/>
    <w:qFormat/>
    <w:rsid w:val="008D7DBF"/>
    <w:rPr>
      <w:b/>
      <w:i/>
      <w:u w:val="none"/>
    </w:rPr>
  </w:style>
  <w:style w:type="paragraph" w:styleId="BalloonText">
    <w:name w:val="Balloon Text"/>
    <w:basedOn w:val="Normal"/>
    <w:link w:val="BalloonTextChar"/>
    <w:rsid w:val="008D7DBF"/>
    <w:rPr>
      <w:rFonts w:ascii="Tahoma" w:hAnsi="Tahoma" w:cs="Tahoma"/>
      <w:sz w:val="16"/>
      <w:szCs w:val="16"/>
    </w:rPr>
  </w:style>
  <w:style w:type="character" w:customStyle="1" w:styleId="BalloonTextChar">
    <w:name w:val="Balloon Text Char"/>
    <w:basedOn w:val="DefaultParagraphFont"/>
    <w:link w:val="BalloonText"/>
    <w:rsid w:val="008D7D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7D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7D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2898</Words>
  <Characters>18573</Characters>
  <Application>Microsoft Office Word</Application>
  <DocSecurity>0</DocSecurity>
  <Lines>695</Lines>
  <Paragraphs>279</Paragraphs>
  <ScaleCrop>false</ScaleCrop>
  <Company>Author-it Software Corporation Ltd.</Company>
  <LinksUpToDate>false</LinksUpToDate>
  <CharactersWithSpaces>21271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UETTDRTS28A Repair, test and calibrate protection relays and meters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2012-05-26T12:26:00Z</dcterms:created>
  <dcterms:modified xsi:type="dcterms:W3CDTF">2012-05-26T12:26:00Z</dcterms:modified>
</cp:coreProperties>
</file>