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A93" w:rsidP="002F1A93">
      <w:pPr>
        <w:pStyle w:val="Title"/>
      </w:pPr>
      <w:r>
        <w:fldChar w:fldCharType="begin"/>
      </w:r>
      <w:r>
        <w:instrText xml:space="preserve"> TITLE   \* MERGEFORMAT </w:instrText>
      </w:r>
      <w:r>
        <w:fldChar w:fldCharType="separate"/>
      </w:r>
      <w:r>
        <w:t>UETTDRTS27A Perform accuracy checks on power systems instrument transformers</w:t>
      </w:r>
      <w:r>
        <w:fldChar w:fldCharType="end"/>
      </w:r>
    </w:p>
    <w:p w:rsidR="002F1A93" w:rsidP="002F1A93">
      <w:pPr>
        <w:pStyle w:val="Version"/>
        <w:sectPr w:rsidSect="00B84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64B" w:rsidP="00B8464B">
      <w:pPr>
        <w:pStyle w:val="SuperHeading"/>
      </w:pPr>
      <w:r w:rsidRPr="00B8464B">
        <w:t>UETTDRTS27A Perform accuracy checks on power systems instrument transformers</w:t>
      </w:r>
    </w:p>
    <w:p w:rsidR="00000000" w:rsidRPr="00B8464B" w:rsidP="00B8464B">
      <w:pPr>
        <w:pStyle w:val="Heading1"/>
      </w:pPr>
      <w:bookmarkStart w:id="1" w:name="O_464516"/>
      <w:bookmarkEnd w:id="1"/>
      <w:r w:rsidRPr="00B8464B">
        <w:t>Modification History</w:t>
      </w:r>
    </w:p>
    <w:p w:rsidR="00000000" w:rsidRPr="00B8464B" w:rsidP="00B8464B">
      <w:pPr>
        <w:pStyle w:val="BodyText"/>
      </w:pPr>
      <w:r w:rsidRPr="00B8464B">
        <w:t>Not applicable.</w:t>
      </w:r>
    </w:p>
    <w:p w:rsidR="00000000" w:rsidRPr="00B8464B" w:rsidP="00B8464B">
      <w:pPr>
        <w:pStyle w:val="AllowPageBreak"/>
      </w:pPr>
    </w:p>
    <w:p w:rsidR="00000000" w:rsidRPr="00B8464B" w:rsidP="00B8464B">
      <w:pPr>
        <w:pStyle w:val="Heading1"/>
      </w:pPr>
      <w:bookmarkStart w:id="2" w:name="O_464514"/>
      <w:bookmarkEnd w:id="2"/>
      <w:r w:rsidRPr="00B8464B">
        <w:t>Unit Descriptor</w:t>
      </w:r>
    </w:p>
    <w:tbl>
      <w:tblPr>
        <w:tblW w:w="0" w:type="auto"/>
        <w:tblLayout w:type="fixed"/>
        <w:tblCellMar>
          <w:left w:w="62" w:type="dxa"/>
          <w:right w:w="62" w:type="dxa"/>
        </w:tblCellMar>
        <w:tblLook w:val="0000"/>
      </w:tblPr>
      <w:tblGrid>
        <w:gridCol w:w="2700"/>
        <w:gridCol w:w="5760"/>
      </w:tblGrid>
      <w:tr w:rsidTr="002F1A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1)</w:t>
            </w:r>
            <w:r w:rsidRPr="00B8464B">
              <w:t xml:space="preserve"> </w:t>
            </w:r>
            <w:r w:rsidRPr="00B8464B">
              <w:rPr>
                <w:rStyle w:val="SpecialBold"/>
              </w:rPr>
              <w:t>Scope:</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46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1.1) Descriptor</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This Competency Standard Unit covers the task of undertaking accuracy checks on instrument transformers and includes proving their functionality. It also includes both current and voltage instrument transformers having various operating principles, which a</w:t>
            </w:r>
            <w:r w:rsidRPr="00B8464B">
              <w:t xml:space="preserve">re designed for metering, protection, monitoring or control usage. It also encompasses tasks associated with the isolation from other secondary circuits, inspection, measurement of excitation curves, measurement of phase and ratio errors and comparison of </w:t>
            </w:r>
            <w:r w:rsidRPr="00B8464B">
              <w:t>results with previous historical results and/or published specifications.</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3" w:name="O_464503"/>
      <w:bookmarkEnd w:id="3"/>
      <w:r w:rsidRPr="00B8464B">
        <w:t>Application of the Unit</w:t>
      </w:r>
    </w:p>
    <w:tbl>
      <w:tblPr>
        <w:tblW w:w="0" w:type="auto"/>
        <w:tblLayout w:type="fixed"/>
        <w:tblCellMar>
          <w:left w:w="62" w:type="dxa"/>
          <w:right w:w="62" w:type="dxa"/>
        </w:tblCellMar>
        <w:tblLook w:val="0000"/>
      </w:tblPr>
      <w:tblGrid>
        <w:gridCol w:w="2672"/>
        <w:gridCol w:w="5699"/>
      </w:tblGrid>
      <w:tr w:rsidTr="002F1A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2)</w:t>
            </w:r>
          </w:p>
        </w:tc>
      </w:tr>
      <w:tr w:rsidTr="002F1A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This competency standards unit is intended to apply to any recognised development program that leads to the acquisition of a formal award at AQF level 5 or higher.</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4" w:name="O_464510"/>
      <w:bookmarkEnd w:id="4"/>
      <w:r w:rsidRPr="00B8464B">
        <w:t>Licensing/Regulatory Information</w:t>
      </w:r>
    </w:p>
    <w:tbl>
      <w:tblPr>
        <w:tblW w:w="0" w:type="auto"/>
        <w:tblLayout w:type="fixed"/>
        <w:tblCellMar>
          <w:left w:w="62" w:type="dxa"/>
          <w:right w:w="62" w:type="dxa"/>
        </w:tblCellMar>
        <w:tblLook w:val="0000"/>
      </w:tblPr>
      <w:tblGrid>
        <w:gridCol w:w="2700"/>
        <w:gridCol w:w="5760"/>
      </w:tblGrid>
      <w:tr w:rsidTr="002F1A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 xml:space="preserve">3)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The skills and</w:t>
            </w:r>
            <w:r w:rsidRPr="00B8464B">
              <w:t xml:space="preserve"> knowledge described in this unit may require a licence/registration to practice in the work place subject to regulations for undertaking of electrical work. Practice in workplace and during training is also subject to </w:t>
            </w:r>
            <w:r w:rsidRPr="00B8464B">
              <w:t>regulations directly related to Occup</w:t>
            </w:r>
            <w:r w:rsidRPr="00B8464B">
              <w:t>ational Health and Safety, electricity/telecommunications/gas/water industry safety and compliance, industrial relations, environmental protection, anti discrimination and training. Commonwealth, State/Territory or Local Government legislation and regulati</w:t>
            </w:r>
            <w:r w:rsidRPr="00B8464B">
              <w:t>ons may exist that limits the age of operating certain equipment.</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5" w:name="O_464511"/>
      <w:bookmarkEnd w:id="5"/>
      <w:r w:rsidRPr="00B8464B">
        <w:t>Pre-Requisites</w:t>
      </w:r>
    </w:p>
    <w:tbl>
      <w:tblPr>
        <w:tblW w:w="0" w:type="auto"/>
        <w:tblLayout w:type="fixed"/>
        <w:tblCellMar>
          <w:left w:w="62" w:type="dxa"/>
          <w:right w:w="62" w:type="dxa"/>
        </w:tblCellMar>
        <w:tblLook w:val="0000"/>
      </w:tblPr>
      <w:tblGrid>
        <w:gridCol w:w="2700"/>
        <w:gridCol w:w="2070"/>
        <w:gridCol w:w="3690"/>
      </w:tblGrid>
      <w:tr w:rsidTr="002F1A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 xml:space="preserve">4)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4.1)</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Granting of competency in this unit shall be made only after competency in the following unit(s) has/have been confirmed.</w:t>
            </w:r>
          </w:p>
          <w:p w:rsidR="00000000" w:rsidRPr="00B8464B" w:rsidP="00B8464B">
            <w:pPr>
              <w:pStyle w:val="BodyText"/>
            </w:pPr>
            <w:r w:rsidRPr="00B8464B">
              <w:t xml:space="preserve">Where pre-requisite pathways have been identified. All competencies in the Common Unit Group must be have been completed plus all the </w:t>
            </w:r>
            <w:r w:rsidRPr="00B8464B">
              <w:t>competencies in one (1) of the identified Pathway Unit Group(s):</w:t>
            </w:r>
          </w:p>
          <w:p w:rsidR="00000000" w:rsidP="00B8464B">
            <w:pPr>
              <w:pStyle w:val="BodyText"/>
              <w:rPr>
                <w:lang w:val="en-NZ"/>
              </w:rPr>
            </w:pPr>
            <w:r w:rsidRPr="00B8464B">
              <w:t>Common Unit Group</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Unit Code</w:t>
            </w:r>
            <w:r w:rsidRPr="00B8464B">
              <w:tab/>
            </w:r>
          </w:p>
        </w:tc>
        <w:tc>
          <w:tcPr>
            <w:tcW w:w="3690" w:type="dxa"/>
            <w:tcBorders>
              <w:top w:val="nil"/>
              <w:left w:val="nil"/>
              <w:bottom w:val="nil"/>
              <w:right w:val="nil"/>
            </w:tcBorders>
            <w:tcMar>
              <w:top w:w="0" w:type="dxa"/>
              <w:left w:w="62" w:type="dxa"/>
              <w:bottom w:w="0" w:type="dxa"/>
              <w:right w:w="62" w:type="dxa"/>
            </w:tcMar>
            <w:vAlign w:val="bottom"/>
          </w:tcPr>
          <w:p w:rsidR="00000000" w:rsidP="00B8464B">
            <w:pPr>
              <w:pStyle w:val="BodyText"/>
              <w:rPr>
                <w:lang w:val="en-NZ"/>
              </w:rPr>
            </w:pPr>
            <w:r w:rsidRPr="00B8464B">
              <w:t>Unit Title</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B8464B">
            <w:pPr>
              <w:pStyle w:val="BodyText"/>
              <w:rPr>
                <w:lang w:val="en-NZ"/>
              </w:rPr>
            </w:pPr>
            <w:r w:rsidRPr="00B8464B">
              <w:t>Use engineering applications software on personal computers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Apply Occupational Health and Safety regulations, codes and practices in the workplace</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Fabricate, assemble and dismantle utilities industry components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Solve problems in d.c. Circuits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Use drawings, diagrams, schedules, standards, codes and specifications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UEENEEE124A</w:t>
            </w:r>
          </w:p>
        </w:tc>
        <w:tc>
          <w:tcPr>
            <w:tcW w:w="369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Compile and produce an energy sector detailed report</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 xml:space="preserve">Provide engineering solutions for </w:t>
            </w:r>
            <w:r w:rsidRPr="00B8464B">
              <w:t>problems in complex multiple path circuits problems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Prov</w:t>
            </w:r>
            <w:r w:rsidRPr="00B8464B">
              <w:t>ide solutions to basic engineering computational problems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Solve problems in electromagnetic devices and related circuits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Solve problems in electromagnetic devices and related circuits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Provide engineering solutions to problems in complex polyphase power circuits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Apply sustainable energy and environmental procedures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 xml:space="preserve">Working safely near live electrical apparatus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Implement and monitor the power sys</w:t>
            </w:r>
            <w:r w:rsidRPr="00B8464B">
              <w:t>tem organisational OHS policies, procedures and programs</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8464B">
            <w:pPr>
              <w:pStyle w:val="BodyText"/>
              <w:rPr>
                <w:lang w:val="en-NZ"/>
              </w:rPr>
            </w:pPr>
            <w:r w:rsidRPr="00B8464B">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B8464B" w:rsidP="00B8464B">
            <w:pPr>
              <w:pStyle w:val="BodyText"/>
            </w:pPr>
            <w:r w:rsidRPr="00B8464B">
              <w:t>Implement and monitor the power system environmental and sustainable energy management policies and procedures</w:t>
            </w:r>
          </w:p>
        </w:tc>
      </w:tr>
    </w:tbl>
    <w:p w:rsidR="00000000" w:rsidRPr="00B8464B" w:rsidP="00B8464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1A9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 xml:space="preserve">4.2)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Participants are best equipped to achieve this unit if they have reading, writing and numeracy skills indicated by the following scales. Description of each scale is given in Volume 2, Part 3 “Literacy and Numeracy”</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Reading</w:t>
            </w:r>
          </w:p>
        </w:tc>
        <w:tc>
          <w:tcPr>
            <w:tcW w:w="81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5</w:t>
            </w:r>
          </w:p>
        </w:tc>
        <w:tc>
          <w:tcPr>
            <w:tcW w:w="99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Writing</w:t>
            </w:r>
          </w:p>
        </w:tc>
        <w:tc>
          <w:tcPr>
            <w:tcW w:w="90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5</w:t>
            </w:r>
          </w:p>
        </w:tc>
        <w:tc>
          <w:tcPr>
            <w:tcW w:w="12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Numeracy</w:t>
            </w:r>
          </w:p>
        </w:tc>
        <w:tc>
          <w:tcPr>
            <w:tcW w:w="72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5</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6" w:name="O_464507"/>
      <w:bookmarkEnd w:id="6"/>
      <w:r w:rsidRPr="00B8464B">
        <w:t>Employability Skills Information</w:t>
      </w:r>
    </w:p>
    <w:tbl>
      <w:tblPr>
        <w:tblW w:w="0" w:type="auto"/>
        <w:tblLayout w:type="fixed"/>
        <w:tblCellMar>
          <w:left w:w="62" w:type="dxa"/>
          <w:right w:w="62" w:type="dxa"/>
        </w:tblCellMar>
        <w:tblLook w:val="0000"/>
      </w:tblPr>
      <w:tblGrid>
        <w:gridCol w:w="2700"/>
        <w:gridCol w:w="5760"/>
      </w:tblGrid>
      <w:tr w:rsidTr="002F1A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 xml:space="preserve">5)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The required outcomes described in this unit of competency contain applicable facets of Employability Skills. The Employability Skills Summary of the qualification in which this u</w:t>
            </w:r>
            <w:r w:rsidRPr="00B8464B">
              <w:t>nit of competency is packaged will assist in identifying Employability Skill requirements.</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7" w:name="O_464506"/>
      <w:bookmarkEnd w:id="7"/>
      <w:r w:rsidRPr="00B8464B">
        <w:t>Elements and Performance Criteria Pre-Content</w:t>
      </w:r>
    </w:p>
    <w:tbl>
      <w:tblPr>
        <w:tblW w:w="0" w:type="auto"/>
        <w:tblLayout w:type="fixed"/>
        <w:tblCellMar>
          <w:left w:w="62" w:type="dxa"/>
          <w:right w:w="62" w:type="dxa"/>
        </w:tblCellMar>
        <w:tblLook w:val="0000"/>
      </w:tblPr>
      <w:tblGrid>
        <w:gridCol w:w="2700"/>
        <w:gridCol w:w="5760"/>
      </w:tblGrid>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6)</w:t>
            </w:r>
            <w:r w:rsidRPr="00B8464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Performance Criteria describe the required performance needed to demonstrate achievement of the element. Assessment of performance is to be consistent with the Evidence Guide.</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8" w:name="O_464505"/>
      <w:bookmarkEnd w:id="8"/>
      <w:r w:rsidRPr="00B8464B">
        <w:t>Elements and Performance Criteria</w:t>
      </w:r>
    </w:p>
    <w:tbl>
      <w:tblPr>
        <w:tblW w:w="0" w:type="auto"/>
        <w:tblLayout w:type="fixed"/>
        <w:tblCellMar>
          <w:left w:w="62" w:type="dxa"/>
          <w:right w:w="62" w:type="dxa"/>
        </w:tblCellMar>
        <w:tblLook w:val="0000"/>
      </w:tblPr>
      <w:tblGrid>
        <w:gridCol w:w="409"/>
        <w:gridCol w:w="2291"/>
        <w:gridCol w:w="932"/>
        <w:gridCol w:w="4828"/>
      </w:tblGrid>
      <w:tr w:rsidTr="002F1A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PERFORMANCE CRITER</w:t>
            </w:r>
            <w:r w:rsidRPr="00B8464B">
              <w:rPr>
                <w:rStyle w:val="SpecialBold"/>
              </w:rPr>
              <w:t>IA</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w:t>
            </w:r>
          </w:p>
        </w:tc>
        <w:tc>
          <w:tcPr>
            <w:tcW w:w="2291"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Plan for accuracy checks on instrument transformers</w:t>
            </w: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1.1</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OHS practices/procedures and environmental and sustainable energy procedures, which may influence the performance of accuracy checks on instrument transformers, are reviewed and determined.</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1.2</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Purpose of the performance of accuracy checks on instrument transformers is established after data is analysed and expected outcomes of the work are confirmed with the appropriate personnel.</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1.3</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 xml:space="preserve">Organisational established procedures on policies and </w:t>
            </w:r>
            <w:r w:rsidRPr="00B8464B">
              <w:t>specifications for the performance of accuracy checks on instrument transformers are obtained or established with the appropriate personnel.</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1.4</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Testing procedures are discussed with/directed to the appropriate personnel in order to ascertain the project brief.</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1.5</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Testing parameters are established from organisational established procedures on policies and specifications.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1.6</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Equipment/tools</w:t>
            </w:r>
            <w:r w:rsidRPr="00B8464B">
              <w:t xml:space="preserve"> and personal protective equipment are selected based on specified Performance Criteria and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1.7</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Work roles and tasks are allocated according to requirements and individuals’ competencies.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1.8</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Work is prioritised and sequenced for the most efficient/effective outcome, completed within an acceptable timeframe to a quality standard and in accordance with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1.9</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Liaison and communication issues with other/authorised personne</w:t>
            </w:r>
            <w:r w:rsidRPr="00B8464B">
              <w:t>l, authorities, clients and land owners are resolved and activities coordinated to carry out work.</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1.10</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Risk control measures are identified, prioritised and evaluated against the work schedule.</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1.11</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Relevant work permits are secured to coordinate th</w:t>
            </w:r>
            <w:r w:rsidRPr="00B8464B">
              <w:t>e performance of work according to requirements and/or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w:t>
            </w:r>
          </w:p>
        </w:tc>
        <w:tc>
          <w:tcPr>
            <w:tcW w:w="2291"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Carry out accuracy checks on instrument transformers</w:t>
            </w: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2.1</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Circuit/systems modelling is used to evaluate alternative proposals as per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2.2</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OHS and sustainable energy principles, functionality and practices to reduce the incidents of accidents and minimise waste are incorporated into the project in accordance with requirements and/or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2.3</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Performance of accuracy check</w:t>
            </w:r>
            <w:r w:rsidRPr="00B8464B">
              <w:t>s on instrument transformer decisions are made on the basis of safety and effective outcomes according to requirements and/or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2.4</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Mathematical and/or engineering models of the performance of accuracy checks on instrument transfor</w:t>
            </w:r>
            <w:r w:rsidRPr="00B8464B">
              <w:t>mers are used to analyse the effectiveness of the finished project as per requirements and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2.5</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Technical advice is given regarding potential hazards, safety risks and control measures so that monitoring and preventative action ca</w:t>
            </w:r>
            <w:r w:rsidRPr="00B8464B">
              <w:t>n be undertaken and/or appropriate authorities consulted, where necessary, in accordance with requirements and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2.6</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 xml:space="preserve">Essential knowledge and associated skills are applied to analyse specific data and </w:t>
            </w:r>
            <w:r w:rsidRPr="00B8464B">
              <w:t>compare it with compliance specifications to ensure completion of the project within an agreed timeframe according to requirements.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2.7</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Accuracy checks on instrument transformers are undertaken according to requirements and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w:t>
            </w:r>
            <w:r w:rsidRPr="00B8464B">
              <w:t>8</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Work teams/groups are arranged/coordinated/evaluated to ensure planned goals are met according to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2.9</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Solutions to non-routine problems are identified and actioned, using acquired essential knowledge and associated skills, acco</w:t>
            </w:r>
            <w:r w:rsidRPr="00B8464B">
              <w:t>rding to requirements.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2.10</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Quality of work is monitored against personal performance agreement and/or established organisational and professional standards.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2.11</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Strategic plans are developed incorporating organisation initiatives as per established procedures.</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3</w:t>
            </w:r>
          </w:p>
        </w:tc>
        <w:tc>
          <w:tcPr>
            <w:tcW w:w="2291" w:type="dxa"/>
            <w:vMerge w:val="restart"/>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Complete the performance of accuracy checks on instrument transformers</w:t>
            </w: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3.1</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Final review of test results on instrument transformers are undertaken to ensu</w:t>
            </w:r>
            <w:r w:rsidRPr="00B8464B">
              <w:t>re they comply with all requirements and include all specifications and documentations needed to complete the project.</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3.2</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Appropriate personnel are notified of completion and reports and/or completion documents are finalised/commissioned.</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3.3</w:t>
            </w:r>
          </w:p>
        </w:tc>
        <w:tc>
          <w:tcPr>
            <w:tcW w:w="4828"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Reports and/or completion documents are submitted to relevant personnel/organisations for approval and, where applicable, statutory or regulatory approval.</w:t>
            </w:r>
          </w:p>
        </w:tc>
      </w:tr>
      <w:tr w:rsidTr="002F1A93">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2"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t>3.4</w:t>
            </w:r>
          </w:p>
        </w:tc>
        <w:tc>
          <w:tcPr>
            <w:tcW w:w="4828"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Approved copies of the performance of accuracy checks on instrument transformers documents ar</w:t>
            </w:r>
            <w:r w:rsidRPr="00B8464B">
              <w:t>e issues and records are updated in accordance with established procedures.</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9" w:name="O_464513"/>
      <w:bookmarkEnd w:id="9"/>
      <w:r w:rsidRPr="00B8464B">
        <w:t>Required Skills and Knowledge</w:t>
      </w:r>
    </w:p>
    <w:tbl>
      <w:tblPr>
        <w:tblW w:w="0" w:type="auto"/>
        <w:tblLayout w:type="fixed"/>
        <w:tblCellMar>
          <w:left w:w="62" w:type="dxa"/>
          <w:right w:w="62" w:type="dxa"/>
        </w:tblCellMar>
        <w:tblLook w:val="0000"/>
      </w:tblPr>
      <w:tblGrid>
        <w:gridCol w:w="8460"/>
      </w:tblGrid>
      <w:tr w:rsidTr="002F1A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REQUIRED SKILLS AND KNOWLEDGE</w:t>
            </w:r>
          </w:p>
        </w:tc>
      </w:tr>
      <w:tr w:rsidTr="002F1A9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8)</w:t>
            </w:r>
            <w:r w:rsidRPr="00B8464B">
              <w:t xml:space="preserve"> Essential Knowledge and Associated Skills (EKAS): This describes the essential skills and knowledge and their level, required for this unit.</w:t>
            </w:r>
          </w:p>
          <w:p w:rsidR="00000000" w:rsidRPr="00B8464B" w:rsidP="00B8464B">
            <w:pPr>
              <w:pStyle w:val="BodyText"/>
            </w:pPr>
            <w:r w:rsidRPr="00B8464B">
              <w:t>Evidence shall show that knowledge has been acquired of performing accuracy checks on instrument transformers.</w:t>
            </w:r>
          </w:p>
          <w:p w:rsidR="00000000" w:rsidRPr="00B8464B" w:rsidP="00B8464B">
            <w:pPr>
              <w:pStyle w:val="BodyText"/>
            </w:pPr>
            <w:r w:rsidRPr="00B8464B">
              <w:t>All</w:t>
            </w:r>
            <w:r w:rsidRPr="00B8464B">
              <w:t xml:space="preserve"> knowledge and skills detailed in this unit should be contextualised to current industry practices and technologies.</w:t>
            </w:r>
          </w:p>
          <w:p w:rsidR="00000000" w:rsidRPr="00B8464B" w:rsidP="00B8464B">
            <w:pPr>
              <w:pStyle w:val="BodyText"/>
            </w:pPr>
            <w:r w:rsidRPr="00B8464B">
              <w:t xml:space="preserve">KS01-TTS27A </w:t>
            </w:r>
            <w:r w:rsidRPr="00B8464B">
              <w:tab/>
              <w:t>Power systems instrument transformers - accuracy checks</w:t>
            </w:r>
          </w:p>
          <w:p w:rsidR="00000000" w:rsidRPr="00B8464B" w:rsidP="00B8464B">
            <w:pPr>
              <w:pStyle w:val="BodyText"/>
            </w:pPr>
            <w:r w:rsidRPr="00B8464B">
              <w:t>Evidence shall show an understanding of power systems instrument trans</w:t>
            </w:r>
            <w:r w:rsidRPr="00B8464B">
              <w:t xml:space="preserve">formers - accuracy checks to an extent indicated by the following aspects: </w:t>
            </w:r>
          </w:p>
          <w:p w:rsidR="00000000" w:rsidRPr="00B8464B" w:rsidP="00B8464B">
            <w:pPr>
              <w:pStyle w:val="BodyText"/>
            </w:pPr>
            <w:r w:rsidRPr="00B8464B">
              <w:t>T1</w:t>
            </w:r>
            <w:r w:rsidRPr="00B8464B">
              <w:tab/>
              <w:t xml:space="preserve">OHS enterprise responsibilities encompassing: </w:t>
            </w:r>
          </w:p>
          <w:p w:rsidR="00000000" w:rsidRPr="00B8464B" w:rsidP="00B8464B">
            <w:pPr>
              <w:pStyle w:val="ListBullet"/>
            </w:pPr>
            <w:r w:rsidRPr="00B8464B">
              <w:t>Provisions of relevant health and safety legislation</w:t>
            </w:r>
          </w:p>
          <w:p w:rsidR="00000000" w:rsidRPr="00B8464B" w:rsidP="00B8464B">
            <w:pPr>
              <w:pStyle w:val="ListBullet"/>
            </w:pPr>
            <w:r w:rsidRPr="00B8464B">
              <w:t>Principles and practice of effective occupational health and safety manageme</w:t>
            </w:r>
            <w:r w:rsidRPr="00B8464B">
              <w:t>nt</w:t>
            </w:r>
          </w:p>
          <w:p w:rsidR="00000000" w:rsidRPr="00B8464B" w:rsidP="00B8464B">
            <w:pPr>
              <w:pStyle w:val="ListBullet"/>
            </w:pPr>
            <w:r w:rsidRPr="00B8464B">
              <w:t>Management arrangements relating to regulatory compliance</w:t>
            </w:r>
          </w:p>
          <w:p w:rsidR="00000000" w:rsidRPr="00B8464B" w:rsidP="00B8464B">
            <w:pPr>
              <w:pStyle w:val="ListBullet"/>
            </w:pPr>
            <w:r w:rsidRPr="00B8464B">
              <w:t>Enterprise hazards and risks, control measures and relevant expertise required</w:t>
            </w:r>
          </w:p>
          <w:p w:rsidR="00000000" w:rsidRPr="00B8464B" w:rsidP="00B8464B">
            <w:pPr>
              <w:pStyle w:val="ListBullet"/>
            </w:pPr>
            <w:r w:rsidRPr="00B8464B">
              <w:t>Characteristics and composition of workforce and their impact on occupational health and safety management</w:t>
            </w:r>
          </w:p>
          <w:p w:rsidR="00000000" w:rsidRPr="00B8464B" w:rsidP="00B8464B">
            <w:pPr>
              <w:pStyle w:val="ListBullet"/>
            </w:pPr>
            <w:r w:rsidRPr="00B8464B">
              <w:t>Relevance of enterprise management systems to occupational health and safety management</w:t>
            </w:r>
          </w:p>
          <w:p w:rsidR="00000000" w:rsidRPr="00B8464B" w:rsidP="00B8464B">
            <w:pPr>
              <w:pStyle w:val="ListBullet"/>
            </w:pPr>
            <w:r w:rsidRPr="00B8464B">
              <w:t>Analysis of working environment and design of appropriate occupational health and safety management systems</w:t>
            </w:r>
          </w:p>
          <w:p w:rsidR="00000000" w:rsidRPr="00B8464B" w:rsidP="00B8464B">
            <w:pPr>
              <w:pStyle w:val="ListBullet"/>
            </w:pPr>
            <w:r w:rsidRPr="00B8464B">
              <w:t>Analysis of relevant data and evaluation of occupational hea</w:t>
            </w:r>
            <w:r w:rsidRPr="00B8464B">
              <w:t>lth and safety system effectiveness</w:t>
            </w:r>
          </w:p>
          <w:p w:rsidR="00000000" w:rsidRPr="00B8464B" w:rsidP="00B8464B">
            <w:pPr>
              <w:pStyle w:val="ListBullet"/>
            </w:pPr>
            <w:r w:rsidRPr="00B8464B">
              <w:t>Assess resources to establish and maintain occupational health and safety management systems.</w:t>
            </w:r>
          </w:p>
          <w:p w:rsidR="00000000" w:rsidRPr="00B8464B" w:rsidP="00B8464B">
            <w:pPr>
              <w:pStyle w:val="BodyText"/>
            </w:pPr>
            <w:r w:rsidRPr="00B8464B">
              <w:t>T2</w:t>
            </w:r>
            <w:r w:rsidRPr="00B8464B">
              <w:tab/>
              <w:t>Generation systems encompassing:</w:t>
            </w:r>
          </w:p>
          <w:p w:rsidR="00000000" w:rsidRPr="00B8464B" w:rsidP="00B8464B">
            <w:pPr>
              <w:pStyle w:val="ListBullet"/>
            </w:pPr>
            <w:r w:rsidRPr="00B8464B">
              <w:t>Methods of generating electricity - types of power stations and reasons for their locatio</w:t>
            </w:r>
            <w:r w:rsidRPr="00B8464B">
              <w:t>n, layout of thermal and hydroelectric power stations</w:t>
            </w:r>
          </w:p>
          <w:p w:rsidR="00000000" w:rsidRPr="00B8464B" w:rsidP="00B8464B">
            <w:pPr>
              <w:pStyle w:val="ListBullet"/>
            </w:pPr>
            <w:r w:rsidRPr="00B8464B">
              <w:t>Relationship between power control and load requirements - operating speeds for thermal and hydroelectric generating sets, typical generator voltage levels and output ratings</w:t>
            </w:r>
          </w:p>
          <w:p w:rsidR="00000000" w:rsidRPr="00B8464B" w:rsidP="00B8464B">
            <w:pPr>
              <w:pStyle w:val="ListBullet"/>
            </w:pPr>
            <w:r w:rsidRPr="00B8464B">
              <w:t>The purpose and features of</w:t>
            </w:r>
            <w:r w:rsidRPr="00B8464B">
              <w:t xml:space="preserve"> typical types of co-generation systems.</w:t>
            </w:r>
          </w:p>
          <w:p w:rsidR="00000000" w:rsidRPr="00B8464B" w:rsidP="00B8464B">
            <w:pPr>
              <w:pStyle w:val="BodyText"/>
            </w:pPr>
            <w:r w:rsidRPr="00B8464B">
              <w:t>T3</w:t>
            </w:r>
            <w:r w:rsidRPr="00B8464B">
              <w:tab/>
              <w:t>Transmission, distribution and rail systems encompassing:</w:t>
            </w:r>
          </w:p>
          <w:p w:rsidR="00000000" w:rsidRPr="00B8464B" w:rsidP="00B8464B">
            <w:pPr>
              <w:pStyle w:val="ListBullet"/>
            </w:pPr>
            <w:r w:rsidRPr="00B8464B">
              <w:t>Relationship between the transmission, distribution and rail/tram system within an overall power system - different organisations responsible for generat</w:t>
            </w:r>
            <w:r w:rsidRPr="00B8464B">
              <w:t>ion, transmission, distribution and rail/tram and, how they correlate and their functions</w:t>
            </w:r>
          </w:p>
          <w:p w:rsidR="00000000" w:rsidRPr="00B8464B" w:rsidP="00B8464B">
            <w:pPr>
              <w:pStyle w:val="ListBullet"/>
            </w:pPr>
            <w:r w:rsidRPr="00B8464B">
              <w:t>Characteristics of a transmission, a distribution and a rail system - principal components, typical voltage levels and methods of transmission and distribution includ</w:t>
            </w:r>
            <w:r w:rsidRPr="00B8464B">
              <w:t>ing grid type transmission systems, radial, parallel and ring main feeders</w:t>
            </w:r>
          </w:p>
          <w:p w:rsidR="00000000" w:rsidRPr="00B8464B" w:rsidP="00B8464B">
            <w:pPr>
              <w:pStyle w:val="ListBullet"/>
            </w:pPr>
            <w:r w:rsidRPr="00B8464B">
              <w:t>Relationship between an overhead and underground supply systems within an overall power system - advantages/disadvantages, applications and the basic steps for planning and installi</w:t>
            </w:r>
            <w:r w:rsidRPr="00B8464B">
              <w:t>ng an overhead and underground distribution system</w:t>
            </w:r>
          </w:p>
          <w:p w:rsidR="00000000" w:rsidRPr="00B8464B" w:rsidP="00B8464B">
            <w:pPr>
              <w:pStyle w:val="ListBullet"/>
            </w:pPr>
            <w:r w:rsidRPr="00B8464B">
              <w:t>Single line drawings and layouts - drawings and layouts of transmission and distribution systems including, radial, parallel and ring main feeders and the HV equipment associated with substations</w:t>
            </w:r>
          </w:p>
          <w:p w:rsidR="00000000" w:rsidRPr="00B8464B" w:rsidP="00B8464B">
            <w:pPr>
              <w:pStyle w:val="BodyText"/>
            </w:pPr>
            <w:r w:rsidRPr="00B8464B">
              <w:t>T4</w:t>
            </w:r>
            <w:r w:rsidRPr="00B8464B">
              <w:tab/>
              <w:t>Substa</w:t>
            </w:r>
            <w:r w:rsidRPr="00B8464B">
              <w:t>tions, power transformers and reactors encompassing:</w:t>
            </w:r>
          </w:p>
          <w:p w:rsidR="00000000" w:rsidRPr="00B8464B" w:rsidP="00B8464B">
            <w:pPr>
              <w:pStyle w:val="ListBullet"/>
            </w:pPr>
            <w:r w:rsidRPr="00B8464B">
              <w:t>Relationship between the substations within an overall power system - purpose, location in relation to load centres, layout of HV equipment within the substation and auxiliary equipment</w:t>
            </w:r>
          </w:p>
          <w:p w:rsidR="00000000" w:rsidRPr="00B8464B" w:rsidP="00B8464B">
            <w:pPr>
              <w:pStyle w:val="ListBullet"/>
            </w:pPr>
            <w:r w:rsidRPr="00B8464B">
              <w:t xml:space="preserve">Characteristics </w:t>
            </w:r>
            <w:r w:rsidRPr="00B8464B">
              <w:t>of a power transformer - basic construction of distribution transformers, operation under load/no load conditions, types and basic operation of tap changing switches including solid state types, efficiency and cooling</w:t>
            </w:r>
          </w:p>
          <w:p w:rsidR="00000000" w:rsidRPr="00B8464B" w:rsidP="00B8464B">
            <w:pPr>
              <w:pStyle w:val="ListBullet"/>
            </w:pPr>
            <w:r w:rsidRPr="00B8464B">
              <w:t>Auxiliary equipment used on transforme</w:t>
            </w:r>
            <w:r w:rsidRPr="00B8464B">
              <w:t>rs - function and basic operation of equipment</w:t>
            </w:r>
          </w:p>
          <w:p w:rsidR="00000000" w:rsidRPr="00B8464B" w:rsidP="00B8464B">
            <w:pPr>
              <w:pStyle w:val="ListBullet"/>
            </w:pPr>
            <w:r w:rsidRPr="00B8464B">
              <w:t>Maintenance of a power transformer - basic connections, restrictions to parallel operation, problems and remedies associated with harmonics, testing and fault finding procedures</w:t>
            </w:r>
          </w:p>
          <w:p w:rsidR="00000000" w:rsidRPr="00B8464B" w:rsidP="00B8464B">
            <w:pPr>
              <w:pStyle w:val="ListBullet"/>
            </w:pPr>
            <w:r w:rsidRPr="00B8464B">
              <w:t>Description, purpose and characteristics of a reactors</w:t>
            </w:r>
          </w:p>
          <w:p w:rsidR="00000000" w:rsidRPr="00B8464B" w:rsidP="00B8464B">
            <w:pPr>
              <w:pStyle w:val="BodyText"/>
            </w:pPr>
            <w:r w:rsidRPr="00B8464B">
              <w:t>T5</w:t>
            </w:r>
            <w:r w:rsidRPr="00B8464B">
              <w:tab/>
              <w:t>Co-ordinating access authority procedures encompassing:</w:t>
            </w:r>
          </w:p>
          <w:p w:rsidR="00000000" w:rsidRPr="00B8464B" w:rsidP="00B8464B">
            <w:pPr>
              <w:pStyle w:val="ListBullet"/>
            </w:pPr>
            <w:r w:rsidRPr="00B8464B">
              <w:t>Specific enterprise processes, policies and procedures to be followed</w:t>
            </w:r>
          </w:p>
          <w:p w:rsidR="00000000" w:rsidRPr="00B8464B" w:rsidP="00B8464B">
            <w:pPr>
              <w:pStyle w:val="ListBullet"/>
            </w:pPr>
            <w:r w:rsidRPr="00B8464B">
              <w:t>Processes of consultation, negotiation and co-ordination - clear and co</w:t>
            </w:r>
            <w:r w:rsidRPr="00B8464B">
              <w:t>ncise instructions and information, methods for the encouragement of feedback and contributions of information and ideas, responsibilities of members of the team.</w:t>
            </w:r>
          </w:p>
          <w:p w:rsidR="00000000" w:rsidRPr="00B8464B" w:rsidP="00B8464B">
            <w:pPr>
              <w:pStyle w:val="ListBullet"/>
            </w:pPr>
            <w:r w:rsidRPr="00B8464B">
              <w:t>Techniques in analysing, planning, co-ordination and organising work for a safe outcome and a</w:t>
            </w:r>
            <w:r w:rsidRPr="00B8464B">
              <w:t>ccording to statutory requirements and regulations</w:t>
            </w:r>
          </w:p>
          <w:p w:rsidR="00000000" w:rsidRPr="00B8464B" w:rsidP="00B8464B">
            <w:pPr>
              <w:pStyle w:val="ListBullet"/>
            </w:pPr>
            <w:r w:rsidRPr="00B8464B">
              <w:t>Techniques in the effective utilisation of available resources</w:t>
            </w:r>
          </w:p>
          <w:p w:rsidR="00000000" w:rsidRPr="00B8464B" w:rsidP="00B8464B">
            <w:pPr>
              <w:pStyle w:val="ListBullet"/>
            </w:pPr>
            <w:r w:rsidRPr="00B8464B">
              <w:t>Techniques in the development of an access authority/permit and/or access authority/permit issuing procedures</w:t>
            </w:r>
          </w:p>
          <w:p w:rsidR="00000000" w:rsidRPr="00B8464B" w:rsidP="00B8464B">
            <w:pPr>
              <w:pStyle w:val="ListBullet"/>
            </w:pPr>
            <w:r w:rsidRPr="00B8464B">
              <w:t>Techniques in facilitating and c</w:t>
            </w:r>
            <w:r w:rsidRPr="00B8464B">
              <w:t>o-ordinating the delivery and issuing of access authorities</w:t>
            </w:r>
          </w:p>
          <w:p w:rsidR="00000000" w:rsidRPr="00B8464B" w:rsidP="00B8464B">
            <w:pPr>
              <w:pStyle w:val="ListBullet"/>
            </w:pPr>
            <w:r w:rsidRPr="00B8464B">
              <w:t>Techniques in gathering, collating and confirming data on different worksites - electrical network diagrams for the specific work site, earth access authorities, safe working area, work to be carr</w:t>
            </w:r>
            <w:r w:rsidRPr="00B8464B">
              <w:t>ied out in confined space or in hazardous environment, specific outsourcing procedures, specific hazard identification, risk classification and management procedures, regulatory requirements such as Occupational Health and Safety and electrical safety</w:t>
            </w:r>
          </w:p>
          <w:p w:rsidR="00000000" w:rsidRPr="00B8464B" w:rsidP="00B8464B">
            <w:pPr>
              <w:pStyle w:val="ListBullet"/>
            </w:pPr>
            <w:r w:rsidRPr="00B8464B">
              <w:t>Tech</w:t>
            </w:r>
            <w:r w:rsidRPr="00B8464B">
              <w:t>niques in the receiving and co-ordinating the cancellation of access authorities in readiness for restoration</w:t>
            </w:r>
          </w:p>
          <w:p w:rsidR="00000000" w:rsidRPr="00B8464B" w:rsidP="00B8464B">
            <w:pPr>
              <w:pStyle w:val="ListBullet"/>
            </w:pPr>
            <w:r w:rsidRPr="00B8464B">
              <w:t>Methods of conducting audits on correct access authority procedures</w:t>
            </w:r>
          </w:p>
          <w:p w:rsidR="00000000" w:rsidRPr="00B8464B" w:rsidP="00B8464B">
            <w:pPr>
              <w:pStyle w:val="ListBullet"/>
            </w:pPr>
            <w:r w:rsidRPr="00B8464B">
              <w:t>Process of issuing of other access authorities for work permits - working in c</w:t>
            </w:r>
            <w:r w:rsidRPr="00B8464B">
              <w:t>onfined space, if required, co-ordination of access authorities, engaging and briefing contractors on electrical and other work</w:t>
            </w:r>
          </w:p>
          <w:p w:rsidR="00000000" w:rsidRPr="00B8464B" w:rsidP="00B8464B">
            <w:pPr>
              <w:pStyle w:val="ListBullet"/>
            </w:pPr>
            <w:r w:rsidRPr="00B8464B">
              <w:t>Issue and receipt of operating agreements.</w:t>
            </w:r>
          </w:p>
          <w:p w:rsidR="00000000" w:rsidRPr="00B8464B" w:rsidP="00B8464B">
            <w:pPr>
              <w:pStyle w:val="BodyText"/>
            </w:pPr>
            <w:r w:rsidRPr="00B8464B">
              <w:t>T6</w:t>
            </w:r>
            <w:r w:rsidRPr="00B8464B">
              <w:tab/>
              <w:t>Principles of Statutory and safety considerations encompassing:</w:t>
            </w:r>
          </w:p>
          <w:p w:rsidR="00000000" w:rsidRPr="00B8464B" w:rsidP="00B8464B">
            <w:pPr>
              <w:pStyle w:val="ListBullet"/>
            </w:pPr>
            <w:r w:rsidRPr="00B8464B">
              <w:t>Commonwealth/Stat</w:t>
            </w:r>
            <w:r w:rsidRPr="00B8464B">
              <w:t>e/Territory legislation, standards, codes, supply authority regulations and or enterprise requirements associated with working on High Voltage</w:t>
            </w:r>
          </w:p>
          <w:p w:rsidR="00000000" w:rsidRPr="00B8464B" w:rsidP="00B8464B">
            <w:pPr>
              <w:pStyle w:val="ListBullet"/>
            </w:pPr>
            <w:r w:rsidRPr="00B8464B">
              <w:t>Particular reference to State and Territory regulations regarding - working near energised conductors, electrical</w:t>
            </w:r>
            <w:r w:rsidRPr="00B8464B">
              <w:t xml:space="preserve"> access, heights, confined space, testing procedures, licensing rules.</w:t>
            </w:r>
          </w:p>
          <w:p w:rsidR="00000000" w:rsidRPr="00B8464B" w:rsidP="00B8464B">
            <w:pPr>
              <w:pStyle w:val="BodyText"/>
            </w:pPr>
            <w:r w:rsidRPr="00B8464B">
              <w:t>T7</w:t>
            </w:r>
            <w:r w:rsidRPr="00B8464B">
              <w:tab/>
              <w:t>HV system switching principles including switching authorisation procedures to an extent indicated by the following aspects:</w:t>
            </w:r>
          </w:p>
          <w:p w:rsidR="00000000" w:rsidRPr="00B8464B" w:rsidP="00B8464B">
            <w:pPr>
              <w:pStyle w:val="ListBullet"/>
            </w:pPr>
            <w:r w:rsidRPr="00B8464B">
              <w:t>Legislation, Standards, codes, legislation, supply autho</w:t>
            </w:r>
            <w:r w:rsidRPr="00B8464B">
              <w:t>rity regulations and or enterprise requirements applicable to system switching</w:t>
            </w:r>
          </w:p>
          <w:p w:rsidR="00000000" w:rsidRPr="00B8464B" w:rsidP="00B8464B">
            <w:pPr>
              <w:pStyle w:val="ListBullet"/>
            </w:pPr>
            <w:r w:rsidRPr="00B8464B">
              <w:t>Requirements for the use of manuals, system diagrams/plans and drawings</w:t>
            </w:r>
          </w:p>
          <w:p w:rsidR="00000000" w:rsidRPr="00B8464B" w:rsidP="00B8464B">
            <w:pPr>
              <w:pStyle w:val="ListBullet"/>
            </w:pPr>
            <w:r w:rsidRPr="00B8464B">
              <w:t>Types and characteristics of HV systems and equipment to be switched</w:t>
            </w:r>
          </w:p>
          <w:p w:rsidR="00000000" w:rsidRPr="00B8464B" w:rsidP="00B8464B">
            <w:pPr>
              <w:pStyle w:val="ListBullet"/>
            </w:pPr>
            <w:r w:rsidRPr="00B8464B">
              <w:t>Procedures for obtaining correct HV switching authorisation - identification of OHS hazards, assessing and controlling risks, Safety procedures and precautions, safe approach distances</w:t>
            </w:r>
          </w:p>
          <w:p w:rsidR="00000000" w:rsidRPr="00B8464B" w:rsidP="00B8464B">
            <w:pPr>
              <w:pStyle w:val="ListBullet"/>
            </w:pPr>
            <w:r w:rsidRPr="00B8464B">
              <w:t>responsibilities and protocols, identifying switching resources, proced</w:t>
            </w:r>
            <w:r w:rsidRPr="00B8464B">
              <w:t>ures for obtaining electrical access permits authorities, Requirements for team switching, procedures for coordination of operations.</w:t>
            </w:r>
          </w:p>
          <w:p w:rsidR="00000000" w:rsidRPr="00B8464B" w:rsidP="00B8464B">
            <w:pPr>
              <w:pStyle w:val="ListBullet"/>
            </w:pPr>
            <w:r w:rsidRPr="00B8464B">
              <w:t>Techniques in HV system switching - pre-switching checks, switching operational procedures, isolation procedures and provi</w:t>
            </w:r>
            <w:r w:rsidRPr="00B8464B">
              <w:t>ng dead de-energised, earthing procedures, switching operational procedures, emergency fault procedures, energisation procedures</w:t>
            </w:r>
          </w:p>
          <w:p w:rsidR="00000000" w:rsidRPr="00B8464B" w:rsidP="00B8464B">
            <w:pPr>
              <w:pStyle w:val="BodyText"/>
            </w:pPr>
            <w:r w:rsidRPr="00B8464B">
              <w:t>T8</w:t>
            </w:r>
            <w:r w:rsidRPr="00B8464B">
              <w:tab/>
              <w:t>LV system switching principles including switching authorisation procedures encompassing:</w:t>
            </w:r>
          </w:p>
          <w:p w:rsidR="00000000" w:rsidRPr="00B8464B" w:rsidP="00B8464B">
            <w:pPr>
              <w:pStyle w:val="ListBullet"/>
            </w:pPr>
            <w:r w:rsidRPr="00B8464B">
              <w:t>Legislation, Standards, codes, le</w:t>
            </w:r>
            <w:r w:rsidRPr="00B8464B">
              <w:t>gislation, supply authority regulations and or enterprise requirements applicable to system switching</w:t>
            </w:r>
          </w:p>
          <w:p w:rsidR="00000000" w:rsidRPr="00B8464B" w:rsidP="00B8464B">
            <w:pPr>
              <w:pStyle w:val="ListBullet"/>
            </w:pPr>
            <w:r w:rsidRPr="00B8464B">
              <w:t>Requirements for the use of manuals, system diagrams/plans and drawings</w:t>
            </w:r>
          </w:p>
          <w:p w:rsidR="00000000" w:rsidRPr="00B8464B" w:rsidP="00B8464B">
            <w:pPr>
              <w:pStyle w:val="ListBullet"/>
            </w:pPr>
            <w:r w:rsidRPr="00B8464B">
              <w:t>Types and characteristics of LV systems and equipment to be switched</w:t>
            </w:r>
          </w:p>
          <w:p w:rsidR="00000000" w:rsidRPr="00B8464B" w:rsidP="00B8464B">
            <w:pPr>
              <w:pStyle w:val="ListBullet"/>
            </w:pPr>
            <w:r w:rsidRPr="00B8464B">
              <w:t>Procedures fo</w:t>
            </w:r>
            <w:r w:rsidRPr="00B8464B">
              <w:t>r obtaining correct LV switching authorization - identification of OHS hazards, assessing and controlling risks, safety procedures and precautions, safe approach distances, responsibilities and protocols, identifying switching resources, procedures for obt</w:t>
            </w:r>
            <w:r w:rsidRPr="00B8464B">
              <w:t>aining electrical access permits authorities, requirements for team switching, procedures for coordination of operations.</w:t>
            </w:r>
          </w:p>
          <w:p w:rsidR="00000000" w:rsidRPr="00B8464B" w:rsidP="00B8464B">
            <w:pPr>
              <w:pStyle w:val="ListBullet"/>
            </w:pPr>
            <w:r w:rsidRPr="00B8464B">
              <w:t>Techniques in LV system switching - isolation procedures and proving dead, earthing procedures, pre-switching checks, switching operat</w:t>
            </w:r>
            <w:r w:rsidRPr="00B8464B">
              <w:t>ional procedures, emergency fault procedures, energisation procedures.</w:t>
            </w:r>
          </w:p>
          <w:p w:rsidR="00000000" w:rsidRPr="00B8464B" w:rsidP="00B8464B">
            <w:pPr>
              <w:pStyle w:val="BodyText"/>
            </w:pPr>
            <w:r w:rsidRPr="00B8464B">
              <w:t>T9</w:t>
            </w:r>
            <w:r w:rsidRPr="00B8464B">
              <w:tab/>
              <w:t>Detailed operation of instrument transformers encompassing:</w:t>
            </w:r>
          </w:p>
          <w:p w:rsidR="00000000" w:rsidRPr="00B8464B" w:rsidP="00B8464B">
            <w:pPr>
              <w:pStyle w:val="ListBullet"/>
            </w:pPr>
            <w:r w:rsidRPr="00B8464B">
              <w:t>Voltage and current transformer principles and terminology</w:t>
            </w:r>
          </w:p>
          <w:p w:rsidR="00000000" w:rsidRPr="00B8464B" w:rsidP="00B8464B">
            <w:pPr>
              <w:pStyle w:val="ListBullet"/>
            </w:pPr>
            <w:r w:rsidRPr="00B8464B">
              <w:t>Types and classes of current transformers</w:t>
            </w:r>
          </w:p>
          <w:p w:rsidR="00000000" w:rsidRPr="00B8464B" w:rsidP="00B8464B">
            <w:pPr>
              <w:pStyle w:val="ListBullet"/>
            </w:pPr>
            <w:r w:rsidRPr="00B8464B">
              <w:t>Constructions of cur</w:t>
            </w:r>
            <w:r w:rsidRPr="00B8464B">
              <w:t>rent transformers</w:t>
            </w:r>
          </w:p>
          <w:p w:rsidR="00000000" w:rsidRPr="00B8464B" w:rsidP="00B8464B">
            <w:pPr>
              <w:pStyle w:val="ListBullet"/>
            </w:pPr>
            <w:r w:rsidRPr="00B8464B">
              <w:t>Characteristics of current transformers</w:t>
            </w:r>
          </w:p>
          <w:p w:rsidR="00000000" w:rsidRPr="00B8464B" w:rsidP="00B8464B">
            <w:pPr>
              <w:pStyle w:val="ListBullet"/>
            </w:pPr>
            <w:r w:rsidRPr="00B8464B">
              <w:t>Testing of current transformers</w:t>
            </w:r>
          </w:p>
          <w:p w:rsidR="00000000" w:rsidRPr="00B8464B" w:rsidP="00B8464B">
            <w:pPr>
              <w:pStyle w:val="ListBullet"/>
            </w:pPr>
            <w:r w:rsidRPr="00B8464B">
              <w:t>Types and categories of voltage transformers</w:t>
            </w:r>
          </w:p>
          <w:p w:rsidR="00000000" w:rsidRPr="00B8464B" w:rsidP="00B8464B">
            <w:pPr>
              <w:pStyle w:val="ListBullet"/>
            </w:pPr>
            <w:r w:rsidRPr="00B8464B">
              <w:t>Constructions of voltage transformers</w:t>
            </w:r>
          </w:p>
          <w:p w:rsidR="00000000" w:rsidRPr="00B8464B" w:rsidP="00B8464B">
            <w:pPr>
              <w:pStyle w:val="ListBullet"/>
            </w:pPr>
            <w:r w:rsidRPr="00B8464B">
              <w:t>Characteristics of voltage transformers</w:t>
            </w:r>
          </w:p>
          <w:p w:rsidR="00000000" w:rsidRPr="00B8464B" w:rsidP="00B8464B">
            <w:pPr>
              <w:pStyle w:val="ListBullet"/>
            </w:pPr>
            <w:r w:rsidRPr="00B8464B">
              <w:t>Testing of voltage transformers</w:t>
            </w:r>
          </w:p>
          <w:p w:rsidR="00000000" w:rsidRPr="00B8464B" w:rsidP="00B8464B">
            <w:pPr>
              <w:pStyle w:val="BodyText"/>
            </w:pPr>
            <w:r w:rsidRPr="00B8464B">
              <w:t>T10</w:t>
            </w:r>
            <w:r w:rsidRPr="00B8464B">
              <w:tab/>
              <w:t>Protect</w:t>
            </w:r>
            <w:r w:rsidRPr="00B8464B">
              <w:t>ion schemes encompassing:</w:t>
            </w:r>
          </w:p>
          <w:p w:rsidR="00000000" w:rsidRPr="00B8464B" w:rsidP="00B8464B">
            <w:pPr>
              <w:pStyle w:val="ListBullet"/>
            </w:pPr>
            <w:r w:rsidRPr="00B8464B">
              <w:t>Standards, codes, legislation, supply authority regulations and or enterprise requirements applicable to protection schemes</w:t>
            </w:r>
          </w:p>
          <w:p w:rsidR="00000000" w:rsidRPr="00B8464B" w:rsidP="00B8464B">
            <w:pPr>
              <w:pStyle w:val="ListBullet"/>
            </w:pPr>
            <w:r w:rsidRPr="00B8464B">
              <w:t>Types of protection schemes - reasons for use, application of protection zones around system elements, degree of protection</w:t>
            </w:r>
          </w:p>
          <w:p w:rsidR="00000000" w:rsidRPr="00B8464B" w:rsidP="00B8464B">
            <w:pPr>
              <w:pStyle w:val="ListBullet"/>
            </w:pPr>
            <w:r w:rsidRPr="00B8464B">
              <w:t>Types of feeder protection equipment - over current protection inverse time-current operating characteristics</w:t>
            </w:r>
          </w:p>
          <w:p w:rsidR="00000000" w:rsidRPr="00B8464B" w:rsidP="00B8464B">
            <w:pPr>
              <w:pStyle w:val="ListBullet"/>
            </w:pPr>
            <w:r w:rsidRPr="00B8464B">
              <w:t>Operation of over curr</w:t>
            </w:r>
            <w:r w:rsidRPr="00B8464B">
              <w:t>ent protection equipment used on distribution systems</w:t>
            </w:r>
          </w:p>
          <w:p w:rsidR="00000000" w:rsidRPr="00B8464B" w:rsidP="00B8464B">
            <w:pPr>
              <w:pStyle w:val="ListBullet"/>
            </w:pPr>
            <w:r w:rsidRPr="00B8464B">
              <w:t>Operation of ACRs and their time-current characteristics</w:t>
            </w:r>
          </w:p>
          <w:p w:rsidR="00000000" w:rsidRPr="00B8464B" w:rsidP="00B8464B">
            <w:pPr>
              <w:pStyle w:val="ListBullet"/>
            </w:pPr>
            <w:r w:rsidRPr="00B8464B">
              <w:t>Types and characteristics of over-current relays</w:t>
            </w:r>
          </w:p>
          <w:p w:rsidR="00000000" w:rsidRPr="00B8464B" w:rsidP="00B8464B">
            <w:pPr>
              <w:pStyle w:val="ListBullet"/>
            </w:pPr>
            <w:r w:rsidRPr="00B8464B">
              <w:t>Coordination methods of a distribution feeder protection scheme</w:t>
            </w:r>
          </w:p>
          <w:p w:rsidR="00000000" w:rsidRPr="00B8464B" w:rsidP="00B8464B">
            <w:pPr>
              <w:pStyle w:val="ListBullet"/>
            </w:pPr>
            <w:r w:rsidRPr="00B8464B">
              <w:t>Earth fault protection used on a</w:t>
            </w:r>
            <w:r w:rsidRPr="00B8464B">
              <w:t xml:space="preserve"> distribution feeder</w:t>
            </w:r>
          </w:p>
          <w:p w:rsidR="00000000" w:rsidRPr="00B8464B" w:rsidP="00B8464B">
            <w:pPr>
              <w:pStyle w:val="ListBullet"/>
            </w:pPr>
            <w:r w:rsidRPr="00B8464B">
              <w:t>Operation of a single wire earth return (S.W.E.R) system</w:t>
            </w:r>
          </w:p>
          <w:p w:rsidR="00000000" w:rsidRPr="00B8464B" w:rsidP="00B8464B">
            <w:pPr>
              <w:pStyle w:val="BodyText"/>
            </w:pPr>
            <w:r w:rsidRPr="00B8464B">
              <w:t>T11</w:t>
            </w:r>
            <w:r w:rsidRPr="00B8464B">
              <w:tab/>
              <w:t>EHV generator control systems encompassing:</w:t>
            </w:r>
          </w:p>
          <w:p w:rsidR="00000000" w:rsidRPr="00B8464B" w:rsidP="00B8464B">
            <w:pPr>
              <w:pStyle w:val="ListBullet"/>
            </w:pPr>
            <w:r w:rsidRPr="00B8464B">
              <w:t>Legislation, Standards, codes, legislation, supply authority regulations and or enterprise requirements pertaining to the operati</w:t>
            </w:r>
            <w:r w:rsidRPr="00B8464B">
              <w:t>on of a portable generator</w:t>
            </w:r>
          </w:p>
          <w:p w:rsidR="00000000" w:rsidRPr="00B8464B" w:rsidP="00B8464B">
            <w:pPr>
              <w:pStyle w:val="ListBullet"/>
            </w:pPr>
            <w:r w:rsidRPr="00B8464B">
              <w:t>Safety precautions specific to the synchronisation of generator sets - safe working policies, practices and procedures, synchronising procedures</w:t>
            </w:r>
          </w:p>
          <w:p w:rsidR="00000000" w:rsidRPr="00B8464B" w:rsidP="00B8464B">
            <w:pPr>
              <w:pStyle w:val="ListBullet"/>
            </w:pPr>
            <w:r w:rsidRPr="00B8464B">
              <w:t>Techniques in the installation of generator sets control systems - the synchronising</w:t>
            </w:r>
            <w:r w:rsidRPr="00B8464B">
              <w:t xml:space="preserve"> of generator control systems onto and off the network without interruption to supply, estimation of EHV load, assessing the appropriateness of the generator</w:t>
            </w:r>
          </w:p>
          <w:p w:rsidR="00000000" w:rsidRPr="00B8464B" w:rsidP="00B8464B">
            <w:pPr>
              <w:pStyle w:val="ListBullet"/>
            </w:pPr>
            <w:r w:rsidRPr="00B8464B">
              <w:t>Operating a generator in parallel to a single EHV job - overhead systems, indoor systems, customer</w:t>
            </w:r>
            <w:r w:rsidRPr="00B8464B">
              <w:t xml:space="preserve"> installations, kiosk substations</w:t>
            </w:r>
          </w:p>
          <w:p w:rsidR="00000000" w:rsidRPr="00B8464B" w:rsidP="00B8464B">
            <w:pPr>
              <w:pStyle w:val="ListBullet"/>
            </w:pPr>
            <w:r w:rsidRPr="00B8464B">
              <w:t>EHV generator set and control system to EHV Distribution assets.</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10" w:name="O_464508"/>
      <w:bookmarkEnd w:id="10"/>
      <w:r w:rsidRPr="00B8464B">
        <w:t>Evidence Guide</w:t>
      </w:r>
    </w:p>
    <w:tbl>
      <w:tblPr>
        <w:tblW w:w="0" w:type="auto"/>
        <w:tblLayout w:type="fixed"/>
        <w:tblCellMar>
          <w:left w:w="62" w:type="dxa"/>
          <w:right w:w="62" w:type="dxa"/>
        </w:tblCellMar>
        <w:tblLook w:val="0000"/>
      </w:tblPr>
      <w:tblGrid>
        <w:gridCol w:w="8460"/>
      </w:tblGrid>
      <w:tr w:rsidTr="002F1A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EVIDENCE GUIDE</w:t>
            </w:r>
          </w:p>
        </w:tc>
      </w:tr>
      <w:tr w:rsidTr="002F1A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9)</w:t>
            </w:r>
            <w:r w:rsidRPr="00B8464B">
              <w:t xml:space="preserve"> This provides essential advice for assessment of the unit of competency and must be read in conjunction </w:t>
            </w:r>
            <w:r w:rsidRPr="00B8464B">
              <w:t>with the Performance Criteria and the Range Statement of the unit of competency and the Training Package Assessment Guidelines.</w:t>
            </w:r>
          </w:p>
          <w:p w:rsidR="00000000" w:rsidRPr="00B8464B" w:rsidP="00B8464B">
            <w:pPr>
              <w:pStyle w:val="BodyText"/>
            </w:pPr>
            <w:r w:rsidRPr="00B8464B">
              <w:t>The Evidence Guide forms an integral part of this Competency Standard Unit and shall be used in conjunction with all component p</w:t>
            </w:r>
            <w:r w:rsidRPr="00B8464B">
              <w:t>arts of this unit and, performed in accordance with the Assessment Guidelines of this Training Package.</w:t>
            </w:r>
          </w:p>
        </w:tc>
      </w:tr>
    </w:tbl>
    <w:p w:rsidR="00000000" w:rsidRPr="00B8464B" w:rsidP="00B8464B">
      <w:pPr>
        <w:pStyle w:val="BodyText"/>
      </w:pPr>
    </w:p>
    <w:tbl>
      <w:tblPr>
        <w:tblW w:w="0" w:type="auto"/>
        <w:tblLayout w:type="fixed"/>
        <w:tblCellMar>
          <w:left w:w="62" w:type="dxa"/>
          <w:right w:w="62" w:type="dxa"/>
        </w:tblCellMar>
        <w:tblLook w:val="0000"/>
      </w:tblPr>
      <w:tblGrid>
        <w:gridCol w:w="1890"/>
        <w:gridCol w:w="6570"/>
      </w:tblGrid>
      <w:tr w:rsidTr="002F1A93">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9.1)</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Longitudinal competency development approaches to assessment, such as Profiling, require data to be reliably gathered in a form that can be consistently interpreted over time. This approach is best utilised in Apprenticeship programs and reduces assessment</w:t>
            </w:r>
            <w:r w:rsidRPr="00B8464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8464B">
              <w:t>tency in a realistically simulated work environment. It is recognised that, in some circumstances, assessment in part or full can occur outside the workplace. However, it must be in accord with Industry and, Regulatory policy in this regard.</w:t>
            </w:r>
          </w:p>
          <w:p w:rsidR="00000000" w:rsidRPr="00B8464B" w:rsidP="00B8464B">
            <w:pPr>
              <w:pStyle w:val="BodyText"/>
            </w:pPr>
            <w:r w:rsidRPr="00B8464B">
              <w:t>Methods chosen</w:t>
            </w:r>
            <w:r w:rsidRPr="00B8464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8464B">
              <w:t>equired and the critical nature of the competencies being assessed.</w:t>
            </w:r>
          </w:p>
          <w:p w:rsidR="00000000" w:rsidRPr="00B8464B" w:rsidP="00B8464B">
            <w:pPr>
              <w:pStyle w:val="BodyText"/>
            </w:pPr>
            <w:r w:rsidRPr="00B8464B">
              <w:t>The critical safety nature of working with electricity, electrical equipment, gas or any other hazardous substance/material carries risk in deeming a person competent. Hence, sources of ev</w:t>
            </w:r>
            <w:r w:rsidRPr="00B8464B">
              <w:t>idence need to be ‘rich’ in nature so as to minimise error in judgment.</w:t>
            </w:r>
          </w:p>
          <w:p w:rsidR="00000000" w:rsidRPr="00B8464B" w:rsidP="00B8464B">
            <w:pPr>
              <w:pStyle w:val="BodyText"/>
            </w:pPr>
            <w:r w:rsidRPr="00B8464B">
              <w:t>Activities associated with normal every day work have a bearing on the decision as to how much and how detailed the data gathered will contribute to its ‘richness’. Some skills are mor</w:t>
            </w:r>
            <w:r w:rsidRPr="00B8464B">
              <w:t>e critical to safety and operational requirements while the same skills may be more or less frequently practiced. These points are raised for the assessors to consider when choosing an assessment method and developing assessment instruments. Sample assessm</w:t>
            </w:r>
            <w:r w:rsidRPr="00B8464B">
              <w:t>ent instruments are included for Assessors in the Assessment Guidelines of this Training Package.</w:t>
            </w:r>
          </w:p>
        </w:tc>
      </w:tr>
    </w:tbl>
    <w:p w:rsidR="00000000" w:rsidRPr="00B8464B" w:rsidP="00B8464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9.2)</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Before the critical aspects of evidence are considered all prerequisites shall be met.</w:t>
            </w:r>
          </w:p>
          <w:p w:rsidR="00000000" w:rsidRPr="00B8464B" w:rsidP="00B8464B">
            <w:pPr>
              <w:pStyle w:val="BodyText"/>
            </w:pPr>
            <w:r w:rsidRPr="00B8464B">
              <w:t>Evidence for competence in this unit shall be considered holistically. Each element and associated Performance Criteria shall be demonstrated on at least two occasions i</w:t>
            </w:r>
            <w:r w:rsidRPr="00B8464B">
              <w:t>n accordance with the “Assessment Guidelines – UET12”. Evidence shall also comprise:</w:t>
            </w:r>
          </w:p>
          <w:p w:rsidR="00000000" w:rsidRPr="00B8464B" w:rsidP="00B8464B">
            <w:pPr>
              <w:pStyle w:val="ListBullet"/>
            </w:pPr>
            <w:r w:rsidRPr="00B8464B">
              <w:t>A representative body of Performance Criteria demonstrated within the timeframes typically expected of the discipline, work function and industrial environment. In partic</w:t>
            </w:r>
            <w:r w:rsidRPr="00B8464B">
              <w:t>ular this shall incorporate evidence that shows a candidate is able to:</w:t>
            </w:r>
          </w:p>
          <w:p w:rsidR="00000000" w:rsidRPr="00B8464B" w:rsidP="00B8464B">
            <w:pPr>
              <w:pStyle w:val="ListBullet2"/>
            </w:pPr>
            <w:r w:rsidRPr="00B8464B">
              <w:t>Implement Occupational Health and Safety workplace procedures and practices including the use of risk control measures as specified in the Performance Criteria and range; and</w:t>
            </w:r>
          </w:p>
          <w:p w:rsidR="00000000" w:rsidRPr="00B8464B" w:rsidP="00B8464B">
            <w:pPr>
              <w:pStyle w:val="ListBullet2"/>
            </w:pPr>
            <w:r w:rsidRPr="00B8464B">
              <w:t>Apply su</w:t>
            </w:r>
            <w:r w:rsidRPr="00B8464B">
              <w:t>stainable energy principles and practices as specified in the Performance Criteria and range; and</w:t>
            </w:r>
          </w:p>
          <w:p w:rsidR="00000000" w:rsidRPr="00B8464B" w:rsidP="00B8464B">
            <w:pPr>
              <w:pStyle w:val="ListBullet2"/>
            </w:pPr>
            <w:r w:rsidRPr="00B8464B">
              <w:t>Demonstrate an understanding of the essential knowledge and associated skills as described in this unit to such an extent that the learner’</w:t>
            </w:r>
            <w:r w:rsidRPr="00B8464B">
              <w:t>s performance outcome is reported in accordance with the preferred approach; namely a percentile graded result, where required by the regulated environment; and</w:t>
            </w:r>
          </w:p>
          <w:p w:rsidR="00000000" w:rsidRPr="00B8464B" w:rsidP="00B8464B">
            <w:pPr>
              <w:pStyle w:val="ListBullet2"/>
            </w:pPr>
            <w:r w:rsidRPr="00B8464B">
              <w:t>Demonstrate an appropriate level of employability skills; and</w:t>
            </w:r>
          </w:p>
          <w:p w:rsidR="00000000" w:rsidRPr="00B8464B" w:rsidP="00B8464B">
            <w:pPr>
              <w:pStyle w:val="ListBullet"/>
            </w:pPr>
            <w:r w:rsidRPr="00B8464B">
              <w:t>Conduct work observing the relev</w:t>
            </w:r>
            <w:r w:rsidRPr="00B8464B">
              <w:t>ant Anti discrimination legislation, regulations, policies and workplace procedures; and</w:t>
            </w:r>
          </w:p>
          <w:p w:rsidR="00000000" w:rsidP="00B8464B">
            <w:pPr>
              <w:pStyle w:val="ListBullet2"/>
              <w:rPr>
                <w:lang w:val="en-NZ"/>
              </w:rPr>
            </w:pPr>
            <w:r w:rsidRPr="00B8464B">
              <w:t>Demonstrated performance across a representative range of contexts from the prescribed items below:</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8464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rPr>
                <w:rStyle w:val="SpecialBold"/>
              </w:rPr>
              <w:t>Range of tools/equipment/materials/procedures/workplaces/other variables</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846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64B" w:rsidP="00B8464B">
            <w:pPr>
              <w:pStyle w:val="BodyText"/>
            </w:pPr>
            <w:r w:rsidRPr="00B8464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64B" w:rsidP="00B8464B">
            <w:pPr>
              <w:pStyle w:val="BodyText"/>
            </w:pPr>
            <w:r w:rsidRPr="00B8464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rPr>
                <w:rStyle w:val="SpecialBold"/>
              </w:rPr>
              <w:t>Item List</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Perform five (5) accuracy checks on instrument transformers and incorporate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64B" w:rsidP="00B8464B">
            <w:pPr>
              <w:pStyle w:val="BodyText"/>
            </w:pPr>
            <w:r w:rsidRPr="00B8464B">
              <w:t>Isolation from other secondary circuits</w:t>
            </w:r>
          </w:p>
          <w:p w:rsidR="00000000" w:rsidRPr="00B8464B" w:rsidP="00B8464B">
            <w:pPr>
              <w:pStyle w:val="BodyText"/>
            </w:pPr>
            <w:r w:rsidRPr="00B8464B">
              <w:t>Inspection</w:t>
            </w:r>
          </w:p>
          <w:p w:rsidR="00000000" w:rsidP="00B8464B">
            <w:pPr>
              <w:pStyle w:val="BodyText"/>
              <w:rPr>
                <w:lang w:val="en-NZ"/>
              </w:rPr>
            </w:pPr>
            <w:r w:rsidRPr="00B8464B">
              <w:t>Measurement of excitation curves</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Measure phase and ratio errors on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64B" w:rsidP="00B8464B">
            <w:pPr>
              <w:pStyle w:val="BodyText"/>
            </w:pPr>
            <w:r w:rsidRPr="00B8464B">
              <w:t>Current trans</w:t>
            </w:r>
            <w:r w:rsidRPr="00B8464B">
              <w:t>formers</w:t>
            </w:r>
          </w:p>
          <w:p w:rsidR="00000000" w:rsidP="00B8464B">
            <w:pPr>
              <w:pStyle w:val="BodyText"/>
              <w:rPr>
                <w:lang w:val="en-NZ"/>
              </w:rPr>
            </w:pPr>
            <w:r w:rsidRPr="00B8464B">
              <w:t>Voltage transformers</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64B">
            <w:pPr>
              <w:pStyle w:val="BodyText"/>
              <w:rPr>
                <w:lang w:val="en-NZ"/>
              </w:rPr>
            </w:pPr>
            <w:r w:rsidRPr="00B8464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64B" w:rsidP="00B8464B">
            <w:pPr>
              <w:pStyle w:val="BodyText"/>
            </w:pPr>
            <w:r w:rsidRPr="00B8464B">
              <w:t>Dealing with an unplanned event by drawing on essential knowledge and associated skills to provide appropriate solutions incorporated in the holistic assessment with the above listed items.</w:t>
            </w:r>
          </w:p>
        </w:tc>
      </w:tr>
    </w:tbl>
    <w:p w:rsidR="00000000" w:rsidRPr="00B8464B" w:rsidP="00B8464B">
      <w:pPr>
        <w:pStyle w:val="BodyText"/>
      </w:pPr>
    </w:p>
    <w:tbl>
      <w:tblPr>
        <w:tblW w:w="0" w:type="auto"/>
        <w:tblLayout w:type="fixed"/>
        <w:tblCellMar>
          <w:left w:w="62" w:type="dxa"/>
          <w:right w:w="62" w:type="dxa"/>
        </w:tblCellMar>
        <w:tblLook w:val="0000"/>
      </w:tblPr>
      <w:tblGrid>
        <w:gridCol w:w="1890"/>
        <w:gridCol w:w="6570"/>
      </w:tblGrid>
      <w:tr w:rsidTr="002F1A9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9.3)</w:t>
            </w:r>
          </w:p>
        </w:tc>
      </w:tr>
      <w:tr w:rsidTr="002F1A9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This unit should be assessed as it relates to normal work practice using procedures, information and resources typical of a workplace. This should include:</w:t>
            </w:r>
          </w:p>
          <w:p w:rsidR="00000000" w:rsidRPr="00B8464B" w:rsidP="00B8464B">
            <w:pPr>
              <w:pStyle w:val="ListBullet"/>
            </w:pPr>
            <w:r w:rsidRPr="00B8464B">
              <w:t>OHS policy and work procedures and instruct</w:t>
            </w:r>
            <w:r w:rsidRPr="00B8464B">
              <w:t>ions.</w:t>
            </w:r>
          </w:p>
          <w:p w:rsidR="00000000" w:rsidRPr="00B8464B" w:rsidP="00B8464B">
            <w:pPr>
              <w:pStyle w:val="ListBullet"/>
            </w:pPr>
            <w:r w:rsidRPr="00B8464B">
              <w:t>Suitable work environment, facilities, equipment and materials to undertake actual performance of accuracy checks on instrument transformers.</w:t>
            </w:r>
          </w:p>
          <w:p w:rsidR="00000000" w:rsidRPr="00B8464B" w:rsidP="00B8464B">
            <w:pPr>
              <w:pStyle w:val="ListBullet"/>
            </w:pPr>
            <w:r w:rsidRPr="00B8464B">
              <w:t>Operational access to relevant plant, protection or metering equipment, scheme drawings, manufacture’</w:t>
            </w:r>
            <w:r w:rsidRPr="00B8464B">
              <w:t>s specifications/manuals and testing equipment.</w:t>
            </w:r>
          </w:p>
          <w:p w:rsidR="00000000" w:rsidRPr="00B8464B" w:rsidP="00B8464B">
            <w:pPr>
              <w:pStyle w:val="BodyText"/>
            </w:pPr>
            <w:r w:rsidRPr="00B8464B">
              <w:t>In addition to the resources listed above, in Context of and specific resources for assessment, evidence should show demonstrated competency working in realistic environment and a variety of conditions.</w:t>
            </w:r>
          </w:p>
        </w:tc>
      </w:tr>
    </w:tbl>
    <w:p w:rsidR="00000000" w:rsidRPr="00B8464B" w:rsidP="00B8464B">
      <w:pPr>
        <w:pStyle w:val="BodyText"/>
      </w:pPr>
    </w:p>
    <w:tbl>
      <w:tblPr>
        <w:tblW w:w="0" w:type="auto"/>
        <w:tblLayout w:type="fixed"/>
        <w:tblCellMar>
          <w:left w:w="62" w:type="dxa"/>
          <w:right w:w="62" w:type="dxa"/>
        </w:tblCellMar>
        <w:tblLook w:val="0000"/>
      </w:tblPr>
      <w:tblGrid>
        <w:gridCol w:w="1890"/>
        <w:gridCol w:w="6570"/>
      </w:tblGrid>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Met</w:t>
            </w:r>
            <w:r w:rsidRPr="00B8464B">
              <w:rPr>
                <w:rStyle w:val="SpecialBold"/>
              </w:rPr>
              <w:t>hod of assessment</w:t>
            </w:r>
          </w:p>
        </w:tc>
        <w:tc>
          <w:tcPr>
            <w:tcW w:w="657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9.4)</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This Competency Standard Unit shall be assessed by methods given in Volume 1, Part 3 “Assessment Guidelines”.</w:t>
            </w:r>
          </w:p>
          <w:p w:rsidR="00000000" w:rsidRPr="00B8464B" w:rsidP="00B8464B">
            <w:pPr>
              <w:pStyle w:val="BodyText"/>
            </w:pPr>
            <w:r w:rsidRPr="00B8464B">
              <w:t>Note:</w:t>
            </w:r>
          </w:p>
          <w:p w:rsidR="00000000" w:rsidRPr="00B8464B" w:rsidP="00B8464B">
            <w:pPr>
              <w:pStyle w:val="BodyText"/>
            </w:pPr>
            <w:r w:rsidRPr="00B8464B">
              <w:t>Competent performance with inherent safe working practices is expected in the Transmission, Distribution and Rail Traction Industry. This requires that the specified essential knowledge and associated skills are assessed in a structured environment which i</w:t>
            </w:r>
            <w:r w:rsidRPr="00B8464B">
              <w:t>s primarily intended for learning/assessment and incorporates all necessary equipment and facilities for learners to develop and demonstrate the essential knowledge and associated skills described in this unit.</w:t>
            </w:r>
          </w:p>
        </w:tc>
      </w:tr>
    </w:tbl>
    <w:p w:rsidR="00000000" w:rsidRPr="00B8464B" w:rsidP="00B8464B">
      <w:pPr>
        <w:pStyle w:val="BodyText"/>
      </w:pPr>
    </w:p>
    <w:tbl>
      <w:tblPr>
        <w:tblW w:w="0" w:type="auto"/>
        <w:tblLayout w:type="fixed"/>
        <w:tblCellMar>
          <w:left w:w="62" w:type="dxa"/>
          <w:right w:w="62" w:type="dxa"/>
        </w:tblCellMar>
        <w:tblLook w:val="0000"/>
      </w:tblPr>
      <w:tblGrid>
        <w:gridCol w:w="1890"/>
        <w:gridCol w:w="6570"/>
      </w:tblGrid>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Concurrent assessment and relationship with</w:t>
            </w:r>
            <w:r w:rsidRPr="00B8464B">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9.5)</w:t>
            </w:r>
          </w:p>
        </w:tc>
      </w:tr>
      <w:tr w:rsidTr="002F1A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There are no concurrent assessment recommendations for this unit.</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11" w:name="O_464512"/>
      <w:bookmarkEnd w:id="11"/>
      <w:r w:rsidRPr="00B8464B">
        <w:t>Range Statement</w:t>
      </w:r>
    </w:p>
    <w:tbl>
      <w:tblPr>
        <w:tblW w:w="0" w:type="auto"/>
        <w:tblLayout w:type="fixed"/>
        <w:tblCellMar>
          <w:left w:w="62" w:type="dxa"/>
          <w:right w:w="62" w:type="dxa"/>
        </w:tblCellMar>
        <w:tblLook w:val="0000"/>
      </w:tblPr>
      <w:tblGrid>
        <w:gridCol w:w="8460"/>
      </w:tblGrid>
      <w:tr w:rsidTr="002F1A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RANGE STATEMENT</w:t>
            </w:r>
          </w:p>
        </w:tc>
      </w:tr>
      <w:tr w:rsidTr="002F1A93">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10)</w:t>
            </w:r>
            <w:r w:rsidRPr="00B8464B">
              <w:t xml:space="preserve"> This relates to the unit of competency as a whole providing the range of contexts and conditions </w:t>
            </w:r>
            <w:r w:rsidRPr="00B8464B">
              <w:t>to which the Performance Criteria apply. It allows for different work environments and situations that will affect performance.</w:t>
            </w:r>
          </w:p>
          <w:p w:rsidR="00000000" w:rsidRPr="00B8464B" w:rsidP="00B8464B">
            <w:pPr>
              <w:pStyle w:val="BodyText"/>
            </w:pPr>
            <w:r w:rsidRPr="00B8464B">
              <w:t>This Competency Standard Unit shall be demonstrated in relation to the task of undertaking accuracy checks on instrument transfo</w:t>
            </w:r>
            <w:r w:rsidRPr="00B8464B">
              <w:t>rmers and includes proving their functionality and, shall be demonstrated using the following: current instrument transformers, voltage instrument transformers</w:t>
            </w:r>
          </w:p>
          <w:p w:rsidR="00000000" w:rsidRPr="00B8464B" w:rsidP="00B8464B">
            <w:pPr>
              <w:pStyle w:val="BodyText"/>
            </w:pPr>
            <w:r w:rsidRPr="00B8464B">
              <w:t xml:space="preserve">The following constants and variables included in the element/Performance Criteria in this unit </w:t>
            </w:r>
            <w:r w:rsidRPr="00B8464B">
              <w:t>are fully described in the Definitions Section 1 of this volume and form an integral part of the Range Statement of this unit:</w:t>
            </w:r>
          </w:p>
          <w:p w:rsidR="00000000" w:rsidRPr="00B8464B" w:rsidP="00B8464B">
            <w:pPr>
              <w:pStyle w:val="ListBullet3"/>
            </w:pPr>
            <w:r w:rsidRPr="00B8464B">
              <w:t>Appropriate and relevant persons (see Personnel)</w:t>
            </w:r>
          </w:p>
          <w:p w:rsidR="00000000" w:rsidRPr="00B8464B" w:rsidP="00B8464B">
            <w:pPr>
              <w:pStyle w:val="ListBullet3"/>
            </w:pPr>
            <w:r w:rsidRPr="00B8464B">
              <w:t>Appropriate authorities</w:t>
            </w:r>
          </w:p>
          <w:p w:rsidR="00000000" w:rsidRPr="00B8464B" w:rsidP="00B8464B">
            <w:pPr>
              <w:pStyle w:val="ListBullet3"/>
            </w:pPr>
            <w:r w:rsidRPr="00B8464B">
              <w:t>Appropriate work platform</w:t>
            </w:r>
          </w:p>
          <w:p w:rsidR="00000000" w:rsidRPr="00B8464B" w:rsidP="00B8464B">
            <w:pPr>
              <w:pStyle w:val="ListBullet3"/>
            </w:pPr>
            <w:r w:rsidRPr="00B8464B">
              <w:t>Assessing risk</w:t>
            </w:r>
          </w:p>
          <w:p w:rsidR="00000000" w:rsidRPr="00B8464B" w:rsidP="00B8464B">
            <w:pPr>
              <w:pStyle w:val="ListBullet3"/>
            </w:pPr>
            <w:r w:rsidRPr="00B8464B">
              <w:t>Assessment</w:t>
            </w:r>
          </w:p>
          <w:p w:rsidR="00000000" w:rsidRPr="00B8464B" w:rsidP="00B8464B">
            <w:pPr>
              <w:pStyle w:val="ListBullet3"/>
            </w:pPr>
            <w:r w:rsidRPr="00B8464B">
              <w:t>Aut</w:t>
            </w:r>
            <w:r w:rsidRPr="00B8464B">
              <w:t>horisation</w:t>
            </w:r>
          </w:p>
          <w:p w:rsidR="00000000" w:rsidRPr="00B8464B" w:rsidP="00B8464B">
            <w:pPr>
              <w:pStyle w:val="ListBullet3"/>
            </w:pPr>
            <w:r w:rsidRPr="00B8464B">
              <w:t>Confined space</w:t>
            </w:r>
          </w:p>
          <w:p w:rsidR="00000000" w:rsidRPr="00B8464B" w:rsidP="00B8464B">
            <w:pPr>
              <w:pStyle w:val="ListBullet3"/>
            </w:pPr>
            <w:r w:rsidRPr="00B8464B">
              <w:t>Diagnostic, testing and restoration</w:t>
            </w:r>
          </w:p>
          <w:p w:rsidR="00000000" w:rsidRPr="00B8464B" w:rsidP="00B8464B">
            <w:pPr>
              <w:pStyle w:val="ListBullet3"/>
            </w:pPr>
            <w:r w:rsidRPr="00B8464B">
              <w:t>Documenting detail work events, record keeping and or storage of information</w:t>
            </w:r>
          </w:p>
          <w:p w:rsidR="00000000" w:rsidRPr="00B8464B" w:rsidP="00B8464B">
            <w:pPr>
              <w:pStyle w:val="ListBullet3"/>
            </w:pPr>
            <w:r w:rsidRPr="00B8464B">
              <w:t>Drawings and specifications</w:t>
            </w:r>
          </w:p>
          <w:p w:rsidR="00000000" w:rsidRPr="00B8464B" w:rsidP="00B8464B">
            <w:pPr>
              <w:pStyle w:val="ListBullet3"/>
            </w:pPr>
            <w:r w:rsidRPr="00B8464B">
              <w:t>Emergency</w:t>
            </w:r>
          </w:p>
          <w:p w:rsidR="00000000" w:rsidRPr="00B8464B" w:rsidP="00B8464B">
            <w:pPr>
              <w:pStyle w:val="ListBullet3"/>
            </w:pPr>
            <w:r w:rsidRPr="00B8464B">
              <w:t>Environmental and sustainable energy procedures</w:t>
            </w:r>
          </w:p>
          <w:p w:rsidR="00000000" w:rsidRPr="00B8464B" w:rsidP="00B8464B">
            <w:pPr>
              <w:pStyle w:val="ListBullet3"/>
            </w:pPr>
            <w:r w:rsidRPr="00B8464B">
              <w:t>Environmental legislation</w:t>
            </w:r>
          </w:p>
          <w:p w:rsidR="00000000" w:rsidRPr="00B8464B" w:rsidP="00B8464B">
            <w:pPr>
              <w:pStyle w:val="ListBullet3"/>
            </w:pPr>
            <w:r w:rsidRPr="00B8464B">
              <w:t>Environmental management documentation</w:t>
            </w:r>
          </w:p>
          <w:p w:rsidR="00000000" w:rsidRPr="00B8464B" w:rsidP="00B8464B">
            <w:pPr>
              <w:pStyle w:val="ListBullet3"/>
            </w:pPr>
            <w:r w:rsidRPr="00B8464B">
              <w:t>Established procedures</w:t>
            </w:r>
          </w:p>
          <w:p w:rsidR="00000000" w:rsidRPr="00B8464B" w:rsidP="00B8464B">
            <w:pPr>
              <w:pStyle w:val="ListBullet3"/>
            </w:pPr>
            <w:r w:rsidRPr="00B8464B">
              <w:t>Fall prevention</w:t>
            </w:r>
          </w:p>
          <w:p w:rsidR="00000000" w:rsidRPr="00B8464B" w:rsidP="00B8464B">
            <w:pPr>
              <w:pStyle w:val="ListBullet3"/>
            </w:pPr>
            <w:r w:rsidRPr="00B8464B">
              <w:t>Hazards</w:t>
            </w:r>
          </w:p>
          <w:p w:rsidR="00000000" w:rsidRPr="00B8464B" w:rsidP="00B8464B">
            <w:pPr>
              <w:pStyle w:val="ListBullet3"/>
            </w:pPr>
            <w:r w:rsidRPr="00B8464B">
              <w:t>Identifying hazards</w:t>
            </w:r>
          </w:p>
          <w:p w:rsidR="00000000" w:rsidRPr="00B8464B" w:rsidP="00B8464B">
            <w:pPr>
              <w:pStyle w:val="ListBullet3"/>
            </w:pPr>
            <w:r w:rsidRPr="00B8464B">
              <w:t>Inspect</w:t>
            </w:r>
          </w:p>
          <w:p w:rsidR="00000000" w:rsidRPr="00B8464B" w:rsidP="00B8464B">
            <w:pPr>
              <w:pStyle w:val="ListBullet3"/>
            </w:pPr>
            <w:r w:rsidRPr="00B8464B">
              <w:t>Legislation</w:t>
            </w:r>
          </w:p>
          <w:p w:rsidR="00000000" w:rsidRPr="00B8464B" w:rsidP="00B8464B">
            <w:pPr>
              <w:pStyle w:val="ListBullet3"/>
            </w:pPr>
            <w:r w:rsidRPr="00B8464B">
              <w:t>MSDS</w:t>
            </w:r>
          </w:p>
          <w:p w:rsidR="00000000" w:rsidRPr="00B8464B" w:rsidP="00B8464B">
            <w:pPr>
              <w:pStyle w:val="ListBullet3"/>
            </w:pPr>
            <w:r w:rsidRPr="00B8464B">
              <w:t>Notification</w:t>
            </w:r>
          </w:p>
          <w:p w:rsidR="00000000" w:rsidRPr="00B8464B" w:rsidP="00B8464B">
            <w:pPr>
              <w:pStyle w:val="ListBullet3"/>
            </w:pPr>
            <w:r w:rsidRPr="00B8464B">
              <w:t>OHS practices</w:t>
            </w:r>
          </w:p>
          <w:p w:rsidR="00000000" w:rsidRPr="00B8464B" w:rsidP="00B8464B">
            <w:pPr>
              <w:pStyle w:val="ListBullet3"/>
            </w:pPr>
            <w:r w:rsidRPr="00B8464B">
              <w:t>OHS issues</w:t>
            </w:r>
          </w:p>
          <w:p w:rsidR="00000000" w:rsidRPr="00B8464B" w:rsidP="00B8464B">
            <w:pPr>
              <w:pStyle w:val="ListBullet3"/>
            </w:pPr>
            <w:r w:rsidRPr="00B8464B">
              <w:t>Permits and/or permits to work</w:t>
            </w:r>
          </w:p>
          <w:p w:rsidR="00000000" w:rsidRPr="00B8464B" w:rsidP="00B8464B">
            <w:pPr>
              <w:pStyle w:val="ListBullet3"/>
            </w:pPr>
            <w:r w:rsidRPr="00B8464B">
              <w:t>Personnel</w:t>
            </w:r>
          </w:p>
          <w:p w:rsidR="00000000" w:rsidRPr="00B8464B" w:rsidP="00B8464B">
            <w:pPr>
              <w:pStyle w:val="ListBullet3"/>
            </w:pPr>
            <w:r w:rsidRPr="00B8464B">
              <w:t>Quality assurance systems</w:t>
            </w:r>
          </w:p>
          <w:p w:rsidR="00000000" w:rsidRPr="00B8464B" w:rsidP="00B8464B">
            <w:pPr>
              <w:pStyle w:val="ListBullet3"/>
            </w:pPr>
            <w:r w:rsidRPr="00B8464B">
              <w:t>Requirements</w:t>
            </w:r>
          </w:p>
          <w:p w:rsidR="00000000" w:rsidRPr="00B8464B" w:rsidP="00B8464B">
            <w:pPr>
              <w:pStyle w:val="ListBullet3"/>
            </w:pPr>
            <w:r w:rsidRPr="00B8464B">
              <w:t>Testing</w:t>
            </w:r>
            <w:r w:rsidRPr="00B8464B">
              <w:t xml:space="preserve"> procedures</w:t>
            </w:r>
          </w:p>
          <w:p w:rsidR="00000000" w:rsidRPr="00B8464B" w:rsidP="00B8464B">
            <w:pPr>
              <w:pStyle w:val="ListBullet3"/>
            </w:pPr>
            <w:r w:rsidRPr="00B8464B">
              <w:t>Work clearance systems</w:t>
            </w:r>
          </w:p>
        </w:tc>
      </w:tr>
    </w:tbl>
    <w:p w:rsidR="00000000" w:rsidRPr="00B8464B" w:rsidP="00B8464B">
      <w:pPr>
        <w:pStyle w:val="BodyText"/>
      </w:pPr>
    </w:p>
    <w:p w:rsidR="00000000" w:rsidRPr="00B8464B" w:rsidP="00B8464B">
      <w:pPr>
        <w:pStyle w:val="AllowPageBreak"/>
      </w:pPr>
    </w:p>
    <w:p w:rsidR="00000000" w:rsidRPr="00B8464B" w:rsidP="00B8464B">
      <w:pPr>
        <w:pStyle w:val="Heading1"/>
      </w:pPr>
      <w:bookmarkStart w:id="12" w:name="O_464515"/>
      <w:bookmarkEnd w:id="12"/>
      <w:r w:rsidRPr="00B8464B">
        <w:t>Unit Sector(s)</w:t>
      </w:r>
    </w:p>
    <w:p w:rsidR="00000000" w:rsidRPr="00B8464B" w:rsidP="00B8464B">
      <w:pPr>
        <w:pStyle w:val="BodyText"/>
      </w:pPr>
      <w:r w:rsidRPr="00B8464B">
        <w:t>Not applicable.</w:t>
      </w:r>
    </w:p>
    <w:p w:rsidR="00000000" w:rsidRPr="00B8464B" w:rsidP="00B8464B">
      <w:pPr>
        <w:pStyle w:val="AllowPageBreak"/>
      </w:pPr>
    </w:p>
    <w:p w:rsidR="00000000" w:rsidRPr="00B8464B" w:rsidP="00B8464B">
      <w:pPr>
        <w:pStyle w:val="Heading1"/>
      </w:pPr>
      <w:bookmarkStart w:id="13" w:name="O_464504"/>
      <w:bookmarkEnd w:id="13"/>
      <w:r w:rsidRPr="00B8464B">
        <w:t>Competency Field</w:t>
      </w:r>
    </w:p>
    <w:tbl>
      <w:tblPr>
        <w:tblW w:w="0" w:type="auto"/>
        <w:tblLayout w:type="fixed"/>
        <w:tblCellMar>
          <w:left w:w="62" w:type="dxa"/>
          <w:right w:w="62" w:type="dxa"/>
        </w:tblCellMar>
        <w:tblLook w:val="0000"/>
      </w:tblPr>
      <w:tblGrid>
        <w:gridCol w:w="2700"/>
        <w:gridCol w:w="5760"/>
      </w:tblGrid>
      <w:tr w:rsidTr="002F1A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464B">
            <w:pPr>
              <w:pStyle w:val="BodyText"/>
              <w:rPr>
                <w:lang w:val="en-NZ"/>
              </w:rPr>
            </w:pPr>
            <w:r w:rsidRPr="00B8464B">
              <w:rPr>
                <w:rStyle w:val="SpecialBold"/>
              </w:rPr>
              <w:t xml:space="preserve">11) </w:t>
            </w:r>
          </w:p>
        </w:tc>
      </w:tr>
      <w:tr w:rsidTr="002F1A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464B" w:rsidP="00B8464B">
            <w:pPr>
              <w:pStyle w:val="BodyText"/>
            </w:pPr>
            <w:r w:rsidRPr="00B8464B">
              <w:t>Testing Units</w:t>
            </w:r>
          </w:p>
        </w:tc>
      </w:tr>
    </w:tbl>
    <w:p w:rsidR="00000000" w:rsidRPr="00B8464B" w:rsidP="00B8464B">
      <w:pPr>
        <w:pStyle w:val="BodyText"/>
      </w:pPr>
    </w:p>
    <w:p w:rsidR="00000000" w:rsidRPr="00B8464B" w:rsidP="00B8464B"/>
    <w:sectPr w:rsidSect="00B84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A93" w:rsidP="002F1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93" w:rsidP="00B84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F1A93" w:rsidP="00B84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1A93" w:rsidP="00B84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A93" w:rsidP="002F1A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93" w:rsidP="00B8464B">
    <w:pPr>
      <w:pStyle w:val="Header"/>
      <w:framePr w:wrap="around"/>
    </w:pPr>
    <w:r>
      <w:fldChar w:fldCharType="begin"/>
    </w:r>
    <w:r>
      <w:instrText xml:space="preserve"> TITLE   \* MERGEFORMAT </w:instrText>
    </w:r>
    <w:r>
      <w:fldChar w:fldCharType="separate"/>
    </w:r>
    <w:r>
      <w:t>UETTDRTS27A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1A93" w:rsidP="00B846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823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64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8B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6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464B"/>
    <w:pPr>
      <w:spacing w:before="360" w:after="60"/>
      <w:outlineLvl w:val="0"/>
    </w:pPr>
    <w:rPr>
      <w:sz w:val="32"/>
    </w:rPr>
  </w:style>
  <w:style w:type="paragraph" w:styleId="Heading2">
    <w:name w:val="heading 2"/>
    <w:basedOn w:val="HeadingBase"/>
    <w:next w:val="BodyText"/>
    <w:link w:val="Heading2Char"/>
    <w:qFormat/>
    <w:rsid w:val="00B8464B"/>
    <w:pPr>
      <w:keepLines/>
      <w:spacing w:before="240" w:after="120"/>
      <w:outlineLvl w:val="1"/>
    </w:pPr>
    <w:rPr>
      <w:sz w:val="28"/>
      <w:szCs w:val="40"/>
    </w:rPr>
  </w:style>
  <w:style w:type="paragraph" w:styleId="Heading3">
    <w:name w:val="heading 3"/>
    <w:basedOn w:val="HeadingBase"/>
    <w:next w:val="BodyText"/>
    <w:link w:val="Heading3Char"/>
    <w:qFormat/>
    <w:rsid w:val="00B8464B"/>
    <w:pPr>
      <w:spacing w:before="180" w:after="120"/>
      <w:outlineLvl w:val="2"/>
    </w:pPr>
    <w:rPr>
      <w:spacing w:val="-10"/>
      <w:kern w:val="32"/>
    </w:rPr>
  </w:style>
  <w:style w:type="paragraph" w:styleId="Heading4">
    <w:name w:val="heading 4"/>
    <w:basedOn w:val="HeadingBase"/>
    <w:next w:val="BodyText"/>
    <w:link w:val="Heading4Char"/>
    <w:qFormat/>
    <w:rsid w:val="00B8464B"/>
    <w:pPr>
      <w:spacing w:before="160" w:after="120"/>
      <w:outlineLvl w:val="3"/>
    </w:pPr>
    <w:rPr>
      <w:sz w:val="22"/>
    </w:rPr>
  </w:style>
  <w:style w:type="paragraph" w:styleId="Heading5">
    <w:name w:val="heading 5"/>
    <w:basedOn w:val="HeadingBase"/>
    <w:next w:val="Normal"/>
    <w:link w:val="Heading5Char"/>
    <w:qFormat/>
    <w:rsid w:val="00B8464B"/>
    <w:pPr>
      <w:spacing w:before="80"/>
      <w:outlineLvl w:val="4"/>
    </w:pPr>
    <w:rPr>
      <w:color w:val="918585"/>
      <w:sz w:val="20"/>
    </w:rPr>
  </w:style>
  <w:style w:type="paragraph" w:styleId="Heading6">
    <w:name w:val="heading 6"/>
    <w:basedOn w:val="HeadingBase"/>
    <w:next w:val="Normal"/>
    <w:link w:val="Heading6Char"/>
    <w:qFormat/>
    <w:rsid w:val="00B8464B"/>
    <w:pPr>
      <w:spacing w:before="60"/>
      <w:outlineLvl w:val="5"/>
    </w:pPr>
    <w:rPr>
      <w:color w:val="918585"/>
      <w:sz w:val="20"/>
    </w:rPr>
  </w:style>
  <w:style w:type="paragraph" w:styleId="Heading7">
    <w:name w:val="heading 7"/>
    <w:basedOn w:val="Normal"/>
    <w:next w:val="Normal"/>
    <w:link w:val="Heading7Char"/>
    <w:qFormat/>
    <w:rsid w:val="00B8464B"/>
    <w:pPr>
      <w:ind w:left="720"/>
      <w:outlineLvl w:val="6"/>
    </w:pPr>
    <w:rPr>
      <w:i/>
    </w:rPr>
  </w:style>
  <w:style w:type="paragraph" w:styleId="Heading8">
    <w:name w:val="heading 8"/>
    <w:basedOn w:val="Normal"/>
    <w:next w:val="Normal"/>
    <w:link w:val="Heading8Char"/>
    <w:qFormat/>
    <w:rsid w:val="00B8464B"/>
    <w:pPr>
      <w:ind w:left="720"/>
      <w:outlineLvl w:val="7"/>
    </w:pPr>
    <w:rPr>
      <w:i/>
    </w:rPr>
  </w:style>
  <w:style w:type="paragraph" w:styleId="Heading9">
    <w:name w:val="heading 9"/>
    <w:basedOn w:val="Normal"/>
    <w:next w:val="Normal"/>
    <w:link w:val="Heading9Char"/>
    <w:qFormat/>
    <w:rsid w:val="00B8464B"/>
    <w:pPr>
      <w:ind w:left="720"/>
      <w:outlineLvl w:val="8"/>
    </w:pPr>
    <w:rPr>
      <w:i/>
    </w:rPr>
  </w:style>
  <w:style w:type="character" w:default="1" w:styleId="DefaultParagraphFont">
    <w:name w:val="Default Paragraph Font"/>
    <w:uiPriority w:val="1"/>
    <w:unhideWhenUsed/>
    <w:rsid w:val="00B84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64B"/>
  </w:style>
  <w:style w:type="character" w:customStyle="1" w:styleId="Heading1Char">
    <w:name w:val="Heading 1 Char"/>
    <w:basedOn w:val="DefaultParagraphFont"/>
    <w:link w:val="Heading1"/>
    <w:rsid w:val="00B8464B"/>
    <w:rPr>
      <w:rFonts w:ascii="Times New Roman" w:eastAsia="Times New Roman" w:hAnsi="Times New Roman" w:cs="Times New Roman"/>
      <w:b/>
      <w:sz w:val="32"/>
      <w:szCs w:val="20"/>
      <w:lang w:eastAsia="en-US"/>
    </w:rPr>
  </w:style>
  <w:style w:type="paragraph" w:styleId="BodyText">
    <w:name w:val="Body Text"/>
    <w:basedOn w:val="Normal"/>
    <w:link w:val="BodyTextChar"/>
    <w:rsid w:val="00B84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64B"/>
    <w:rPr>
      <w:rFonts w:ascii="Times New Roman" w:eastAsia="Times New Roman" w:hAnsi="Times New Roman" w:cs="Times New Roman"/>
      <w:sz w:val="24"/>
      <w:lang w:val="en-US" w:eastAsia="en-US"/>
    </w:rPr>
  </w:style>
  <w:style w:type="paragraph" w:styleId="Footer">
    <w:name w:val="footer"/>
    <w:basedOn w:val="Normal"/>
    <w:link w:val="FooterChar"/>
    <w:rsid w:val="00B84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64B"/>
    <w:rPr>
      <w:rFonts w:ascii="Times New Roman" w:eastAsia="Times New Roman" w:hAnsi="Times New Roman" w:cs="Times New Roman"/>
      <w:sz w:val="16"/>
      <w:lang w:val="en-US" w:eastAsia="en-US"/>
    </w:rPr>
  </w:style>
  <w:style w:type="paragraph" w:styleId="ListBullet">
    <w:name w:val="List Bullet"/>
    <w:basedOn w:val="List"/>
    <w:rsid w:val="00B8464B"/>
    <w:pPr>
      <w:numPr>
        <w:numId w:val="14"/>
      </w:numPr>
      <w:tabs>
        <w:tab w:val="clear" w:pos="340"/>
      </w:tabs>
      <w:spacing w:before="40" w:after="40"/>
    </w:pPr>
  </w:style>
  <w:style w:type="character" w:customStyle="1" w:styleId="SpecialBold">
    <w:name w:val="Special Bold"/>
    <w:basedOn w:val="DefaultParagraphFont"/>
    <w:rsid w:val="00B8464B"/>
    <w:rPr>
      <w:b/>
      <w:spacing w:val="0"/>
    </w:rPr>
  </w:style>
  <w:style w:type="paragraph" w:styleId="ListBullet2">
    <w:name w:val="List Bullet 2"/>
    <w:basedOn w:val="List2"/>
    <w:rsid w:val="00B8464B"/>
    <w:pPr>
      <w:numPr>
        <w:numId w:val="15"/>
      </w:numPr>
      <w:tabs>
        <w:tab w:val="clear" w:pos="680"/>
      </w:tabs>
    </w:pPr>
  </w:style>
  <w:style w:type="paragraph" w:styleId="Header">
    <w:name w:val="header"/>
    <w:basedOn w:val="Normal"/>
    <w:link w:val="HeaderChar"/>
    <w:rsid w:val="00B84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6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464B"/>
    <w:pPr>
      <w:spacing w:before="240" w:after="120"/>
      <w:outlineLvl w:val="0"/>
    </w:pPr>
    <w:rPr>
      <w:rFonts w:ascii="Times New Roman" w:hAnsi="Times New Roman"/>
      <w:b/>
      <w:sz w:val="28"/>
    </w:rPr>
  </w:style>
  <w:style w:type="paragraph" w:customStyle="1" w:styleId="AllowPageBreak">
    <w:name w:val="AllowPageBreak"/>
    <w:rsid w:val="00B846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64B"/>
    <w:pPr>
      <w:numPr>
        <w:numId w:val="3"/>
      </w:numPr>
      <w:tabs>
        <w:tab w:val="clear" w:pos="1021"/>
      </w:tabs>
      <w:ind w:left="1037" w:hanging="357"/>
    </w:pPr>
  </w:style>
  <w:style w:type="character" w:customStyle="1" w:styleId="Heading2Char">
    <w:name w:val="Heading 2 Char"/>
    <w:basedOn w:val="DefaultParagraphFont"/>
    <w:link w:val="Heading2"/>
    <w:rsid w:val="00B84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6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46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464B"/>
    <w:rPr>
      <w:rFonts w:ascii="Courier New" w:eastAsia="Times New Roman" w:hAnsi="Courier New" w:cs="Times New Roman"/>
      <w:i/>
      <w:szCs w:val="20"/>
      <w:lang w:val="en-US" w:eastAsia="en-US"/>
    </w:rPr>
  </w:style>
  <w:style w:type="paragraph" w:customStyle="1" w:styleId="HeadingBase">
    <w:name w:val="Heading Base"/>
    <w:rsid w:val="00B84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64B"/>
    <w:pPr>
      <w:tabs>
        <w:tab w:val="right" w:leader="dot" w:pos="9072"/>
      </w:tabs>
      <w:ind w:left="567"/>
    </w:pPr>
    <w:rPr>
      <w:szCs w:val="22"/>
    </w:rPr>
  </w:style>
  <w:style w:type="paragraph" w:customStyle="1" w:styleId="TOCBase">
    <w:name w:val="TOC Base"/>
    <w:rsid w:val="00B84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64B"/>
    <w:pPr>
      <w:tabs>
        <w:tab w:val="right" w:leader="dot" w:pos="9072"/>
      </w:tabs>
      <w:spacing w:before="40" w:after="40"/>
      <w:ind w:left="284"/>
    </w:pPr>
    <w:rPr>
      <w:rFonts w:ascii="Times New Roman" w:hAnsi="Times New Roman"/>
    </w:rPr>
  </w:style>
  <w:style w:type="paragraph" w:styleId="TOC1">
    <w:name w:val="toc 1"/>
    <w:basedOn w:val="TOCBase"/>
    <w:next w:val="Normal"/>
    <w:rsid w:val="00B84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64B"/>
    <w:pPr>
      <w:spacing w:before="5040"/>
      <w:jc w:val="center"/>
    </w:pPr>
    <w:rPr>
      <w:sz w:val="48"/>
      <w:szCs w:val="72"/>
      <w:lang w:val="en-US"/>
    </w:rPr>
  </w:style>
  <w:style w:type="character" w:customStyle="1" w:styleId="TitleChar">
    <w:name w:val="Title Char"/>
    <w:basedOn w:val="DefaultParagraphFont"/>
    <w:link w:val="Title"/>
    <w:rsid w:val="00B84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64B"/>
    <w:pPr>
      <w:tabs>
        <w:tab w:val="left" w:pos="3600"/>
        <w:tab w:val="left" w:pos="3958"/>
      </w:tabs>
    </w:pPr>
  </w:style>
  <w:style w:type="paragraph" w:styleId="List">
    <w:name w:val="List"/>
    <w:basedOn w:val="BodyText"/>
    <w:next w:val="BodyText"/>
    <w:rsid w:val="00B8464B"/>
    <w:pPr>
      <w:tabs>
        <w:tab w:val="left" w:pos="340"/>
      </w:tabs>
      <w:spacing w:before="60" w:after="60"/>
      <w:ind w:left="340" w:hanging="340"/>
    </w:pPr>
  </w:style>
  <w:style w:type="paragraph" w:customStyle="1" w:styleId="Note">
    <w:name w:val="Note"/>
    <w:basedOn w:val="BodyText"/>
    <w:rsid w:val="00B84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64B"/>
    <w:pPr>
      <w:framePr w:wrap="auto" w:hAnchor="text" w:y="6049"/>
    </w:pPr>
    <w:rPr>
      <w:color w:val="000000"/>
      <w:sz w:val="40"/>
    </w:rPr>
  </w:style>
  <w:style w:type="paragraph" w:customStyle="1" w:styleId="TOCTitle">
    <w:name w:val="TOCTitle"/>
    <w:basedOn w:val="Heading1"/>
    <w:rsid w:val="00B8464B"/>
    <w:pPr>
      <w:spacing w:after="240"/>
      <w:jc w:val="center"/>
      <w:outlineLvl w:val="9"/>
    </w:pPr>
    <w:rPr>
      <w:caps/>
    </w:rPr>
  </w:style>
  <w:style w:type="paragraph" w:customStyle="1" w:styleId="Version">
    <w:name w:val="Version"/>
    <w:rsid w:val="00B84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64B"/>
    <w:pPr>
      <w:keepNext w:val="0"/>
      <w:tabs>
        <w:tab w:val="right" w:pos="4176"/>
      </w:tabs>
      <w:ind w:left="198" w:hanging="198"/>
    </w:pPr>
    <w:rPr>
      <w:rFonts w:ascii="Garamond" w:hAnsi="Garamond"/>
    </w:rPr>
  </w:style>
  <w:style w:type="paragraph" w:styleId="IndexHeading">
    <w:name w:val="index heading"/>
    <w:basedOn w:val="Normal"/>
    <w:next w:val="Index1"/>
    <w:semiHidden/>
    <w:rsid w:val="00B8464B"/>
    <w:pPr>
      <w:spacing w:before="120" w:after="120"/>
    </w:pPr>
    <w:rPr>
      <w:rFonts w:ascii="Arial" w:hAnsi="Arial"/>
      <w:b/>
      <w:color w:val="918585"/>
      <w:sz w:val="24"/>
    </w:rPr>
  </w:style>
  <w:style w:type="paragraph" w:customStyle="1" w:styleId="Chapter">
    <w:name w:val="Chapter"/>
    <w:basedOn w:val="Normal"/>
    <w:rsid w:val="00B8464B"/>
    <w:pPr>
      <w:spacing w:before="240"/>
    </w:pPr>
    <w:rPr>
      <w:rFonts w:ascii="Times New Roman" w:hAnsi="Times New Roman"/>
      <w:smallCaps/>
      <w:spacing w:val="80"/>
      <w:sz w:val="28"/>
    </w:rPr>
  </w:style>
  <w:style w:type="paragraph" w:customStyle="1" w:styleId="InChapter">
    <w:name w:val="InChapter"/>
    <w:basedOn w:val="Heading3"/>
    <w:rsid w:val="00B8464B"/>
    <w:pPr>
      <w:spacing w:after="240"/>
      <w:outlineLvl w:val="9"/>
    </w:pPr>
    <w:rPr>
      <w:noProof/>
    </w:rPr>
  </w:style>
  <w:style w:type="paragraph" w:styleId="Index2">
    <w:name w:val="index 2"/>
    <w:basedOn w:val="Normal"/>
    <w:next w:val="Normal"/>
    <w:semiHidden/>
    <w:rsid w:val="00B8464B"/>
    <w:pPr>
      <w:tabs>
        <w:tab w:val="right" w:pos="4176"/>
      </w:tabs>
      <w:ind w:left="568" w:hanging="284"/>
    </w:pPr>
    <w:rPr>
      <w:rFonts w:ascii="Garamond" w:hAnsi="Garamond"/>
    </w:rPr>
  </w:style>
  <w:style w:type="paragraph" w:customStyle="1" w:styleId="Byline">
    <w:name w:val="Byline"/>
    <w:rsid w:val="00B84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64B"/>
    <w:pPr>
      <w:tabs>
        <w:tab w:val="clear" w:pos="3600"/>
        <w:tab w:val="clear" w:pos="3958"/>
      </w:tabs>
      <w:jc w:val="right"/>
    </w:pPr>
  </w:style>
  <w:style w:type="character" w:styleId="Emphasis">
    <w:name w:val="Emphasis"/>
    <w:basedOn w:val="DefaultParagraphFont"/>
    <w:qFormat/>
    <w:rsid w:val="00B8464B"/>
    <w:rPr>
      <w:i/>
    </w:rPr>
  </w:style>
  <w:style w:type="paragraph" w:styleId="Caption">
    <w:name w:val="caption"/>
    <w:basedOn w:val="BodyText"/>
    <w:next w:val="Normal"/>
    <w:qFormat/>
    <w:rsid w:val="00B8464B"/>
    <w:pPr>
      <w:framePr w:w="2268" w:hSpace="181" w:vSpace="181" w:wrap="around" w:vAnchor="text" w:hAnchor="page" w:x="1135" w:y="285" w:anchorLock="1"/>
    </w:pPr>
    <w:rPr>
      <w:i/>
    </w:rPr>
  </w:style>
  <w:style w:type="paragraph" w:customStyle="1" w:styleId="MiniTOCTitle">
    <w:name w:val="MiniTOCTitle"/>
    <w:basedOn w:val="Heading4"/>
    <w:rsid w:val="00B8464B"/>
    <w:pPr>
      <w:spacing w:before="240"/>
      <w:outlineLvl w:val="9"/>
    </w:pPr>
    <w:rPr>
      <w:noProof/>
      <w:sz w:val="24"/>
    </w:rPr>
  </w:style>
  <w:style w:type="paragraph" w:customStyle="1" w:styleId="MiniTOCItem">
    <w:name w:val="MiniTOCItem"/>
    <w:basedOn w:val="ListBullet"/>
    <w:rsid w:val="00B8464B"/>
    <w:pPr>
      <w:numPr>
        <w:numId w:val="0"/>
      </w:numPr>
      <w:tabs>
        <w:tab w:val="right" w:leader="dot" w:pos="6521"/>
      </w:tabs>
      <w:spacing w:before="0" w:after="0"/>
    </w:pPr>
  </w:style>
  <w:style w:type="paragraph" w:customStyle="1" w:styleId="TOFTitle">
    <w:name w:val="TOFTitle"/>
    <w:basedOn w:val="TOCTitle"/>
    <w:rsid w:val="00B8464B"/>
  </w:style>
  <w:style w:type="paragraph" w:styleId="TableofFigures">
    <w:name w:val="table of figures"/>
    <w:basedOn w:val="Normal"/>
    <w:next w:val="Normal"/>
    <w:semiHidden/>
    <w:rsid w:val="00B8464B"/>
    <w:pPr>
      <w:tabs>
        <w:tab w:val="right" w:leader="dot" w:pos="9072"/>
      </w:tabs>
      <w:ind w:left="970" w:hanging="403"/>
    </w:pPr>
    <w:rPr>
      <w:rFonts w:ascii="Times New Roman" w:hAnsi="Times New Roman"/>
      <w:b/>
    </w:rPr>
  </w:style>
  <w:style w:type="paragraph" w:styleId="ListNumber">
    <w:name w:val="List Number"/>
    <w:basedOn w:val="List"/>
    <w:rsid w:val="00B8464B"/>
    <w:pPr>
      <w:numPr>
        <w:numId w:val="12"/>
      </w:numPr>
    </w:pPr>
  </w:style>
  <w:style w:type="character" w:customStyle="1" w:styleId="WingdingSymbols">
    <w:name w:val="Wingding Symbols"/>
    <w:rsid w:val="00B8464B"/>
    <w:rPr>
      <w:rFonts w:ascii="Wingdings" w:hAnsi="Wingdings"/>
    </w:rPr>
  </w:style>
  <w:style w:type="paragraph" w:customStyle="1" w:styleId="TableHeading">
    <w:name w:val="Table Heading"/>
    <w:basedOn w:val="HeadingBase"/>
    <w:rsid w:val="00B8464B"/>
    <w:pPr>
      <w:keepLines/>
      <w:pBdr>
        <w:bottom w:val="single" w:sz="6" w:space="1" w:color="918585"/>
      </w:pBdr>
      <w:spacing w:before="240"/>
    </w:pPr>
  </w:style>
  <w:style w:type="character" w:customStyle="1" w:styleId="HotSpot">
    <w:name w:val="HotSpot"/>
    <w:rsid w:val="00B8464B"/>
    <w:rPr>
      <w:color w:val="0033CC"/>
      <w:u w:val="none"/>
    </w:rPr>
  </w:style>
  <w:style w:type="paragraph" w:customStyle="1" w:styleId="BodyTextRight">
    <w:name w:val="Body Text Right"/>
    <w:basedOn w:val="BodyText"/>
    <w:rsid w:val="00B8464B"/>
    <w:pPr>
      <w:spacing w:before="0" w:after="0"/>
      <w:jc w:val="right"/>
    </w:pPr>
  </w:style>
  <w:style w:type="paragraph" w:styleId="Index3">
    <w:name w:val="index 3"/>
    <w:basedOn w:val="ListNumber2"/>
    <w:next w:val="Normal"/>
    <w:semiHidden/>
    <w:rsid w:val="00B8464B"/>
    <w:pPr>
      <w:numPr>
        <w:numId w:val="0"/>
      </w:numPr>
      <w:tabs>
        <w:tab w:val="right" w:leader="dot" w:pos="4176"/>
      </w:tabs>
    </w:pPr>
  </w:style>
  <w:style w:type="paragraph" w:styleId="ListNumber2">
    <w:name w:val="List Number 2"/>
    <w:basedOn w:val="List2"/>
    <w:rsid w:val="00B8464B"/>
    <w:pPr>
      <w:numPr>
        <w:numId w:val="11"/>
      </w:numPr>
      <w:tabs>
        <w:tab w:val="clear" w:pos="1060"/>
      </w:tabs>
    </w:pPr>
  </w:style>
  <w:style w:type="paragraph" w:customStyle="1" w:styleId="MarginNote">
    <w:name w:val="Margin Note"/>
    <w:basedOn w:val="BodyText"/>
    <w:rsid w:val="00B84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6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464B"/>
    <w:rPr>
      <w:sz w:val="32"/>
    </w:rPr>
  </w:style>
  <w:style w:type="paragraph" w:customStyle="1" w:styleId="HeadingProcedure">
    <w:name w:val="Heading Procedure"/>
    <w:basedOn w:val="HeadingBase"/>
    <w:next w:val="Normal"/>
    <w:rsid w:val="00B8464B"/>
    <w:pPr>
      <w:tabs>
        <w:tab w:val="left" w:pos="0"/>
      </w:tabs>
      <w:spacing w:before="120" w:after="60"/>
    </w:pPr>
    <w:rPr>
      <w:i/>
      <w:color w:val="918585"/>
      <w:sz w:val="22"/>
    </w:rPr>
  </w:style>
  <w:style w:type="paragraph" w:customStyle="1" w:styleId="TableBodyText">
    <w:name w:val="Table Body Text"/>
    <w:basedOn w:val="BodyText"/>
    <w:rsid w:val="00B8464B"/>
    <w:pPr>
      <w:spacing w:before="60" w:after="60"/>
    </w:pPr>
  </w:style>
  <w:style w:type="paragraph" w:styleId="ListContinue">
    <w:name w:val="List Continue"/>
    <w:basedOn w:val="List"/>
    <w:rsid w:val="00B8464B"/>
    <w:pPr>
      <w:ind w:firstLine="0"/>
    </w:pPr>
  </w:style>
  <w:style w:type="paragraph" w:customStyle="1" w:styleId="ListNote">
    <w:name w:val="List Note"/>
    <w:basedOn w:val="List"/>
    <w:rsid w:val="00B8464B"/>
    <w:pPr>
      <w:pBdr>
        <w:top w:val="single" w:sz="6" w:space="2" w:color="918585"/>
        <w:bottom w:val="single" w:sz="6" w:space="2" w:color="918585"/>
      </w:pBdr>
      <w:tabs>
        <w:tab w:val="left" w:pos="1021"/>
      </w:tabs>
      <w:ind w:firstLine="0"/>
    </w:pPr>
  </w:style>
  <w:style w:type="paragraph" w:customStyle="1" w:styleId="Warning">
    <w:name w:val="Warning"/>
    <w:basedOn w:val="BodyText"/>
    <w:rsid w:val="00B8464B"/>
    <w:pPr>
      <w:shd w:val="clear" w:color="auto" w:fill="D9D9D9"/>
      <w:tabs>
        <w:tab w:val="left" w:pos="992"/>
      </w:tabs>
      <w:ind w:left="119" w:right="119"/>
    </w:pPr>
    <w:rPr>
      <w:sz w:val="20"/>
    </w:rPr>
  </w:style>
  <w:style w:type="paragraph" w:customStyle="1" w:styleId="MarginIcons">
    <w:name w:val="Margin Icons"/>
    <w:basedOn w:val="BodyText"/>
    <w:rsid w:val="00B84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64B"/>
    <w:rPr>
      <w:rFonts w:ascii="Courier New" w:hAnsi="Courier New"/>
    </w:rPr>
  </w:style>
  <w:style w:type="paragraph" w:customStyle="1" w:styleId="NoteBullet">
    <w:name w:val="Note Bullet"/>
    <w:basedOn w:val="Note"/>
    <w:rsid w:val="00B8464B"/>
    <w:pPr>
      <w:tabs>
        <w:tab w:val="clear" w:pos="680"/>
      </w:tabs>
      <w:spacing w:before="60" w:after="60"/>
    </w:pPr>
  </w:style>
  <w:style w:type="paragraph" w:customStyle="1" w:styleId="SubHeading2">
    <w:name w:val="SubHeading2"/>
    <w:basedOn w:val="HeadingBase"/>
    <w:rsid w:val="00B8464B"/>
    <w:pPr>
      <w:spacing w:before="240" w:after="60"/>
    </w:pPr>
    <w:rPr>
      <w:sz w:val="20"/>
    </w:rPr>
  </w:style>
  <w:style w:type="paragraph" w:customStyle="1" w:styleId="SubHeading1">
    <w:name w:val="SubHeading1"/>
    <w:basedOn w:val="HeadingBase"/>
    <w:rsid w:val="00B8464B"/>
    <w:pPr>
      <w:spacing w:before="240" w:after="60"/>
    </w:pPr>
    <w:rPr>
      <w:color w:val="918585"/>
      <w:sz w:val="22"/>
    </w:rPr>
  </w:style>
  <w:style w:type="paragraph" w:customStyle="1" w:styleId="SideHeading">
    <w:name w:val="Side Heading"/>
    <w:basedOn w:val="HeadingBase"/>
    <w:rsid w:val="00B84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64B"/>
    <w:pPr>
      <w:numPr>
        <w:numId w:val="13"/>
      </w:numPr>
    </w:pPr>
  </w:style>
  <w:style w:type="paragraph" w:styleId="PlainText">
    <w:name w:val="Plain Text"/>
    <w:basedOn w:val="Normal"/>
    <w:link w:val="PlainTextChar"/>
    <w:rsid w:val="00B8464B"/>
    <w:rPr>
      <w:sz w:val="20"/>
    </w:rPr>
  </w:style>
  <w:style w:type="character" w:customStyle="1" w:styleId="PlainTextChar">
    <w:name w:val="Plain Text Char"/>
    <w:basedOn w:val="DefaultParagraphFont"/>
    <w:link w:val="PlainText"/>
    <w:rsid w:val="00B846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464B"/>
    <w:rPr>
      <w:b/>
      <w:smallCaps/>
    </w:rPr>
  </w:style>
  <w:style w:type="paragraph" w:customStyle="1" w:styleId="TableListNumber">
    <w:name w:val="Table List Number"/>
    <w:basedOn w:val="ListNumber"/>
    <w:rsid w:val="00B8464B"/>
    <w:pPr>
      <w:numPr>
        <w:numId w:val="0"/>
      </w:numPr>
    </w:pPr>
  </w:style>
  <w:style w:type="paragraph" w:styleId="TOC4">
    <w:name w:val="toc 4"/>
    <w:basedOn w:val="TOCBase"/>
    <w:next w:val="Normal"/>
    <w:semiHidden/>
    <w:rsid w:val="00B8464B"/>
    <w:pPr>
      <w:tabs>
        <w:tab w:val="right" w:leader="dot" w:pos="9071"/>
      </w:tabs>
      <w:ind w:left="1701"/>
    </w:pPr>
  </w:style>
  <w:style w:type="paragraph" w:customStyle="1" w:styleId="ListAlpha">
    <w:name w:val="List Alpha"/>
    <w:basedOn w:val="List"/>
    <w:rsid w:val="00B8464B"/>
    <w:pPr>
      <w:numPr>
        <w:numId w:val="10"/>
      </w:numPr>
    </w:pPr>
  </w:style>
  <w:style w:type="paragraph" w:customStyle="1" w:styleId="ListAlpha2">
    <w:name w:val="List Alpha 2"/>
    <w:basedOn w:val="List2"/>
    <w:rsid w:val="00B8464B"/>
    <w:pPr>
      <w:numPr>
        <w:numId w:val="9"/>
      </w:numPr>
    </w:pPr>
  </w:style>
  <w:style w:type="paragraph" w:styleId="List2">
    <w:name w:val="List 2"/>
    <w:basedOn w:val="BodyText"/>
    <w:rsid w:val="00B8464B"/>
    <w:pPr>
      <w:tabs>
        <w:tab w:val="left" w:pos="680"/>
      </w:tabs>
      <w:spacing w:before="60" w:after="60"/>
      <w:ind w:left="680" w:hanging="340"/>
    </w:pPr>
  </w:style>
  <w:style w:type="paragraph" w:styleId="List3">
    <w:name w:val="List 3"/>
    <w:basedOn w:val="BodyText"/>
    <w:rsid w:val="00B8464B"/>
    <w:pPr>
      <w:tabs>
        <w:tab w:val="left" w:pos="1021"/>
      </w:tabs>
      <w:spacing w:before="60" w:after="60"/>
      <w:ind w:left="1020" w:hanging="340"/>
    </w:pPr>
  </w:style>
  <w:style w:type="paragraph" w:styleId="List4">
    <w:name w:val="List 4"/>
    <w:basedOn w:val="BodyText"/>
    <w:rsid w:val="00B8464B"/>
    <w:pPr>
      <w:tabs>
        <w:tab w:val="left" w:pos="1361"/>
      </w:tabs>
      <w:spacing w:before="60" w:after="60"/>
      <w:ind w:left="1361" w:hanging="340"/>
    </w:pPr>
  </w:style>
  <w:style w:type="paragraph" w:styleId="List5">
    <w:name w:val="List 5"/>
    <w:basedOn w:val="BodyText"/>
    <w:rsid w:val="00B8464B"/>
    <w:pPr>
      <w:tabs>
        <w:tab w:val="left" w:pos="1701"/>
      </w:tabs>
      <w:spacing w:before="60" w:after="60"/>
      <w:ind w:left="1701" w:hanging="340"/>
    </w:pPr>
  </w:style>
  <w:style w:type="paragraph" w:styleId="ListBullet4">
    <w:name w:val="List Bullet 4"/>
    <w:basedOn w:val="List4"/>
    <w:rsid w:val="00B8464B"/>
    <w:pPr>
      <w:numPr>
        <w:numId w:val="4"/>
      </w:numPr>
    </w:pPr>
  </w:style>
  <w:style w:type="paragraph" w:styleId="ListBullet5">
    <w:name w:val="List Bullet 5"/>
    <w:basedOn w:val="List5"/>
    <w:rsid w:val="00B8464B"/>
    <w:pPr>
      <w:numPr>
        <w:numId w:val="5"/>
      </w:numPr>
    </w:pPr>
  </w:style>
  <w:style w:type="paragraph" w:styleId="ListContinue2">
    <w:name w:val="List Continue 2"/>
    <w:basedOn w:val="List2"/>
    <w:rsid w:val="00B8464B"/>
    <w:pPr>
      <w:ind w:firstLine="0"/>
    </w:pPr>
  </w:style>
  <w:style w:type="paragraph" w:styleId="ListContinue3">
    <w:name w:val="List Continue 3"/>
    <w:basedOn w:val="List3"/>
    <w:rsid w:val="00B8464B"/>
    <w:pPr>
      <w:ind w:left="1021" w:firstLine="0"/>
    </w:pPr>
  </w:style>
  <w:style w:type="paragraph" w:styleId="ListContinue4">
    <w:name w:val="List Continue 4"/>
    <w:basedOn w:val="List4"/>
    <w:rsid w:val="00B8464B"/>
    <w:pPr>
      <w:ind w:firstLine="0"/>
    </w:pPr>
  </w:style>
  <w:style w:type="paragraph" w:styleId="ListContinue5">
    <w:name w:val="List Continue 5"/>
    <w:basedOn w:val="List5"/>
    <w:rsid w:val="00B8464B"/>
    <w:pPr>
      <w:ind w:firstLine="0"/>
    </w:pPr>
  </w:style>
  <w:style w:type="paragraph" w:styleId="ListNumber3">
    <w:name w:val="List Number 3"/>
    <w:basedOn w:val="List3"/>
    <w:rsid w:val="00B8464B"/>
    <w:pPr>
      <w:numPr>
        <w:numId w:val="6"/>
      </w:numPr>
    </w:pPr>
  </w:style>
  <w:style w:type="paragraph" w:styleId="ListNumber4">
    <w:name w:val="List Number 4"/>
    <w:basedOn w:val="List4"/>
    <w:rsid w:val="00B8464B"/>
    <w:pPr>
      <w:numPr>
        <w:numId w:val="7"/>
      </w:numPr>
    </w:pPr>
  </w:style>
  <w:style w:type="paragraph" w:styleId="ListNumber5">
    <w:name w:val="List Number 5"/>
    <w:basedOn w:val="List5"/>
    <w:rsid w:val="00B8464B"/>
    <w:pPr>
      <w:numPr>
        <w:numId w:val="8"/>
      </w:numPr>
    </w:pPr>
  </w:style>
  <w:style w:type="paragraph" w:styleId="BlockText">
    <w:name w:val="Block Text"/>
    <w:basedOn w:val="Normal"/>
    <w:rsid w:val="00B8464B"/>
    <w:pPr>
      <w:spacing w:after="120"/>
      <w:ind w:left="1440" w:right="1440"/>
    </w:pPr>
  </w:style>
  <w:style w:type="character" w:customStyle="1" w:styleId="Subscript">
    <w:name w:val="Subscript"/>
    <w:basedOn w:val="DefaultParagraphFont"/>
    <w:rsid w:val="00B8464B"/>
    <w:rPr>
      <w:sz w:val="16"/>
      <w:vertAlign w:val="subscript"/>
    </w:rPr>
  </w:style>
  <w:style w:type="character" w:customStyle="1" w:styleId="Superscript">
    <w:name w:val="Superscript"/>
    <w:basedOn w:val="DefaultParagraphFont"/>
    <w:rsid w:val="00B8464B"/>
    <w:rPr>
      <w:sz w:val="16"/>
      <w:vertAlign w:val="superscript"/>
    </w:rPr>
  </w:style>
  <w:style w:type="character" w:customStyle="1" w:styleId="Symbols">
    <w:name w:val="Symbols"/>
    <w:basedOn w:val="DefaultParagraphFont"/>
    <w:rsid w:val="00B8464B"/>
    <w:rPr>
      <w:rFonts w:ascii="Symbol" w:hAnsi="Symbol"/>
    </w:rPr>
  </w:style>
  <w:style w:type="character" w:customStyle="1" w:styleId="MenuOptions">
    <w:name w:val="Menu Options"/>
    <w:basedOn w:val="DefaultParagraphFont"/>
    <w:rsid w:val="00B8464B"/>
    <w:rPr>
      <w:rFonts w:ascii="Arial Narrow" w:hAnsi="Arial Narrow"/>
      <w:smallCaps/>
    </w:rPr>
  </w:style>
  <w:style w:type="character" w:customStyle="1" w:styleId="Buttons">
    <w:name w:val="Buttons"/>
    <w:basedOn w:val="DefaultParagraphFont"/>
    <w:rsid w:val="00B8464B"/>
    <w:rPr>
      <w:b/>
    </w:rPr>
  </w:style>
  <w:style w:type="character" w:customStyle="1" w:styleId="Underlined">
    <w:name w:val="Underlined"/>
    <w:basedOn w:val="DefaultParagraphFont"/>
    <w:rsid w:val="00B8464B"/>
    <w:rPr>
      <w:u w:val="single"/>
    </w:rPr>
  </w:style>
  <w:style w:type="paragraph" w:customStyle="1" w:styleId="TableBodyTextRight">
    <w:name w:val="Table Body Text Right"/>
    <w:basedOn w:val="TableBodyText"/>
    <w:rsid w:val="00B8464B"/>
    <w:pPr>
      <w:widowControl w:val="0"/>
      <w:autoSpaceDE w:val="0"/>
      <w:autoSpaceDN w:val="0"/>
      <w:adjustRightInd w:val="0"/>
      <w:jc w:val="right"/>
    </w:pPr>
    <w:rPr>
      <w:rFonts w:cs="Arial"/>
      <w:szCs w:val="18"/>
    </w:rPr>
  </w:style>
  <w:style w:type="paragraph" w:customStyle="1" w:styleId="CopyrightText">
    <w:name w:val="Copyright Text"/>
    <w:basedOn w:val="BodyText"/>
    <w:rsid w:val="00B8464B"/>
    <w:rPr>
      <w:sz w:val="18"/>
    </w:rPr>
  </w:style>
  <w:style w:type="paragraph" w:customStyle="1" w:styleId="BodySmallRight">
    <w:name w:val="Body Small Right"/>
    <w:basedOn w:val="BodyTextRight"/>
    <w:rsid w:val="00B8464B"/>
    <w:rPr>
      <w:sz w:val="18"/>
      <w:szCs w:val="18"/>
    </w:rPr>
  </w:style>
  <w:style w:type="paragraph" w:customStyle="1" w:styleId="MarginEdition">
    <w:name w:val="Margin Edition"/>
    <w:basedOn w:val="MarginNote"/>
    <w:rsid w:val="00B8464B"/>
    <w:pPr>
      <w:spacing w:before="0" w:after="0"/>
    </w:pPr>
    <w:rPr>
      <w:rFonts w:ascii="Times New Roman" w:hAnsi="Times New Roman"/>
      <w:color w:val="999999"/>
    </w:rPr>
  </w:style>
  <w:style w:type="paragraph" w:customStyle="1" w:styleId="Spacer">
    <w:name w:val="Spacer"/>
    <w:basedOn w:val="Normal"/>
    <w:rsid w:val="00B8464B"/>
    <w:rPr>
      <w:sz w:val="2"/>
      <w:szCs w:val="2"/>
    </w:rPr>
  </w:style>
  <w:style w:type="character" w:customStyle="1" w:styleId="Small">
    <w:name w:val="Small"/>
    <w:basedOn w:val="DefaultParagraphFont"/>
    <w:rsid w:val="00B8464B"/>
    <w:rPr>
      <w:sz w:val="16"/>
    </w:rPr>
  </w:style>
  <w:style w:type="paragraph" w:customStyle="1" w:styleId="WideTable">
    <w:name w:val="Wide Table"/>
    <w:basedOn w:val="Normal"/>
    <w:rsid w:val="00B8464B"/>
    <w:pPr>
      <w:ind w:left="-1418"/>
    </w:pPr>
    <w:rPr>
      <w:sz w:val="2"/>
      <w:szCs w:val="2"/>
    </w:rPr>
  </w:style>
  <w:style w:type="character" w:styleId="PageNumber">
    <w:name w:val="page number"/>
    <w:basedOn w:val="DefaultParagraphFont"/>
    <w:rsid w:val="00B8464B"/>
  </w:style>
  <w:style w:type="paragraph" w:styleId="Quote">
    <w:name w:val="Quote"/>
    <w:basedOn w:val="Heading1"/>
    <w:link w:val="QuoteChar"/>
    <w:qFormat/>
    <w:rsid w:val="00B8464B"/>
    <w:rPr>
      <w:b w:val="0"/>
      <w:sz w:val="72"/>
      <w:szCs w:val="72"/>
      <w:lang w:val="en-NZ"/>
    </w:rPr>
  </w:style>
  <w:style w:type="character" w:customStyle="1" w:styleId="QuoteChar">
    <w:name w:val="Quote Char"/>
    <w:basedOn w:val="DefaultParagraphFont"/>
    <w:link w:val="Quote"/>
    <w:rsid w:val="00B84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64B"/>
    <w:pPr>
      <w:pageBreakBefore/>
    </w:pPr>
  </w:style>
  <w:style w:type="paragraph" w:customStyle="1" w:styleId="Border">
    <w:name w:val="Border"/>
    <w:basedOn w:val="Normal"/>
    <w:qFormat/>
    <w:rsid w:val="00B84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64B"/>
    <w:rPr>
      <w:b/>
      <w:bCs/>
      <w:i/>
      <w:iCs/>
      <w:color w:val="auto"/>
    </w:rPr>
  </w:style>
  <w:style w:type="paragraph" w:styleId="IntenseQuote">
    <w:name w:val="Intense Quote"/>
    <w:basedOn w:val="Normal"/>
    <w:next w:val="Normal"/>
    <w:link w:val="IntenseQuoteChar"/>
    <w:uiPriority w:val="30"/>
    <w:qFormat/>
    <w:rsid w:val="00B84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6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464B"/>
    <w:rPr>
      <w:smallCaps/>
      <w:color w:val="auto"/>
      <w:u w:val="single"/>
    </w:rPr>
  </w:style>
  <w:style w:type="character" w:styleId="IntenseReference">
    <w:name w:val="Intense Reference"/>
    <w:basedOn w:val="DefaultParagraphFont"/>
    <w:uiPriority w:val="32"/>
    <w:qFormat/>
    <w:rsid w:val="00B8464B"/>
    <w:rPr>
      <w:b/>
      <w:bCs/>
      <w:smallCaps/>
      <w:color w:val="auto"/>
      <w:spacing w:val="5"/>
      <w:u w:val="single"/>
    </w:rPr>
  </w:style>
  <w:style w:type="paragraph" w:customStyle="1" w:styleId="2ColumnHeading">
    <w:name w:val="2Column Heading"/>
    <w:basedOn w:val="BodyText"/>
    <w:qFormat/>
    <w:rsid w:val="00B8464B"/>
    <w:pPr>
      <w:spacing w:after="60"/>
      <w:ind w:left="-2268"/>
    </w:pPr>
    <w:rPr>
      <w:b/>
    </w:rPr>
  </w:style>
  <w:style w:type="paragraph" w:customStyle="1" w:styleId="Heading1TOC">
    <w:name w:val="Heading1 TOC"/>
    <w:basedOn w:val="Normal"/>
    <w:qFormat/>
    <w:rsid w:val="00B8464B"/>
    <w:pPr>
      <w:spacing w:before="240" w:after="120"/>
    </w:pPr>
    <w:rPr>
      <w:rFonts w:ascii="Times New Roman" w:hAnsi="Times New Roman"/>
      <w:b/>
      <w:sz w:val="32"/>
    </w:rPr>
  </w:style>
  <w:style w:type="paragraph" w:customStyle="1" w:styleId="Heading2TOC">
    <w:name w:val="Heading2 TOC"/>
    <w:basedOn w:val="Normal"/>
    <w:qFormat/>
    <w:rsid w:val="00B8464B"/>
    <w:pPr>
      <w:spacing w:before="240" w:after="60"/>
    </w:pPr>
    <w:rPr>
      <w:rFonts w:ascii="Times New Roman" w:hAnsi="Times New Roman"/>
      <w:b/>
      <w:sz w:val="28"/>
    </w:rPr>
  </w:style>
  <w:style w:type="character" w:customStyle="1" w:styleId="Underline">
    <w:name w:val="Underline"/>
    <w:basedOn w:val="DefaultParagraphFont"/>
    <w:qFormat/>
    <w:rsid w:val="00B8464B"/>
    <w:rPr>
      <w:u w:val="single"/>
    </w:rPr>
  </w:style>
  <w:style w:type="character" w:customStyle="1" w:styleId="BoldandItalics">
    <w:name w:val="Bold and Italics"/>
    <w:qFormat/>
    <w:rsid w:val="00B8464B"/>
    <w:rPr>
      <w:b/>
      <w:i/>
      <w:u w:val="none"/>
    </w:rPr>
  </w:style>
  <w:style w:type="paragraph" w:styleId="BalloonText">
    <w:name w:val="Balloon Text"/>
    <w:basedOn w:val="Normal"/>
    <w:link w:val="BalloonTextChar"/>
    <w:rsid w:val="00B8464B"/>
    <w:rPr>
      <w:rFonts w:ascii="Tahoma" w:hAnsi="Tahoma" w:cs="Tahoma"/>
      <w:sz w:val="16"/>
      <w:szCs w:val="16"/>
    </w:rPr>
  </w:style>
  <w:style w:type="character" w:customStyle="1" w:styleId="BalloonTextChar">
    <w:name w:val="Balloon Text Char"/>
    <w:basedOn w:val="DefaultParagraphFont"/>
    <w:link w:val="BalloonText"/>
    <w:rsid w:val="00B846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4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6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3452</Words>
  <Characters>22588</Characters>
  <Application>Microsoft Office Word</Application>
  <DocSecurity>0</DocSecurity>
  <Lines>758</Lines>
  <Paragraphs>314</Paragraphs>
  <ScaleCrop>false</ScaleCrop>
  <Company>Author-it Software Corporation Ltd.</Company>
  <LinksUpToDate>false</LinksUpToDate>
  <CharactersWithSpaces>25844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UETTDRTS27A Perform accuracy checks on power systems instrument transformers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