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AAD" w:rsidP="00C96AAD">
      <w:pPr>
        <w:pStyle w:val="Title"/>
      </w:pPr>
      <w:r>
        <w:fldChar w:fldCharType="begin"/>
      </w:r>
      <w:r>
        <w:instrText xml:space="preserve"> TITLE   \* MERGEFORMAT </w:instrText>
      </w:r>
      <w:r>
        <w:fldChar w:fldCharType="separate"/>
      </w:r>
      <w:r>
        <w:t>UETTDRTS25A Maintain and test and metering schemes</w:t>
      </w:r>
      <w:r>
        <w:fldChar w:fldCharType="end"/>
      </w:r>
    </w:p>
    <w:p w:rsidR="00C96AAD" w:rsidP="00C96AAD">
      <w:pPr>
        <w:pStyle w:val="Version"/>
        <w:sectPr w:rsidSect="00816B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B81" w:rsidP="00816B81">
      <w:pPr>
        <w:pStyle w:val="SuperHeading"/>
      </w:pPr>
      <w:r w:rsidRPr="00816B81">
        <w:t>UETTDRTS25A Maintain and test and metering schemes</w:t>
      </w:r>
    </w:p>
    <w:p w:rsidR="00000000" w:rsidRPr="00816B81" w:rsidP="00816B81">
      <w:pPr>
        <w:pStyle w:val="Heading1"/>
      </w:pPr>
      <w:bookmarkStart w:id="1" w:name="O_464443"/>
      <w:bookmarkEnd w:id="1"/>
      <w:r w:rsidRPr="00816B81">
        <w:t>Modification History</w:t>
      </w:r>
    </w:p>
    <w:p w:rsidR="00000000" w:rsidRPr="00816B81" w:rsidP="00816B81">
      <w:pPr>
        <w:pStyle w:val="BodyText"/>
      </w:pPr>
      <w:r w:rsidRPr="00816B81">
        <w:t>Not applicable.</w:t>
      </w:r>
    </w:p>
    <w:p w:rsidR="00000000" w:rsidRPr="00816B81" w:rsidP="00816B81">
      <w:pPr>
        <w:pStyle w:val="AllowPageBreak"/>
      </w:pPr>
    </w:p>
    <w:p w:rsidR="00000000" w:rsidRPr="00816B81" w:rsidP="00816B81">
      <w:pPr>
        <w:pStyle w:val="Heading1"/>
      </w:pPr>
      <w:bookmarkStart w:id="2" w:name="O_464439"/>
      <w:bookmarkEnd w:id="2"/>
      <w:r w:rsidRPr="00816B81">
        <w:t>Unit Descriptor</w:t>
      </w:r>
    </w:p>
    <w:tbl>
      <w:tblPr>
        <w:tblW w:w="0" w:type="auto"/>
        <w:tblLayout w:type="fixed"/>
        <w:tblCellMar>
          <w:left w:w="62" w:type="dxa"/>
          <w:right w:w="62" w:type="dxa"/>
        </w:tblCellMar>
        <w:tblLook w:val="0000"/>
      </w:tblPr>
      <w:tblGrid>
        <w:gridCol w:w="2700"/>
        <w:gridCol w:w="5760"/>
      </w:tblGrid>
      <w:tr w:rsidTr="00C96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1)</w:t>
            </w:r>
            <w:r w:rsidRPr="00816B81">
              <w:t xml:space="preserve"> </w:t>
            </w:r>
            <w:r w:rsidRPr="00816B81">
              <w:rPr>
                <w:rStyle w:val="SpecialBold"/>
              </w:rPr>
              <w:t>Scope:</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6B8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1.1) Descriptor</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This Competency Standard Unit covers the testing of metering schemes and includes isolation, inspection, monitoring, testing, adjustment, and repair, refurbishment and or overhaul and functional checks on schemes including ammeters, voltmeters, wattmeters,</w:t>
            </w:r>
            <w:r w:rsidRPr="00816B81">
              <w:t xml:space="preserve"> VAR meters and energy metering. It also includes the understanding of the purpose of the testing so as to prove accuracy and suitability of the metering for the required task.</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3" w:name="O_464428"/>
      <w:bookmarkEnd w:id="3"/>
      <w:r w:rsidRPr="00816B81">
        <w:t>Application of the Unit</w:t>
      </w:r>
    </w:p>
    <w:tbl>
      <w:tblPr>
        <w:tblW w:w="0" w:type="auto"/>
        <w:tblLayout w:type="fixed"/>
        <w:tblCellMar>
          <w:left w:w="62" w:type="dxa"/>
          <w:right w:w="62" w:type="dxa"/>
        </w:tblCellMar>
        <w:tblLook w:val="0000"/>
      </w:tblPr>
      <w:tblGrid>
        <w:gridCol w:w="2672"/>
        <w:gridCol w:w="5699"/>
      </w:tblGrid>
      <w:tr w:rsidTr="00C96A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2)</w:t>
            </w:r>
          </w:p>
        </w:tc>
      </w:tr>
      <w:tr w:rsidTr="00C96AA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This competency standards unit is intended to apply to any recognised development program that leads to the acquisition of a formal award at AQF level 5 or higher.</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4" w:name="O_464435"/>
      <w:bookmarkEnd w:id="4"/>
      <w:r w:rsidRPr="00816B81">
        <w:t>Licensing/Regulatory Information</w:t>
      </w:r>
    </w:p>
    <w:tbl>
      <w:tblPr>
        <w:tblW w:w="0" w:type="auto"/>
        <w:tblLayout w:type="fixed"/>
        <w:tblCellMar>
          <w:left w:w="62" w:type="dxa"/>
          <w:right w:w="62" w:type="dxa"/>
        </w:tblCellMar>
        <w:tblLook w:val="0000"/>
      </w:tblPr>
      <w:tblGrid>
        <w:gridCol w:w="2700"/>
        <w:gridCol w:w="5760"/>
      </w:tblGrid>
      <w:tr w:rsidTr="00C96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 xml:space="preserve">3) </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The skills and</w:t>
            </w:r>
            <w:r w:rsidRPr="00816B81">
              <w:t xml:space="preserve"> knowledge described in this unit may require a licence/registration to practice in the work place subject to regulations for undertaking of electrical work. Practice in workplace and during training is also subject to regulations directly related to Occup</w:t>
            </w:r>
            <w:r w:rsidRPr="00816B81">
              <w:t xml:space="preserve">ational Health and Safety, electricity/telecommunications/gas/water industry safety and compliance, industrial relations, environmental protection, anti discrimination and training. </w:t>
            </w:r>
            <w:r w:rsidRPr="00816B81">
              <w:t>Commonwealth, State/Territory or Local Government legislation and regulati</w:t>
            </w:r>
            <w:r w:rsidRPr="00816B81">
              <w:t>ons may exist that limits the age of operating certain equipment.</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5" w:name="O_464436"/>
      <w:bookmarkEnd w:id="5"/>
      <w:r w:rsidRPr="00816B81">
        <w:t>Pre-Requisites</w:t>
      </w:r>
    </w:p>
    <w:tbl>
      <w:tblPr>
        <w:tblW w:w="0" w:type="auto"/>
        <w:tblLayout w:type="fixed"/>
        <w:tblCellMar>
          <w:left w:w="62" w:type="dxa"/>
          <w:right w:w="62" w:type="dxa"/>
        </w:tblCellMar>
        <w:tblLook w:val="0000"/>
      </w:tblPr>
      <w:tblGrid>
        <w:gridCol w:w="2700"/>
        <w:gridCol w:w="1980"/>
        <w:gridCol w:w="3780"/>
      </w:tblGrid>
      <w:tr w:rsidTr="00C96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 xml:space="preserve">4) </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4.1)</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Granting of competency in this unit shall be made only after competency in the following unit(s) has/have been confirmed.</w:t>
            </w:r>
          </w:p>
          <w:p w:rsidR="00000000" w:rsidRPr="00816B81" w:rsidP="00816B81">
            <w:pPr>
              <w:pStyle w:val="BodyText"/>
            </w:pPr>
            <w:r w:rsidRPr="00816B81">
              <w:t xml:space="preserve">Where pre-requisite pathways have been identified. All competencies in the Common Unit Group must be have been completed plus all the </w:t>
            </w:r>
            <w:r w:rsidRPr="00816B81">
              <w:t>competencies in one (1) of the identified Pathway Unit Group(s):</w:t>
            </w:r>
          </w:p>
          <w:p w:rsidR="00000000" w:rsidP="00816B81">
            <w:pPr>
              <w:pStyle w:val="BodyText"/>
              <w:rPr>
                <w:lang w:val="en-NZ"/>
              </w:rPr>
            </w:pPr>
            <w:r w:rsidRPr="00816B81">
              <w:t>Common Unit Group</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Unit Code</w:t>
            </w:r>
            <w:r w:rsidRPr="00816B81">
              <w:tab/>
            </w:r>
          </w:p>
        </w:tc>
        <w:tc>
          <w:tcPr>
            <w:tcW w:w="3780" w:type="dxa"/>
            <w:tcBorders>
              <w:top w:val="nil"/>
              <w:left w:val="nil"/>
              <w:bottom w:val="nil"/>
              <w:right w:val="nil"/>
            </w:tcBorders>
            <w:tcMar>
              <w:top w:w="0" w:type="dxa"/>
              <w:left w:w="62" w:type="dxa"/>
              <w:bottom w:w="0" w:type="dxa"/>
              <w:right w:w="62" w:type="dxa"/>
            </w:tcMar>
            <w:vAlign w:val="bottom"/>
          </w:tcPr>
          <w:p w:rsidR="00000000" w:rsidP="00816B81">
            <w:pPr>
              <w:pStyle w:val="BodyText"/>
              <w:rPr>
                <w:lang w:val="en-NZ"/>
              </w:rPr>
            </w:pPr>
            <w:r w:rsidRPr="00816B81">
              <w:t>Unit Title</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UEENEED104A</w:t>
            </w:r>
          </w:p>
        </w:tc>
        <w:tc>
          <w:tcPr>
            <w:tcW w:w="3780" w:type="dxa"/>
            <w:tcBorders>
              <w:top w:val="nil"/>
              <w:left w:val="nil"/>
              <w:bottom w:val="nil"/>
              <w:right w:val="nil"/>
            </w:tcBorders>
            <w:tcMar>
              <w:top w:w="0" w:type="dxa"/>
              <w:left w:w="62" w:type="dxa"/>
              <w:bottom w:w="0" w:type="dxa"/>
              <w:right w:w="62" w:type="dxa"/>
            </w:tcMar>
            <w:vAlign w:val="bottom"/>
          </w:tcPr>
          <w:p w:rsidR="00000000" w:rsidP="00816B81">
            <w:pPr>
              <w:pStyle w:val="BodyText"/>
              <w:rPr>
                <w:lang w:val="en-NZ"/>
              </w:rPr>
            </w:pPr>
            <w:r w:rsidRPr="00816B81">
              <w:t>Use engineering applications software on personal computers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Apply Occupational Health and Safety regulations, codes and practices in the workplace</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Fabricate, assemble and dismantle utilities industry components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Solve problems in d.c. Circuits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Use drawings, diagrams, schedules, standards, codes and specifications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UEENEEE124A</w:t>
            </w:r>
          </w:p>
        </w:tc>
        <w:tc>
          <w:tcPr>
            <w:tcW w:w="378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Compile and produce an energy sector detailed report</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UEENEEE125A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Provide engineering solutions for problems in complex multiple path circuits problems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UEENEEE126A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Prov</w:t>
            </w:r>
            <w:r w:rsidRPr="00816B81">
              <w:t xml:space="preserve">ide solutions to basic </w:t>
            </w:r>
            <w:r w:rsidRPr="00816B81">
              <w:t>engineering computational problems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Solve problems in electromagnetic devices and related circuits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Solve problems in electromagnetic devices and related circuits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UEENEEG149A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Provide engineering solutions to problems in complex polyphase power circuits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Apply sustainable energy and environmental procedures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 xml:space="preserve">Working safely near live electrical apparatus </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Implement and monitor the power sys</w:t>
            </w:r>
            <w:r w:rsidRPr="00816B81">
              <w:t>tem organisational OHS policies, procedures and programs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Implement and monitor the power system environmental and sustainable energy management policies and procedures</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816B81">
            <w:pPr>
              <w:pStyle w:val="BodyText"/>
              <w:rPr>
                <w:lang w:val="en-NZ"/>
              </w:rPr>
            </w:pPr>
            <w:r w:rsidRPr="00816B81">
              <w:t>UETTDRTS29A</w:t>
            </w:r>
          </w:p>
        </w:tc>
        <w:tc>
          <w:tcPr>
            <w:tcW w:w="3780" w:type="dxa"/>
            <w:tcBorders>
              <w:top w:val="nil"/>
              <w:left w:val="nil"/>
              <w:bottom w:val="nil"/>
              <w:right w:val="nil"/>
            </w:tcBorders>
            <w:tcMar>
              <w:top w:w="0" w:type="dxa"/>
              <w:left w:w="62" w:type="dxa"/>
              <w:bottom w:w="0" w:type="dxa"/>
              <w:right w:w="62" w:type="dxa"/>
            </w:tcMar>
            <w:vAlign w:val="center"/>
          </w:tcPr>
          <w:p w:rsidR="00000000" w:rsidRPr="00816B81" w:rsidP="00816B81">
            <w:pPr>
              <w:pStyle w:val="BodyText"/>
            </w:pPr>
            <w:r w:rsidRPr="00816B81">
              <w:t>Develop power systems secondary isolation instructional documents</w:t>
            </w:r>
          </w:p>
        </w:tc>
      </w:tr>
    </w:tbl>
    <w:p w:rsidR="00000000" w:rsidRPr="00816B81" w:rsidP="00816B8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96AA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 xml:space="preserve">4.2) </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Participants are best equipped to achieve this unit if they have reading, writing and numeracy skills indicated by the following scales. Description of each scale is given in Volume 2, Part 3 “Literacy and Numeracy”</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Reading</w:t>
            </w:r>
          </w:p>
        </w:tc>
        <w:tc>
          <w:tcPr>
            <w:tcW w:w="81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5</w:t>
            </w:r>
          </w:p>
        </w:tc>
        <w:tc>
          <w:tcPr>
            <w:tcW w:w="99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Writing</w:t>
            </w:r>
          </w:p>
        </w:tc>
        <w:tc>
          <w:tcPr>
            <w:tcW w:w="90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5</w:t>
            </w:r>
          </w:p>
        </w:tc>
        <w:tc>
          <w:tcPr>
            <w:tcW w:w="12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Numeracy</w:t>
            </w:r>
          </w:p>
        </w:tc>
        <w:tc>
          <w:tcPr>
            <w:tcW w:w="72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5</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6" w:name="O_464432"/>
      <w:bookmarkEnd w:id="6"/>
      <w:r w:rsidRPr="00816B81">
        <w:t>Employability Skills Information</w:t>
      </w:r>
    </w:p>
    <w:tbl>
      <w:tblPr>
        <w:tblW w:w="0" w:type="auto"/>
        <w:tblLayout w:type="fixed"/>
        <w:tblCellMar>
          <w:left w:w="62" w:type="dxa"/>
          <w:right w:w="62" w:type="dxa"/>
        </w:tblCellMar>
        <w:tblLook w:val="0000"/>
      </w:tblPr>
      <w:tblGrid>
        <w:gridCol w:w="2700"/>
        <w:gridCol w:w="5760"/>
      </w:tblGrid>
      <w:tr w:rsidTr="00C96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 xml:space="preserve">5) </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The required outcomes described in this unit of competency contain applicable facets of Employability Skills. The Employability Skills Summary of the qualification in which this u</w:t>
            </w:r>
            <w:r w:rsidRPr="00816B81">
              <w:t>nit of competency is packaged will assist in identifying Employability Skill requirements.</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7" w:name="O_464431"/>
      <w:bookmarkEnd w:id="7"/>
      <w:r w:rsidRPr="00816B81">
        <w:t>Elements and Performance Criteria Pre-Content</w:t>
      </w:r>
    </w:p>
    <w:tbl>
      <w:tblPr>
        <w:tblW w:w="0" w:type="auto"/>
        <w:tblLayout w:type="fixed"/>
        <w:tblCellMar>
          <w:left w:w="62" w:type="dxa"/>
          <w:right w:w="62" w:type="dxa"/>
        </w:tblCellMar>
        <w:tblLook w:val="0000"/>
      </w:tblPr>
      <w:tblGrid>
        <w:gridCol w:w="2700"/>
        <w:gridCol w:w="5760"/>
      </w:tblGrid>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6)</w:t>
            </w:r>
            <w:r w:rsidRPr="00816B8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Performance Criteria describe the required performance needed to demonstrate achievement of the element. Assessment of performance is to be consistent with the Evidence Guide.</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8" w:name="O_464430"/>
      <w:bookmarkEnd w:id="8"/>
      <w:r w:rsidRPr="00816B81">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C96AA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PERFORMANCE CRITER</w:t>
            </w:r>
            <w:r w:rsidRPr="00816B81">
              <w:rPr>
                <w:rStyle w:val="SpecialBold"/>
              </w:rPr>
              <w:t>IA</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w:t>
            </w:r>
          </w:p>
        </w:tc>
        <w:tc>
          <w:tcPr>
            <w:tcW w:w="2294"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Plan for the testing and maintenance of metering schemes</w:t>
            </w: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1.1</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OHS practices/procedures and environmental and sustainable energy procedures, which may influence the testing and maintenance of metering schemes, are reviewed and determined.</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1.2</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Purpose of the testing and maintenance of metering schemes is established after data is analysed and expected outcomes of the work are confirmed with the appropriate personnel.</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1.3</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Organisational established procedures on policies and specifications for</w:t>
            </w:r>
            <w:r w:rsidRPr="00816B81">
              <w:t xml:space="preserve"> the testing and maintenance of metering schemes are obtained or established with the appropriate personnel.</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1.4</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Testing procedures are discussed with/directed to the appropriate personnel in order to ascertain the project brief.</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1.5</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Testing parameters are established from organisational established procedures on policies and specifications.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1.6</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Equipment/tools and personal protective equipment are selected based on specified Performance Criteria and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1.7</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W</w:t>
            </w:r>
            <w:r w:rsidRPr="00816B81">
              <w:t>ork roles and tasks are allocated according to requirements and individuals’ competencies.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1.8</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 xml:space="preserve">Work is prioritised and sequenced for the most efficient/effective outcome, completed within an acceptable timeframe to a quality standard </w:t>
            </w:r>
            <w:r w:rsidRPr="00816B81">
              <w:t>and in accordance with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1.9</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Liaison and communication issues with other/authorised personnel, authorities, clients and land owners are resolved and activities coordinated to carry out work.</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1.10</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Risk control measures are identi</w:t>
            </w:r>
            <w:r w:rsidRPr="00816B81">
              <w:t>fied, prioritised and evaluated against the work schedule.</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1.11</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Relevant work permits are secured to coordinate the performance of work according to requirements and/or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w:t>
            </w:r>
          </w:p>
        </w:tc>
        <w:tc>
          <w:tcPr>
            <w:tcW w:w="2294" w:type="dxa"/>
            <w:vMerge w:val="restart"/>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Carry out the testing and maintenance of metering schemes</w:t>
            </w: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2.1</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Circuit/systems modelling is used to evaluate alternative proposals as per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2.2</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 xml:space="preserve">OHS and sustainable energy principles, functionality and practices to reduce the incidents of accidents and minimise waste are incorporated </w:t>
            </w:r>
            <w:r w:rsidRPr="00816B81">
              <w:t>into the project in accordance with requirements and/or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2.3</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Testing and maintenance of metering schemes decisions are made on the basis of safety and effective outcomes according to requirements and/or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2.4</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Mathematical/engineering models of the testing and maintenance of metering schemes are used to analyse the effectiveness of the finished project as per requirements and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2.5</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Technical advice is given regarding potential hazard</w:t>
            </w:r>
            <w:r w:rsidRPr="00816B81">
              <w:t>s, safety risks and control measures so that monitoring and preventative action can be undertaken and/or appropriate authorities consulted, where necessary, in accordance with requirements and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2.6</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Essential knowledge and associat</w:t>
            </w:r>
            <w:r w:rsidRPr="00816B81">
              <w:t>ed skills are applied to analyse specific data and compare it with compliance specifications to ensure completion of the project within an agreed timeframe according to requirements.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2.7</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Testing and maintenance of metering schemes is undertaken accordin</w:t>
            </w:r>
            <w:r w:rsidRPr="00816B81">
              <w:t>g to requirements and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2.8</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Work teams/groups are arranged/coordinated/evaluated to ensure planned goals are met according to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2.9</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Solutions to non-routine problems are identified and actioned, using acquired essential knowledge and associated skills, according to requirements.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2.10</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Quality of work is monitored against personal performance agreement and/or established organisationa</w:t>
            </w:r>
            <w:r w:rsidRPr="00816B81">
              <w:t>l and professional standards.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2.11</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Strategic plans are developed incorporating organisation initiatives as per established procedures.</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3</w:t>
            </w:r>
          </w:p>
        </w:tc>
        <w:tc>
          <w:tcPr>
            <w:tcW w:w="2294"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Complete the testing and maintenance of metering schemes</w:t>
            </w: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3.1</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Final inspections of the testing and maintenance of me</w:t>
            </w:r>
            <w:r w:rsidRPr="00816B81">
              <w:t>tering schemes are undertaken to ensure they comply with all requirements and include all specifications and documentations needed to complete the project.</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3.2</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Appropriate personnel are notified of completion and reports a</w:t>
            </w:r>
            <w:r w:rsidRPr="00816B81">
              <w:t>nd/or completion documents are finalised/commissioned.</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3.3</w:t>
            </w:r>
          </w:p>
        </w:tc>
        <w:tc>
          <w:tcPr>
            <w:tcW w:w="4922"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Reports and/or completion documents are submitted to relevant personnel/organisations for approval and, where applicable, statutory or regulatory approval.</w:t>
            </w:r>
          </w:p>
        </w:tc>
      </w:tr>
      <w:tr w:rsidTr="00C96AAD">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t>3.4</w:t>
            </w:r>
          </w:p>
        </w:tc>
        <w:tc>
          <w:tcPr>
            <w:tcW w:w="4922"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 xml:space="preserve">Approved copies of the testing </w:t>
            </w:r>
            <w:r w:rsidRPr="00816B81">
              <w:t>and maintenance of metering schemes documents are issues and records are updated in accordance with established procedures.</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9" w:name="O_464438"/>
      <w:bookmarkEnd w:id="9"/>
      <w:r w:rsidRPr="00816B81">
        <w:t>Required Skills and Knowledge</w:t>
      </w:r>
    </w:p>
    <w:tbl>
      <w:tblPr>
        <w:tblW w:w="0" w:type="auto"/>
        <w:tblLayout w:type="fixed"/>
        <w:tblCellMar>
          <w:left w:w="62" w:type="dxa"/>
          <w:right w:w="62" w:type="dxa"/>
        </w:tblCellMar>
        <w:tblLook w:val="0000"/>
      </w:tblPr>
      <w:tblGrid>
        <w:gridCol w:w="8460"/>
      </w:tblGrid>
      <w:tr w:rsidTr="00C96A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REQUIRED SKILLS AND KNOWLEDGE</w:t>
            </w:r>
          </w:p>
        </w:tc>
      </w:tr>
      <w:tr w:rsidTr="00C96AA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8)</w:t>
            </w:r>
            <w:r w:rsidRPr="00816B81">
              <w:t xml:space="preserve"> Essential Knowledge and Associated Skills (EKAS): This describes the essential skills and knowledge and their level, required for this unit.</w:t>
            </w:r>
          </w:p>
          <w:p w:rsidR="00000000" w:rsidRPr="00816B81" w:rsidP="00816B81">
            <w:pPr>
              <w:pStyle w:val="BodyText"/>
            </w:pPr>
            <w:r w:rsidRPr="00816B81">
              <w:t xml:space="preserve">Evidence shall show that knowledge has been acquired of testing and maintaining metering schemes. </w:t>
            </w:r>
          </w:p>
          <w:p w:rsidR="00000000" w:rsidRPr="00816B81" w:rsidP="00816B81">
            <w:pPr>
              <w:pStyle w:val="BodyText"/>
            </w:pPr>
            <w:r w:rsidRPr="00816B81">
              <w:t>All knowledge a</w:t>
            </w:r>
            <w:r w:rsidRPr="00816B81">
              <w:t>nd skills detailed in this unit should be contextualised to current industry practices and technologies.</w:t>
            </w:r>
          </w:p>
          <w:p w:rsidR="00000000" w:rsidRPr="00816B81" w:rsidP="00816B81">
            <w:pPr>
              <w:pStyle w:val="BodyText"/>
            </w:pPr>
            <w:r w:rsidRPr="00816B81">
              <w:t xml:space="preserve">KS01-TTS25A </w:t>
            </w:r>
            <w:r w:rsidRPr="00816B81">
              <w:tab/>
              <w:t>Metering schemes – testing and maintenance</w:t>
            </w:r>
          </w:p>
          <w:p w:rsidR="00000000" w:rsidRPr="00816B81" w:rsidP="00816B81">
            <w:pPr>
              <w:pStyle w:val="BodyText"/>
            </w:pPr>
            <w:r w:rsidRPr="00816B81">
              <w:t>Evidence shall show an understanding of metering schemes – testing and maintenance to an extent</w:t>
            </w:r>
            <w:r w:rsidRPr="00816B81">
              <w:t xml:space="preserve"> indicated by the following aspects: </w:t>
            </w:r>
          </w:p>
          <w:p w:rsidR="00000000" w:rsidRPr="00816B81" w:rsidP="00816B81">
            <w:pPr>
              <w:pStyle w:val="BodyText"/>
            </w:pPr>
            <w:r w:rsidRPr="00816B81">
              <w:t>T1</w:t>
            </w:r>
            <w:r w:rsidRPr="00816B81">
              <w:tab/>
              <w:t>Principles of Statutory and safety considerations encompassing:</w:t>
            </w:r>
          </w:p>
          <w:p w:rsidR="00000000" w:rsidRPr="00816B81" w:rsidP="00816B81">
            <w:pPr>
              <w:pStyle w:val="ListBullet"/>
            </w:pPr>
            <w:r w:rsidRPr="00816B81">
              <w:t>Commonwealth/State/Territory legislation, standards, codes, supply authority regulations and or enterprise requirements associated with working on Hig</w:t>
            </w:r>
            <w:r w:rsidRPr="00816B81">
              <w:t>h Voltage</w:t>
            </w:r>
          </w:p>
          <w:p w:rsidR="00000000" w:rsidRPr="00816B81" w:rsidP="00816B81">
            <w:pPr>
              <w:pStyle w:val="ListBullet"/>
            </w:pPr>
            <w:r w:rsidRPr="00816B81">
              <w:t>Particular reference to State and Territory regulations regarding - working near energised conductors, electrical access, heights, confined space, testing procedures, licensing rules.</w:t>
            </w:r>
          </w:p>
          <w:p w:rsidR="00000000" w:rsidRPr="00816B81" w:rsidP="00816B81">
            <w:pPr>
              <w:pStyle w:val="BodyText"/>
            </w:pPr>
            <w:r w:rsidRPr="00816B81">
              <w:t>T2</w:t>
            </w:r>
            <w:r w:rsidRPr="00816B81">
              <w:tab/>
              <w:t>Procedure to undertake a visual inspection of a scheme enco</w:t>
            </w:r>
            <w:r w:rsidRPr="00816B81">
              <w:t>mpassing:</w:t>
            </w:r>
          </w:p>
          <w:p w:rsidR="00000000" w:rsidRPr="00816B81" w:rsidP="00816B81">
            <w:pPr>
              <w:pStyle w:val="ListBullet"/>
            </w:pPr>
            <w:r w:rsidRPr="00816B81">
              <w:t>Standards, codes, Commonwealth/State/Territory legislation, supply authority regulations and or enterprise requirements associated with visual inspection procedures of a scheme</w:t>
            </w:r>
          </w:p>
          <w:p w:rsidR="00000000" w:rsidRPr="00816B81" w:rsidP="00816B81">
            <w:pPr>
              <w:pStyle w:val="ListBullet"/>
            </w:pPr>
            <w:r w:rsidRPr="00816B81">
              <w:t>Requirements for the use of manuals, system diagrams/plans and drawi</w:t>
            </w:r>
            <w:r w:rsidRPr="00816B81">
              <w:t>ngs</w:t>
            </w:r>
          </w:p>
          <w:p w:rsidR="00000000" w:rsidRPr="00816B81" w:rsidP="00816B81">
            <w:pPr>
              <w:pStyle w:val="ListBullet"/>
            </w:pPr>
            <w:r w:rsidRPr="00816B81">
              <w:t>Identify obvious deficiencies in operating to the standard functionality</w:t>
            </w:r>
          </w:p>
          <w:p w:rsidR="00000000" w:rsidRPr="00816B81" w:rsidP="00816B81">
            <w:pPr>
              <w:pStyle w:val="ListBullet"/>
            </w:pPr>
            <w:r w:rsidRPr="00816B81">
              <w:t>Techniques in determining device malfunction</w:t>
            </w:r>
          </w:p>
          <w:p w:rsidR="00000000" w:rsidRPr="00816B81" w:rsidP="00816B81">
            <w:pPr>
              <w:pStyle w:val="ListBullet"/>
            </w:pPr>
            <w:r w:rsidRPr="00816B81">
              <w:t>Techniques in determining wiring defects.</w:t>
            </w:r>
          </w:p>
          <w:p w:rsidR="00000000" w:rsidRPr="00816B81" w:rsidP="00816B81">
            <w:pPr>
              <w:pStyle w:val="BodyText"/>
            </w:pPr>
            <w:r w:rsidRPr="00816B81">
              <w:t>T3</w:t>
            </w:r>
            <w:r w:rsidRPr="00816B81">
              <w:tab/>
            </w:r>
            <w:r w:rsidRPr="00816B81">
              <w:t>Procedures for the location and rectification of faults in electrical equipment up to 1000 volts AC and or 1500 volts DC, encompassing:</w:t>
            </w:r>
          </w:p>
          <w:p w:rsidR="00000000" w:rsidRPr="00816B81" w:rsidP="00816B81">
            <w:pPr>
              <w:pStyle w:val="ListBullet"/>
            </w:pPr>
            <w:r w:rsidRPr="00816B81">
              <w:t>Relationship of Occupational Health and Safety to the location and rectification of faults in electrical equipment - Ac</w:t>
            </w:r>
            <w:r w:rsidRPr="00816B81">
              <w:t>t and regulations, identification of personal safety, workplace hazards, working with electrically operated tools and equipment, emergency First Aid/resuscitation, rescue from a live electrical situation, enterprise policies and procedures.</w:t>
            </w:r>
          </w:p>
          <w:p w:rsidR="00000000" w:rsidRPr="00816B81" w:rsidP="00816B81">
            <w:pPr>
              <w:pStyle w:val="ListBullet"/>
            </w:pPr>
            <w:r w:rsidRPr="00816B81">
              <w:t>Types of drawin</w:t>
            </w:r>
            <w:r w:rsidRPr="00816B81">
              <w:t>gs - differentiation between symptoms, faults and causes in malfunctioning equipment, fault-finding techniques and procedures</w:t>
            </w:r>
          </w:p>
          <w:p w:rsidR="00000000" w:rsidRPr="00816B81" w:rsidP="00816B81">
            <w:pPr>
              <w:pStyle w:val="ListBullet"/>
            </w:pPr>
            <w:r w:rsidRPr="00816B81">
              <w:t>Fundamental electrical concepts - effects of current, practical resistors, sources of EMF, series, parallel and series-parallel ci</w:t>
            </w:r>
            <w:r w:rsidRPr="00816B81">
              <w:t>rcuits, electrical measurement, capacitors, inductors, magnetism.</w:t>
            </w:r>
          </w:p>
          <w:p w:rsidR="00000000" w:rsidRPr="00816B81" w:rsidP="00816B81">
            <w:pPr>
              <w:pStyle w:val="ListBullet"/>
            </w:pPr>
            <w:r w:rsidRPr="00816B81">
              <w:t>Fundamentals of general appliances - basic principles of appliances (non mathematical), appliance identification, appliance ratings, basic principles of operation of control equipment and pr</w:t>
            </w:r>
            <w:r w:rsidRPr="00816B81">
              <w:t>otection devices, fault conditions and symptoms, safe isolation procedures, test equipment, safe testing procedures, including continuity, fault types in appliances, fault-finding procedures (prescriptive)</w:t>
            </w:r>
          </w:p>
          <w:p w:rsidR="00000000" w:rsidRPr="00816B81" w:rsidP="00816B81">
            <w:pPr>
              <w:pStyle w:val="ListBullet"/>
            </w:pPr>
            <w:r w:rsidRPr="00816B81">
              <w:t>Fundamentals of single phase induction motors - ba</w:t>
            </w:r>
            <w:r w:rsidRPr="00816B81">
              <w:t>sic principles of operation (non mathematical), motor identification, motor ratings, basic principles of operation of control equipment and protection devices, fault conditions and symptoms, safe isolation procedures, test equipment, safe testing procedure</w:t>
            </w:r>
            <w:r w:rsidRPr="00816B81">
              <w:t>, including continuity, fault types in “phase splitting” and universal type motors, fault-finding procedures (prescriptive).</w:t>
            </w:r>
          </w:p>
          <w:p w:rsidR="00000000" w:rsidRPr="00816B81" w:rsidP="00816B81">
            <w:pPr>
              <w:pStyle w:val="ListBullet"/>
            </w:pPr>
            <w:r w:rsidRPr="00816B81">
              <w:t>Fundamentals of three phase induction motors - basic principles of operation (non mathematical), motor identification, motor rating</w:t>
            </w:r>
            <w:r w:rsidRPr="00816B81">
              <w:t>s, motor starter principles, basic principles of operation of control equipment and protection devices, fault conditions and symptoms, safe isolation procedures, safe testing procedure, fault-finding procedures (prescriptive)</w:t>
            </w:r>
          </w:p>
          <w:p w:rsidR="00000000" w:rsidRPr="00816B81" w:rsidP="00816B81">
            <w:pPr>
              <w:pStyle w:val="ListBullet"/>
            </w:pPr>
            <w:r w:rsidRPr="00816B81">
              <w:t>Fundamentals of single and thr</w:t>
            </w:r>
            <w:r w:rsidRPr="00816B81">
              <w:t>ee phase electrical heaters - basic principles of operation, types of electrical heaters, electrical heater identification, electrical heater ratings, basic principles of operation of control and protection devices, fault conditions and symptoms, safe test</w:t>
            </w:r>
            <w:r w:rsidRPr="00816B81">
              <w:t>ing procedure, fault-finding procedures (prescriptive).</w:t>
            </w:r>
          </w:p>
          <w:p w:rsidR="00000000" w:rsidRPr="00816B81" w:rsidP="00816B81">
            <w:pPr>
              <w:pStyle w:val="BodyText"/>
            </w:pPr>
            <w:r w:rsidRPr="00816B81">
              <w:t>T4</w:t>
            </w:r>
            <w:r w:rsidRPr="00816B81">
              <w:tab/>
              <w:t>Detailed operation of metering devices and principles encompassing:</w:t>
            </w:r>
          </w:p>
          <w:p w:rsidR="00000000" w:rsidRPr="00816B81" w:rsidP="00816B81">
            <w:pPr>
              <w:pStyle w:val="ListBullet"/>
            </w:pPr>
            <w:r w:rsidRPr="00816B81">
              <w:t>Common circuit configurations</w:t>
            </w:r>
          </w:p>
          <w:p w:rsidR="00000000" w:rsidRPr="00816B81" w:rsidP="00816B81">
            <w:pPr>
              <w:pStyle w:val="ListBullet"/>
            </w:pPr>
            <w:r w:rsidRPr="00816B81">
              <w:t>Meters and measurement principles</w:t>
            </w:r>
          </w:p>
          <w:p w:rsidR="00000000" w:rsidRPr="00816B81" w:rsidP="00816B81">
            <w:pPr>
              <w:pStyle w:val="ListBullet"/>
            </w:pPr>
            <w:r w:rsidRPr="00816B81">
              <w:t>Instrument transformer application</w:t>
            </w:r>
          </w:p>
          <w:p w:rsidR="00000000" w:rsidRPr="00816B81" w:rsidP="00816B81">
            <w:pPr>
              <w:pStyle w:val="ListBullet"/>
            </w:pPr>
            <w:r w:rsidRPr="00816B81">
              <w:t>Testing of metering systems a</w:t>
            </w:r>
            <w:r w:rsidRPr="00816B81">
              <w:t>nd devices</w:t>
            </w:r>
          </w:p>
          <w:p w:rsidR="00000000" w:rsidRPr="00816B81" w:rsidP="00816B81">
            <w:pPr>
              <w:pStyle w:val="ListBullet"/>
            </w:pPr>
            <w:r w:rsidRPr="00816B81">
              <w:t>Implications of market operation.</w:t>
            </w:r>
          </w:p>
          <w:p w:rsidR="00000000" w:rsidRPr="00816B81" w:rsidP="00816B81">
            <w:pPr>
              <w:pStyle w:val="BodyText"/>
            </w:pPr>
            <w:r w:rsidRPr="00816B81">
              <w:t>T5</w:t>
            </w:r>
            <w:r w:rsidRPr="00816B81">
              <w:tab/>
              <w:t>Detailed operation of metering test equipment encompassing:</w:t>
            </w:r>
          </w:p>
          <w:p w:rsidR="00000000" w:rsidRPr="00816B81" w:rsidP="00816B81">
            <w:pPr>
              <w:pStyle w:val="ListBullet"/>
            </w:pPr>
            <w:r w:rsidRPr="00816B81">
              <w:t>Care and safe use</w:t>
            </w:r>
          </w:p>
          <w:p w:rsidR="00000000" w:rsidRPr="00816B81" w:rsidP="00816B81">
            <w:pPr>
              <w:pStyle w:val="ListBullet"/>
            </w:pPr>
            <w:r w:rsidRPr="00816B81">
              <w:t>Operating principles</w:t>
            </w:r>
          </w:p>
          <w:p w:rsidR="00000000" w:rsidRPr="00816B81" w:rsidP="00816B81">
            <w:pPr>
              <w:pStyle w:val="ListBullet"/>
            </w:pPr>
            <w:r w:rsidRPr="00816B81">
              <w:t>Comparison of different operating principle meters used for the same purpose</w:t>
            </w:r>
          </w:p>
          <w:p w:rsidR="00000000" w:rsidRPr="00816B81" w:rsidP="00816B81">
            <w:pPr>
              <w:pStyle w:val="ListBullet"/>
            </w:pPr>
            <w:r w:rsidRPr="00816B81">
              <w:t>Accuracy and loading effects of</w:t>
            </w:r>
            <w:r w:rsidRPr="00816B81">
              <w:t xml:space="preserve"> meters - measurements of, voltage, current, power, reactive power, phase angle, resistance, inductance, capacitance, impedance, frequency, harmonics and the use of transient and data logging devices</w:t>
            </w:r>
          </w:p>
          <w:p w:rsidR="00000000" w:rsidRPr="00816B81" w:rsidP="00816B81">
            <w:pPr>
              <w:pStyle w:val="BodyText"/>
            </w:pPr>
            <w:r w:rsidRPr="00816B81">
              <w:t>T6</w:t>
            </w:r>
            <w:r w:rsidRPr="00816B81">
              <w:tab/>
              <w:t>Disconnection and reconnection procedures for fixed w</w:t>
            </w:r>
            <w:r w:rsidRPr="00816B81">
              <w:t>iring electrical equipment up to 1000 volts AC and or 1500 volts DC, encompassing:</w:t>
            </w:r>
          </w:p>
          <w:p w:rsidR="00000000" w:rsidRPr="00816B81" w:rsidP="00816B81">
            <w:pPr>
              <w:pStyle w:val="ListBullet"/>
            </w:pPr>
            <w:r w:rsidRPr="00816B81">
              <w:t>Safe electrical work practices and procedures according to standards such as AS/NZ 4836:2001 or equivalent</w:t>
            </w:r>
          </w:p>
          <w:p w:rsidR="00000000" w:rsidRPr="00816B81" w:rsidP="00816B81">
            <w:pPr>
              <w:pStyle w:val="ListBullet"/>
            </w:pPr>
            <w:r w:rsidRPr="00816B81">
              <w:t>Safe use of tools and plant</w:t>
            </w:r>
          </w:p>
          <w:p w:rsidR="00000000" w:rsidRPr="00816B81" w:rsidP="00816B81">
            <w:pPr>
              <w:pStyle w:val="ListBullet"/>
            </w:pPr>
            <w:r w:rsidRPr="00816B81">
              <w:t>Safe use of lad</w:t>
            </w:r>
            <w:r w:rsidRPr="00816B81">
              <w:t>ders and elevated work platforms</w:t>
            </w:r>
          </w:p>
          <w:p w:rsidR="00000000" w:rsidRPr="00816B81" w:rsidP="00816B81">
            <w:pPr>
              <w:pStyle w:val="ListBullet"/>
            </w:pPr>
            <w:r w:rsidRPr="00816B81">
              <w:t>Safe use of protective clothing</w:t>
            </w:r>
          </w:p>
          <w:p w:rsidR="00000000" w:rsidRPr="00816B81" w:rsidP="00816B81">
            <w:pPr>
              <w:pStyle w:val="ListBullet"/>
            </w:pPr>
            <w:r w:rsidRPr="00816B81">
              <w:t>Hazards in the (electrical) work environment - shock hazards, fire hazards, chemical hazards, other hazardous areas</w:t>
            </w:r>
          </w:p>
          <w:p w:rsidR="00000000" w:rsidRPr="00816B81" w:rsidP="00816B81">
            <w:pPr>
              <w:pStyle w:val="ListBullet"/>
            </w:pPr>
            <w:r w:rsidRPr="00816B81">
              <w:t>Special situations</w:t>
            </w:r>
          </w:p>
          <w:p w:rsidR="00000000" w:rsidRPr="00816B81" w:rsidP="00816B81">
            <w:pPr>
              <w:pStyle w:val="ListBullet"/>
            </w:pPr>
            <w:r w:rsidRPr="00816B81">
              <w:t>Procedures for dealing with fires associated with electr</w:t>
            </w:r>
            <w:r w:rsidRPr="00816B81">
              <w:t>ical equipment</w:t>
            </w:r>
          </w:p>
          <w:p w:rsidR="00000000" w:rsidRPr="00816B81" w:rsidP="00816B81">
            <w:pPr>
              <w:pStyle w:val="ListBullet"/>
            </w:pPr>
            <w:r w:rsidRPr="00816B81">
              <w:t>Procedures for dealing with PCBs</w:t>
            </w:r>
          </w:p>
          <w:p w:rsidR="00000000" w:rsidRPr="00816B81" w:rsidP="00816B81">
            <w:pPr>
              <w:pStyle w:val="ListBullet"/>
            </w:pPr>
            <w:r w:rsidRPr="00816B81">
              <w:t>Electric shock victim rescue methods and procedures - basic First Aid treatment for shock, burns and bleeding.</w:t>
            </w:r>
          </w:p>
          <w:p w:rsidR="00000000" w:rsidRPr="00816B81" w:rsidP="00816B81">
            <w:pPr>
              <w:pStyle w:val="ListBullet"/>
            </w:pPr>
            <w:r w:rsidRPr="00816B81">
              <w:t>Purpose of each procedure and application - expired air resuscitation (EAR), external cardiac-com</w:t>
            </w:r>
            <w:r w:rsidRPr="00816B81">
              <w:t>pression (ECC), cardio-pulmonary resuscitation (CPR), combined application of EAR and ECC (purpose of each procedure and application).</w:t>
            </w:r>
          </w:p>
          <w:p w:rsidR="00000000" w:rsidRPr="00816B81" w:rsidP="00816B81">
            <w:pPr>
              <w:pStyle w:val="ListBullet"/>
            </w:pPr>
            <w:r w:rsidRPr="00816B81">
              <w:t>Components of a basic electrical circuit(s) – source, control, protection, load</w:t>
            </w:r>
          </w:p>
          <w:p w:rsidR="00000000" w:rsidRPr="00816B81" w:rsidP="00816B81">
            <w:pPr>
              <w:pStyle w:val="ListBullet"/>
            </w:pPr>
            <w:r w:rsidRPr="00816B81">
              <w:t>Types of circuit diagrams – symbols, conv</w:t>
            </w:r>
            <w:r w:rsidRPr="00816B81">
              <w:t>entions, interpretations, free sketches</w:t>
            </w:r>
          </w:p>
          <w:p w:rsidR="00000000" w:rsidRPr="00816B81" w:rsidP="00816B81">
            <w:pPr>
              <w:pStyle w:val="ListBullet"/>
            </w:pPr>
            <w:r w:rsidRPr="00816B81">
              <w:t>Types of circuit connections and functions - open circuit, closed circuit, short circuit</w:t>
            </w:r>
          </w:p>
          <w:p w:rsidR="00000000" w:rsidRPr="00816B81" w:rsidP="00816B81">
            <w:pPr>
              <w:pStyle w:val="ListBullet"/>
            </w:pPr>
            <w:r w:rsidRPr="00816B81">
              <w:t>Techniques in basic electrical measurement - use of multimeters; use of ammeter; use of voltage measuring and indicating device</w:t>
            </w:r>
            <w:r w:rsidRPr="00816B81">
              <w:t>s; testing of measuring instruments; care of measuring instruments; voltage, current and resistance measurement; estimating values of voltage, current and resistance; using ohms law</w:t>
            </w:r>
          </w:p>
          <w:p w:rsidR="00000000" w:rsidRPr="00816B81" w:rsidP="00816B81">
            <w:pPr>
              <w:pStyle w:val="ListBullet"/>
            </w:pPr>
            <w:r w:rsidRPr="00816B81">
              <w:t>Fundamental principles of electrical concepts - effects of current; practi</w:t>
            </w:r>
            <w:r w:rsidRPr="00816B81">
              <w:t>cal resistors; sources of EMF; simple practical circuit; series, parallel and series-parallel circuits; electrical measurement; capacitors; inductors; magnetism</w:t>
            </w:r>
          </w:p>
          <w:p w:rsidR="00000000" w:rsidRPr="00816B81" w:rsidP="00816B81">
            <w:pPr>
              <w:pStyle w:val="ListBullet"/>
            </w:pPr>
            <w:r w:rsidRPr="00816B81">
              <w:t>Techniques in insulation resistance measurement and requirements</w:t>
            </w:r>
          </w:p>
          <w:p w:rsidR="00000000" w:rsidRPr="00816B81" w:rsidP="00816B81">
            <w:pPr>
              <w:pStyle w:val="ListBullet"/>
            </w:pPr>
            <w:r w:rsidRPr="00816B81">
              <w:t>Earthing principles and system</w:t>
            </w:r>
            <w:r w:rsidRPr="00816B81">
              <w:t>s.</w:t>
            </w:r>
          </w:p>
          <w:p w:rsidR="00000000" w:rsidRPr="00816B81" w:rsidP="00816B81">
            <w:pPr>
              <w:pStyle w:val="BodyText"/>
            </w:pPr>
            <w:r w:rsidRPr="00816B81">
              <w:t>T7</w:t>
            </w:r>
            <w:r w:rsidRPr="00816B81">
              <w:tab/>
              <w:t>Disconnection and reconnection procedures for fixed wiring electrical equipment up to 1000 volts AC and or 1500 volts DC, encompassing:</w:t>
            </w:r>
          </w:p>
          <w:p w:rsidR="00000000" w:rsidRPr="00816B81" w:rsidP="00816B81">
            <w:pPr>
              <w:pStyle w:val="ListBullet"/>
            </w:pPr>
            <w:r w:rsidRPr="00816B81">
              <w:t>Methods for testing insulation resistance - continuity of prospective earthing conductor, continuity between expo</w:t>
            </w:r>
            <w:r w:rsidRPr="00816B81">
              <w:t>sed conductive parts and the earthing system</w:t>
            </w:r>
          </w:p>
          <w:p w:rsidR="00000000" w:rsidRPr="00816B81" w:rsidP="00816B81">
            <w:pPr>
              <w:pStyle w:val="ListBullet"/>
            </w:pPr>
            <w:r w:rsidRPr="00816B81">
              <w:t>Methods of recognising acceptable test results for compliance with safety requirements</w:t>
            </w:r>
          </w:p>
          <w:p w:rsidR="00000000" w:rsidRPr="00816B81" w:rsidP="00816B81">
            <w:pPr>
              <w:pStyle w:val="ListBullet"/>
            </w:pPr>
            <w:r w:rsidRPr="00816B81">
              <w:t>Methods of recognising unacceptable test results and require an appropriate qualified person to further investigation</w:t>
            </w:r>
          </w:p>
          <w:p w:rsidR="00000000" w:rsidRPr="00816B81" w:rsidP="00816B81">
            <w:pPr>
              <w:pStyle w:val="ListBullet"/>
            </w:pPr>
            <w:r w:rsidRPr="00816B81">
              <w:t>Cable types and conductor termination methods and techniques - conductors solid, stranded and flexible, colour codes</w:t>
            </w:r>
          </w:p>
          <w:p w:rsidR="00000000" w:rsidRPr="00816B81" w:rsidP="00816B81">
            <w:pPr>
              <w:pStyle w:val="ListBullet"/>
            </w:pPr>
            <w:r w:rsidRPr="00816B81">
              <w:t>Single and three phase systems and loads - number of active and live conductors required, line and phase voltage, typical loads</w:t>
            </w:r>
          </w:p>
          <w:p w:rsidR="00000000" w:rsidRPr="00816B81" w:rsidP="00816B81">
            <w:pPr>
              <w:pStyle w:val="ListBullet"/>
            </w:pPr>
            <w:r w:rsidRPr="00816B81">
              <w:t>Identificat</w:t>
            </w:r>
            <w:r w:rsidRPr="00816B81">
              <w:t>ion and rating of general appliances</w:t>
            </w:r>
          </w:p>
          <w:p w:rsidR="00000000" w:rsidRPr="00816B81" w:rsidP="00816B81">
            <w:pPr>
              <w:pStyle w:val="ListBullet"/>
            </w:pPr>
            <w:r w:rsidRPr="00816B81">
              <w:t>Single phase induction motors - motor identification, motor ratings, direction of rotation</w:t>
            </w:r>
          </w:p>
          <w:p w:rsidR="00000000" w:rsidRPr="00816B81" w:rsidP="00816B81">
            <w:pPr>
              <w:pStyle w:val="ListBullet"/>
            </w:pPr>
            <w:r w:rsidRPr="00816B81">
              <w:t>Three phase induction motors - motor identification, motor ratings, direction of rotation</w:t>
            </w:r>
          </w:p>
          <w:p w:rsidR="00000000" w:rsidRPr="00816B81" w:rsidP="00816B81">
            <w:pPr>
              <w:pStyle w:val="ListBullet"/>
            </w:pPr>
            <w:r w:rsidRPr="00816B81">
              <w:t>Single and three phase heaters - types</w:t>
            </w:r>
            <w:r w:rsidRPr="00816B81">
              <w:t xml:space="preserve"> of heaters, heater identification, heater ratings</w:t>
            </w:r>
          </w:p>
          <w:p w:rsidR="00000000" w:rsidRPr="00816B81" w:rsidP="00816B81">
            <w:pPr>
              <w:pStyle w:val="ListBullet"/>
            </w:pPr>
            <w:r w:rsidRPr="00816B81">
              <w:t>Electrical distribution arrangement - power systems within premises, purpose of switchboards/distribution boards (residual current devices and ELCBs)</w:t>
            </w:r>
          </w:p>
          <w:p w:rsidR="00000000" w:rsidRPr="00816B81" w:rsidP="00816B81">
            <w:pPr>
              <w:pStyle w:val="ListBullet"/>
            </w:pPr>
            <w:r w:rsidRPr="00816B81">
              <w:t>Circuit isolation and protection devices</w:t>
            </w:r>
          </w:p>
          <w:p w:rsidR="00000000" w:rsidRPr="00816B81" w:rsidP="00816B81">
            <w:pPr>
              <w:pStyle w:val="ListBullet"/>
            </w:pPr>
            <w:r w:rsidRPr="00816B81">
              <w:t>Isolation proc</w:t>
            </w:r>
            <w:r w:rsidRPr="00816B81">
              <w:t>edures - work clearance, testing for voltage, lock-off and tagging, techniques in isolation and tagging, regulation, codes of practice and procedures</w:t>
            </w:r>
          </w:p>
          <w:p w:rsidR="00000000" w:rsidRPr="00816B81" w:rsidP="00816B81">
            <w:pPr>
              <w:pStyle w:val="ListBullet"/>
            </w:pPr>
            <w:r w:rsidRPr="00816B81">
              <w:t>Disconnection procedures, practices and requirements</w:t>
            </w:r>
          </w:p>
          <w:p w:rsidR="00000000" w:rsidRPr="00816B81" w:rsidP="00816B81">
            <w:pPr>
              <w:pStyle w:val="ListBullet"/>
            </w:pPr>
            <w:r w:rsidRPr="00816B81">
              <w:t>Types of replacement equipment</w:t>
            </w:r>
          </w:p>
          <w:p w:rsidR="00000000" w:rsidRPr="00816B81" w:rsidP="00816B81">
            <w:pPr>
              <w:pStyle w:val="ListBullet"/>
            </w:pPr>
            <w:r w:rsidRPr="00816B81">
              <w:t>Methods of ensuring eq</w:t>
            </w:r>
            <w:r w:rsidRPr="00816B81">
              <w:t>uipment is safe to connect to supply</w:t>
            </w:r>
          </w:p>
          <w:p w:rsidR="00000000" w:rsidRPr="00816B81" w:rsidP="00816B81">
            <w:pPr>
              <w:pStyle w:val="ListBullet"/>
            </w:pPr>
            <w:r w:rsidRPr="00816B81">
              <w:t>Methods of reconnection procedures, practices and requirements</w:t>
            </w:r>
          </w:p>
          <w:p w:rsidR="00000000" w:rsidRPr="00816B81" w:rsidP="00816B81">
            <w:pPr>
              <w:pStyle w:val="ListBullet"/>
            </w:pPr>
            <w:r w:rsidRPr="00816B81">
              <w:t>Methods of return equipment to service</w:t>
            </w:r>
          </w:p>
          <w:p w:rsidR="00000000" w:rsidRPr="00816B81" w:rsidP="00816B81">
            <w:pPr>
              <w:pStyle w:val="BodyText"/>
            </w:pPr>
            <w:r w:rsidRPr="00816B81">
              <w:t>T8</w:t>
            </w:r>
            <w:r w:rsidRPr="00816B81">
              <w:tab/>
              <w:t>Effects of harmonics encompassing:</w:t>
            </w:r>
          </w:p>
          <w:p w:rsidR="00000000" w:rsidRPr="00816B81" w:rsidP="00816B81">
            <w:pPr>
              <w:pStyle w:val="ListBullet"/>
            </w:pPr>
            <w:r w:rsidRPr="00816B81">
              <w:t>Characteristics and effects of harmonics on protection device functions/malfun</w:t>
            </w:r>
            <w:r w:rsidRPr="00816B81">
              <w:t>ction</w:t>
            </w:r>
          </w:p>
          <w:p w:rsidR="00000000" w:rsidRPr="00816B81" w:rsidP="00816B81">
            <w:pPr>
              <w:pStyle w:val="ListBullet"/>
            </w:pPr>
            <w:r w:rsidRPr="00816B81">
              <w:t>Effects of harmonics on transformers, generators, motors, quality of supply.</w:t>
            </w:r>
          </w:p>
          <w:p w:rsidR="00000000" w:rsidRPr="00816B81" w:rsidP="00816B81">
            <w:pPr>
              <w:pStyle w:val="BodyText"/>
            </w:pPr>
            <w:r w:rsidRPr="00816B81">
              <w:t>T9</w:t>
            </w:r>
            <w:r w:rsidRPr="00816B81">
              <w:tab/>
              <w:t>Procedure for the systematic fault isolation through the application of diagnostic techniques encompassing:</w:t>
            </w:r>
          </w:p>
          <w:p w:rsidR="00000000" w:rsidRPr="00816B81" w:rsidP="00816B81">
            <w:pPr>
              <w:pStyle w:val="ListBullet"/>
            </w:pPr>
            <w:r w:rsidRPr="00816B81">
              <w:t>Principles of analytical questioning</w:t>
            </w:r>
          </w:p>
          <w:p w:rsidR="00000000" w:rsidRPr="00816B81" w:rsidP="00816B81">
            <w:pPr>
              <w:pStyle w:val="ListBullet"/>
            </w:pPr>
            <w:r w:rsidRPr="00816B81">
              <w:t>Techniques in drawing valid conclusions from first observations</w:t>
            </w:r>
          </w:p>
          <w:p w:rsidR="00000000" w:rsidRPr="00816B81" w:rsidP="00816B81">
            <w:pPr>
              <w:pStyle w:val="ListBullet"/>
            </w:pPr>
            <w:r w:rsidRPr="00816B81">
              <w:t>Concepts of broad first-line testing</w:t>
            </w:r>
          </w:p>
          <w:p w:rsidR="00000000" w:rsidRPr="00816B81" w:rsidP="00816B81">
            <w:pPr>
              <w:pStyle w:val="ListBullet"/>
            </w:pPr>
            <w:r w:rsidRPr="00816B81">
              <w:t>Consideration of/responsibility for, avoidance of further damage</w:t>
            </w:r>
          </w:p>
          <w:p w:rsidR="00000000" w:rsidRPr="00816B81" w:rsidP="00816B81">
            <w:pPr>
              <w:pStyle w:val="ListBullet"/>
            </w:pPr>
            <w:r w:rsidRPr="00816B81">
              <w:t>Interpretation of specific test results: cause/effect</w:t>
            </w:r>
          </w:p>
          <w:p w:rsidR="00000000" w:rsidRPr="00816B81" w:rsidP="00816B81">
            <w:pPr>
              <w:pStyle w:val="ListBullet"/>
            </w:pPr>
            <w:r w:rsidRPr="00816B81">
              <w:t>Techniques for isolation to appropri</w:t>
            </w:r>
            <w:r w:rsidRPr="00816B81">
              <w:t>ate level - half-split, module/function isolation (kernel technique), substitution, diagnostic software, requirements for the use of manuals, system diagrams/plans, drawings, handbooks, specifications and fault pathways.</w:t>
            </w:r>
          </w:p>
          <w:p w:rsidR="00000000" w:rsidRPr="00816B81" w:rsidP="00816B81">
            <w:pPr>
              <w:pStyle w:val="ListBullet"/>
            </w:pPr>
            <w:r w:rsidRPr="00816B81">
              <w:t>Software/firmware functions awarene</w:t>
            </w:r>
            <w:r w:rsidRPr="00816B81">
              <w:t>ss</w:t>
            </w:r>
          </w:p>
          <w:p w:rsidR="00000000" w:rsidRPr="00816B81" w:rsidP="00816B81">
            <w:pPr>
              <w:pStyle w:val="ListBullet"/>
            </w:pPr>
            <w:r w:rsidRPr="00816B81">
              <w:t>Factors affecting field versus workshop repair costs</w:t>
            </w:r>
          </w:p>
          <w:p w:rsidR="00000000" w:rsidRPr="00816B81" w:rsidP="00816B81">
            <w:pPr>
              <w:pStyle w:val="ListBullet"/>
            </w:pPr>
            <w:r w:rsidRPr="00816B81">
              <w:t>Scheduling minor/major repair activities, downtime</w:t>
            </w:r>
          </w:p>
          <w:p w:rsidR="00000000" w:rsidRPr="00816B81" w:rsidP="00816B81">
            <w:pPr>
              <w:pStyle w:val="ListBullet"/>
            </w:pPr>
            <w:r w:rsidRPr="00816B81">
              <w:t>Implications of temporary repairs</w:t>
            </w:r>
          </w:p>
          <w:p w:rsidR="00000000" w:rsidRPr="00816B81" w:rsidP="00816B81">
            <w:pPr>
              <w:pStyle w:val="ListBullet"/>
            </w:pPr>
            <w:r w:rsidRPr="00816B81">
              <w:t>Use of system knowledge and history</w:t>
            </w:r>
          </w:p>
          <w:p w:rsidR="00000000" w:rsidRPr="00816B81" w:rsidP="00816B81">
            <w:pPr>
              <w:pStyle w:val="ListBullet"/>
            </w:pPr>
            <w:r w:rsidRPr="00816B81">
              <w:t>Data interpretation, expected versus actual</w:t>
            </w:r>
          </w:p>
          <w:p w:rsidR="00000000" w:rsidRPr="00816B81" w:rsidP="00816B81">
            <w:pPr>
              <w:pStyle w:val="ListBullet"/>
            </w:pPr>
            <w:r w:rsidRPr="00816B81">
              <w:t>Feedback to design/production/insta</w:t>
            </w:r>
            <w:r w:rsidRPr="00816B81">
              <w:t>llation processes</w:t>
            </w:r>
          </w:p>
          <w:p w:rsidR="00000000" w:rsidRPr="00816B81" w:rsidP="00816B81">
            <w:pPr>
              <w:pStyle w:val="ListBullet"/>
            </w:pPr>
            <w:r w:rsidRPr="00816B81">
              <w:t>Subsystems and system structures</w:t>
            </w:r>
          </w:p>
          <w:p w:rsidR="00000000" w:rsidRPr="00816B81" w:rsidP="00816B81">
            <w:pPr>
              <w:pStyle w:val="ListBullet"/>
            </w:pPr>
            <w:r w:rsidRPr="00816B81">
              <w:t>System signals/status indicators</w:t>
            </w:r>
          </w:p>
          <w:p w:rsidR="00000000" w:rsidRPr="00816B81" w:rsidP="00816B81">
            <w:pPr>
              <w:pStyle w:val="ListBullet"/>
            </w:pPr>
            <w:r w:rsidRPr="00816B81">
              <w:t>Known failure modes and trends</w:t>
            </w:r>
          </w:p>
          <w:p w:rsidR="00000000" w:rsidRPr="00816B81" w:rsidP="00816B81">
            <w:pPr>
              <w:pStyle w:val="ListBullet"/>
            </w:pPr>
            <w:r w:rsidRPr="00816B81">
              <w:t>Action threshold warnings versus catastrophic failure</w:t>
            </w:r>
          </w:p>
          <w:p w:rsidR="00000000" w:rsidRPr="00816B81" w:rsidP="00816B81">
            <w:pPr>
              <w:pStyle w:val="ListBullet"/>
            </w:pPr>
            <w:r w:rsidRPr="00816B81">
              <w:t>Component ratings/upgrades</w:t>
            </w:r>
          </w:p>
          <w:p w:rsidR="00000000" w:rsidRPr="00816B81" w:rsidP="00816B81">
            <w:pPr>
              <w:pStyle w:val="ListBullet"/>
            </w:pPr>
            <w:r w:rsidRPr="00816B81">
              <w:t>Disassembly/reassembly techniques and care</w:t>
            </w:r>
          </w:p>
          <w:p w:rsidR="00000000" w:rsidRPr="00816B81" w:rsidP="00816B81">
            <w:pPr>
              <w:pStyle w:val="ListBullet"/>
            </w:pPr>
            <w:r w:rsidRPr="00816B81">
              <w:t>Relative costs of</w:t>
            </w:r>
            <w:r w:rsidRPr="00816B81">
              <w:t xml:space="preserve"> repair and replacement - remaining life, ongoing maintenance, additional benefits of replacement equipment, e.g. improved productivity, quality.</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10" w:name="O_464433"/>
      <w:bookmarkEnd w:id="10"/>
      <w:r w:rsidRPr="00816B81">
        <w:t>Evidence Guide</w:t>
      </w:r>
    </w:p>
    <w:tbl>
      <w:tblPr>
        <w:tblW w:w="0" w:type="auto"/>
        <w:tblLayout w:type="fixed"/>
        <w:tblCellMar>
          <w:left w:w="62" w:type="dxa"/>
          <w:right w:w="62" w:type="dxa"/>
        </w:tblCellMar>
        <w:tblLook w:val="0000"/>
      </w:tblPr>
      <w:tblGrid>
        <w:gridCol w:w="8460"/>
      </w:tblGrid>
      <w:tr w:rsidTr="00C96A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EVIDENCE GUIDE</w:t>
            </w:r>
          </w:p>
        </w:tc>
      </w:tr>
      <w:tr w:rsidTr="00C96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9)</w:t>
            </w:r>
            <w:r w:rsidRPr="00816B81">
              <w:t xml:space="preserve"> This provides essential advice for assessmen</w:t>
            </w:r>
            <w:r w:rsidRPr="00816B81">
              <w:t>t of the unit of competency and must be read in conjunction with the Performance Criteria and the Range Statement of the unit of competency and the Training Package Assessment Guidelines.</w:t>
            </w:r>
          </w:p>
          <w:p w:rsidR="00000000" w:rsidRPr="00816B81" w:rsidP="00816B81">
            <w:pPr>
              <w:pStyle w:val="BodyText"/>
            </w:pPr>
            <w:r w:rsidRPr="00816B81">
              <w:t>The Evidence Guide forms an integral part of this Competency Standar</w:t>
            </w:r>
            <w:r w:rsidRPr="00816B81">
              <w:t>d Unit and shall be used in conjunction with all component parts of this unit and, performed in accordance with the Assessment Guidelines of this Training Package.</w:t>
            </w:r>
          </w:p>
        </w:tc>
      </w:tr>
    </w:tbl>
    <w:p w:rsidR="00000000" w:rsidRPr="00816B81" w:rsidP="00816B81">
      <w:pPr>
        <w:pStyle w:val="BodyText"/>
      </w:pPr>
    </w:p>
    <w:tbl>
      <w:tblPr>
        <w:tblW w:w="0" w:type="auto"/>
        <w:tblLayout w:type="fixed"/>
        <w:tblCellMar>
          <w:left w:w="62" w:type="dxa"/>
          <w:right w:w="62" w:type="dxa"/>
        </w:tblCellMar>
        <w:tblLook w:val="0000"/>
      </w:tblPr>
      <w:tblGrid>
        <w:gridCol w:w="1890"/>
        <w:gridCol w:w="6570"/>
      </w:tblGrid>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9.1)</w:t>
            </w:r>
          </w:p>
        </w:tc>
      </w:tr>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Longitudinal competency development approaches to assessment, such as Profiling, require data to be reliably gathered in a form that can be consistently interpreted over time. This approach is best utilised in Apprenticeship programs and reduces assessment</w:t>
            </w:r>
            <w:r w:rsidRPr="00816B8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16B81">
              <w:t>tency in a realistically simulated work environment. It is recognised that, in some circumstances, assessment in part or full can occur outside the workplace. However, it must be in accord with Industry and, Regulatory policy in this regard.</w:t>
            </w:r>
          </w:p>
          <w:p w:rsidR="00000000" w:rsidRPr="00816B81" w:rsidP="00816B81">
            <w:pPr>
              <w:pStyle w:val="BodyText"/>
            </w:pPr>
            <w:r w:rsidRPr="00816B81">
              <w:t>Methods chosen</w:t>
            </w:r>
            <w:r w:rsidRPr="00816B8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816B81">
              <w:t>equired and the critical nature of the competencies being assessed.</w:t>
            </w:r>
          </w:p>
          <w:p w:rsidR="00000000" w:rsidRPr="00816B81" w:rsidP="00816B81">
            <w:pPr>
              <w:pStyle w:val="BodyText"/>
            </w:pPr>
            <w:r w:rsidRPr="00816B81">
              <w:t>The critical safety nature of working with electricity, electrical equipment, gas or any other hazardous substance/material carries risk in deeming a person competent. Hence, sources of ev</w:t>
            </w:r>
            <w:r w:rsidRPr="00816B81">
              <w:t>idence need to be ‘rich’ in nature so as to minimise error in judgment.</w:t>
            </w:r>
          </w:p>
          <w:p w:rsidR="00000000" w:rsidRPr="00816B81" w:rsidP="00816B81">
            <w:pPr>
              <w:pStyle w:val="BodyText"/>
            </w:pPr>
            <w:r w:rsidRPr="00816B81">
              <w:t>Activities associated with normal every day work have a bearing on the decision as to how much and how detailed the data gathered will contribute to its ‘richness’. Some skills are mor</w:t>
            </w:r>
            <w:r w:rsidRPr="00816B81">
              <w:t>e critical to safety and operational requirements while the same skills may be more or less frequently practiced. These points are raised for the assessors to consider when choosing an assessment method and developing assessment instruments. Sample assessm</w:t>
            </w:r>
            <w:r w:rsidRPr="00816B81">
              <w:t>ent instruments are included for Assessors in the Assessment Guidelines of this Training Package.</w:t>
            </w:r>
          </w:p>
        </w:tc>
      </w:tr>
    </w:tbl>
    <w:p w:rsidR="00000000" w:rsidRPr="00816B81" w:rsidP="00816B8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9.2)</w:t>
            </w:r>
          </w:p>
        </w:tc>
      </w:tr>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Before the critical aspects of evidence are considered all prerequisi</w:t>
            </w:r>
            <w:r w:rsidRPr="00816B81">
              <w:t>tes shall be met.</w:t>
            </w:r>
          </w:p>
          <w:p w:rsidR="00000000" w:rsidRPr="00816B81" w:rsidP="00816B81">
            <w:pPr>
              <w:pStyle w:val="BodyText"/>
            </w:pPr>
            <w:r w:rsidRPr="00816B81">
              <w:t xml:space="preserve">Evidence for competence in this unit shall be considered holistically. Each element and associated Performance Criteria shall be demonstrated on at least two occasions in accordance with the “Assessment Guidelines – UET12”. Evidence </w:t>
            </w:r>
            <w:r w:rsidRPr="00816B81">
              <w:t>shall also comprise:</w:t>
            </w:r>
          </w:p>
          <w:p w:rsidR="00000000" w:rsidRPr="00816B81" w:rsidP="00816B81">
            <w:pPr>
              <w:pStyle w:val="ListBullet"/>
            </w:pPr>
            <w:r w:rsidRPr="00816B81">
              <w:t>A representative body of Performance Criteria demonstrated within the timeframes typically expected of the discipline, work function and industrial environment. In particular this shall incorporate evidence that shows a candidate is a</w:t>
            </w:r>
            <w:r w:rsidRPr="00816B81">
              <w:t>ble to:</w:t>
            </w:r>
          </w:p>
          <w:p w:rsidR="00000000" w:rsidRPr="00816B81" w:rsidP="00816B81">
            <w:pPr>
              <w:pStyle w:val="ListBullet2"/>
            </w:pPr>
            <w:r w:rsidRPr="00816B81">
              <w:t>Implement Occupational Health and Safety workplace procedures and practices including the use of risk control measures as specified in the Performance Criteria and range; and</w:t>
            </w:r>
          </w:p>
          <w:p w:rsidR="00000000" w:rsidRPr="00816B81" w:rsidP="00816B81">
            <w:pPr>
              <w:pStyle w:val="ListBullet2"/>
            </w:pPr>
            <w:r w:rsidRPr="00816B81">
              <w:t>Apply sustainable energy principles and practices as specified in the Pe</w:t>
            </w:r>
            <w:r w:rsidRPr="00816B81">
              <w:t>rformance Criteria and range; and</w:t>
            </w:r>
          </w:p>
          <w:p w:rsidR="00000000" w:rsidRPr="00816B81" w:rsidP="00816B81">
            <w:pPr>
              <w:pStyle w:val="ListBullet2"/>
            </w:pPr>
            <w:r w:rsidRPr="00816B81">
              <w:t>Demonstrate an understanding of the essential knowledge and associated skills as described in this unit to such an extent that the learner’s performance outcome is reported in accordance with the preferred approach; namely</w:t>
            </w:r>
            <w:r w:rsidRPr="00816B81">
              <w:t xml:space="preserve"> a percentile graded result, where required by the regulated environment; and</w:t>
            </w:r>
          </w:p>
          <w:p w:rsidR="00000000" w:rsidRPr="00816B81" w:rsidP="00816B81">
            <w:pPr>
              <w:pStyle w:val="ListBullet2"/>
            </w:pPr>
            <w:r w:rsidRPr="00816B81">
              <w:t>Demonstrate an appropriate level of employability skills; and</w:t>
            </w:r>
          </w:p>
          <w:p w:rsidR="00000000" w:rsidRPr="00816B81" w:rsidP="00816B81">
            <w:pPr>
              <w:pStyle w:val="ListBullet"/>
            </w:pPr>
            <w:r w:rsidRPr="00816B81">
              <w:t>Conduct work observing the relevant Anti discrimination legislation, regulations, policies and workplace procedures</w:t>
            </w:r>
            <w:r w:rsidRPr="00816B81">
              <w:t>; and</w:t>
            </w:r>
          </w:p>
          <w:p w:rsidR="00000000" w:rsidP="00816B81">
            <w:pPr>
              <w:pStyle w:val="ListBullet2"/>
              <w:rPr>
                <w:lang w:val="en-NZ"/>
              </w:rPr>
            </w:pPr>
            <w:r w:rsidRPr="00816B81">
              <w:t>Demonstrated performance across a representative range of contexts from the prescribed items below:</w:t>
            </w:r>
          </w:p>
        </w:tc>
      </w:tr>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16B8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B81">
            <w:pPr>
              <w:pStyle w:val="BodyText"/>
              <w:rPr>
                <w:lang w:val="en-NZ"/>
              </w:rPr>
            </w:pPr>
            <w:r w:rsidRPr="00816B81">
              <w:rPr>
                <w:rStyle w:val="SpecialBold"/>
              </w:rPr>
              <w:t>Range of tools/equipment/materials/procedures/workplaces/other variables</w:t>
            </w:r>
          </w:p>
        </w:tc>
      </w:tr>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816B8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B81" w:rsidP="00816B81">
            <w:pPr>
              <w:pStyle w:val="BodyText"/>
            </w:pPr>
            <w:r w:rsidRPr="00816B8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B81" w:rsidP="00816B81">
            <w:pPr>
              <w:pStyle w:val="BodyText"/>
            </w:pPr>
            <w:r w:rsidRPr="00816B8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B81">
            <w:pPr>
              <w:pStyle w:val="BodyText"/>
              <w:rPr>
                <w:lang w:val="en-NZ"/>
              </w:rPr>
            </w:pPr>
            <w:r w:rsidRPr="00816B81">
              <w:rPr>
                <w:rStyle w:val="SpecialBold"/>
              </w:rPr>
              <w:t>Item List</w:t>
            </w:r>
          </w:p>
        </w:tc>
      </w:tr>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B81">
            <w:pPr>
              <w:pStyle w:val="BodyText"/>
              <w:rPr>
                <w:lang w:val="en-NZ"/>
              </w:rPr>
            </w:pPr>
            <w:r w:rsidRPr="00816B8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B81">
            <w:pPr>
              <w:pStyle w:val="BodyText"/>
              <w:rPr>
                <w:lang w:val="en-NZ"/>
              </w:rPr>
            </w:pPr>
            <w:r w:rsidRPr="00816B81">
              <w:t>Demonstrate, on at least three (3) occasions, testing accuracy to established plans of at least three (3) schemes using the following equipment: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B81" w:rsidP="00816B81">
            <w:pPr>
              <w:pStyle w:val="BodyText"/>
            </w:pPr>
            <w:r w:rsidRPr="00816B81">
              <w:t>Ammeter</w:t>
            </w:r>
          </w:p>
          <w:p w:rsidR="00000000" w:rsidRPr="00816B81" w:rsidP="00816B81">
            <w:pPr>
              <w:pStyle w:val="BodyText"/>
            </w:pPr>
            <w:r w:rsidRPr="00816B81">
              <w:t>Voltmeter</w:t>
            </w:r>
          </w:p>
          <w:p w:rsidR="00000000" w:rsidRPr="00816B81" w:rsidP="00816B81">
            <w:pPr>
              <w:pStyle w:val="BodyText"/>
            </w:pPr>
            <w:r w:rsidRPr="00816B81">
              <w:t>Wattmeter</w:t>
            </w:r>
          </w:p>
          <w:p w:rsidR="00000000" w:rsidRPr="00816B81" w:rsidP="00816B81">
            <w:pPr>
              <w:pStyle w:val="BodyText"/>
            </w:pPr>
            <w:r w:rsidRPr="00816B81">
              <w:t>VAR meter</w:t>
            </w:r>
          </w:p>
          <w:p w:rsidR="00000000" w:rsidRPr="00816B81" w:rsidP="00816B81">
            <w:pPr>
              <w:pStyle w:val="BodyText"/>
            </w:pPr>
            <w:r w:rsidRPr="00816B81">
              <w:t>Energy meter*</w:t>
            </w:r>
          </w:p>
          <w:p w:rsidR="00000000" w:rsidP="00816B81">
            <w:pPr>
              <w:pStyle w:val="BodyText"/>
              <w:rPr>
                <w:lang w:val="en-NZ"/>
              </w:rPr>
            </w:pPr>
            <w:r w:rsidRPr="00816B81">
              <w:t>(*Must do)</w:t>
            </w:r>
          </w:p>
        </w:tc>
      </w:tr>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B81">
            <w:pPr>
              <w:pStyle w:val="BodyText"/>
              <w:rPr>
                <w:lang w:val="en-NZ"/>
              </w:rPr>
            </w:pPr>
            <w:r w:rsidRPr="00816B8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6B81">
            <w:pPr>
              <w:pStyle w:val="BodyText"/>
              <w:rPr>
                <w:lang w:val="en-NZ"/>
              </w:rPr>
            </w:pPr>
            <w:r w:rsidRPr="00816B8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6B81" w:rsidP="00816B81">
            <w:pPr>
              <w:pStyle w:val="BodyText"/>
            </w:pPr>
            <w:r w:rsidRPr="00816B81">
              <w:t>Dealing with an unplanned event by drawing on essential knowledge and associated skills to provide appropriate solutions incorporated in the holistic assessment with the above listed items.</w:t>
            </w:r>
          </w:p>
        </w:tc>
      </w:tr>
    </w:tbl>
    <w:p w:rsidR="00000000" w:rsidRPr="00816B81" w:rsidP="00816B81">
      <w:pPr>
        <w:pStyle w:val="BodyText"/>
      </w:pPr>
    </w:p>
    <w:tbl>
      <w:tblPr>
        <w:tblW w:w="0" w:type="auto"/>
        <w:tblLayout w:type="fixed"/>
        <w:tblCellMar>
          <w:left w:w="62" w:type="dxa"/>
          <w:right w:w="62" w:type="dxa"/>
        </w:tblCellMar>
        <w:tblLook w:val="0000"/>
      </w:tblPr>
      <w:tblGrid>
        <w:gridCol w:w="1890"/>
        <w:gridCol w:w="6570"/>
      </w:tblGrid>
      <w:tr w:rsidTr="00C96AA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Co</w:t>
            </w:r>
            <w:r w:rsidRPr="00816B81">
              <w:rPr>
                <w:rStyle w:val="SpecialBold"/>
              </w:rPr>
              <w:t>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9.3)</w:t>
            </w:r>
          </w:p>
        </w:tc>
      </w:tr>
      <w:tr w:rsidTr="00C96AA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This unit should be assessed as it relates to normal work practice using procedures, information and resources typical of a workplace. This should include:</w:t>
            </w:r>
          </w:p>
          <w:p w:rsidR="00000000" w:rsidRPr="00816B81" w:rsidP="00816B81">
            <w:pPr>
              <w:pStyle w:val="ListBullet"/>
            </w:pPr>
            <w:r w:rsidRPr="00816B81">
              <w:t>OHS policy and work procedures and instructions.</w:t>
            </w:r>
          </w:p>
          <w:p w:rsidR="00000000" w:rsidRPr="00816B81" w:rsidP="00816B81">
            <w:pPr>
              <w:pStyle w:val="ListBullet"/>
            </w:pPr>
            <w:r w:rsidRPr="00816B81">
              <w:t>Suitable work environment, facilities, equipment and materials to undertake actual testing and maintenance of metering schemes.</w:t>
            </w:r>
          </w:p>
          <w:p w:rsidR="00000000" w:rsidRPr="00816B81" w:rsidP="00816B81">
            <w:pPr>
              <w:pStyle w:val="ListBullet"/>
            </w:pPr>
            <w:r w:rsidRPr="00816B81">
              <w:t>Operational access to relevant plant, protection equipment, scheme drawings and</w:t>
            </w:r>
            <w:r w:rsidRPr="00816B81">
              <w:t xml:space="preserve"> specialised testing equipment.</w:t>
            </w:r>
          </w:p>
          <w:p w:rsidR="00000000" w:rsidRPr="00816B81" w:rsidP="00816B81">
            <w:pPr>
              <w:pStyle w:val="BodyText"/>
            </w:pPr>
            <w:r w:rsidRPr="00816B81">
              <w:t>In addition to the resources listed above, in Context of and specific resources for assessment, evidence should show demonstrated competency working in realistic environment and a variety of conditions.</w:t>
            </w:r>
          </w:p>
        </w:tc>
      </w:tr>
    </w:tbl>
    <w:p w:rsidR="00000000" w:rsidRPr="00816B81" w:rsidP="00816B81">
      <w:pPr>
        <w:pStyle w:val="BodyText"/>
      </w:pPr>
    </w:p>
    <w:tbl>
      <w:tblPr>
        <w:tblW w:w="0" w:type="auto"/>
        <w:tblLayout w:type="fixed"/>
        <w:tblCellMar>
          <w:left w:w="62" w:type="dxa"/>
          <w:right w:w="62" w:type="dxa"/>
        </w:tblCellMar>
        <w:tblLook w:val="0000"/>
      </w:tblPr>
      <w:tblGrid>
        <w:gridCol w:w="1890"/>
        <w:gridCol w:w="6570"/>
      </w:tblGrid>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9.4)</w:t>
            </w:r>
          </w:p>
        </w:tc>
      </w:tr>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This Competency Standard Unit shall be assessed by methods given in Volume 1, Part 3 “Assessment Guidelines”.</w:t>
            </w:r>
          </w:p>
          <w:p w:rsidR="00000000" w:rsidRPr="00816B81" w:rsidP="00816B81">
            <w:pPr>
              <w:pStyle w:val="BodyText"/>
            </w:pPr>
            <w:r w:rsidRPr="00816B81">
              <w:t>Note:</w:t>
            </w:r>
          </w:p>
          <w:p w:rsidR="00000000" w:rsidRPr="00816B81" w:rsidP="00816B81">
            <w:pPr>
              <w:pStyle w:val="BodyText"/>
            </w:pPr>
            <w:r w:rsidRPr="00816B81">
              <w:t>Competent performance with inherent safe working practices is expected in the Transmission, Distribution and Rai</w:t>
            </w:r>
            <w:r w:rsidRPr="00816B81">
              <w:t>l Traction Industry. This requires that the specified essential knowledge and associated skills are assessed in a structured environment which is primarily intended for learning/assessment and incorporates all necessary equipment and facilities for learner</w:t>
            </w:r>
            <w:r w:rsidRPr="00816B81">
              <w:t>s to develop and demonstrate the essential knowledge and associated skills described in this unit.</w:t>
            </w:r>
          </w:p>
        </w:tc>
      </w:tr>
    </w:tbl>
    <w:p w:rsidR="00000000" w:rsidRPr="00816B81" w:rsidP="00816B81">
      <w:pPr>
        <w:pStyle w:val="BodyText"/>
      </w:pPr>
    </w:p>
    <w:tbl>
      <w:tblPr>
        <w:tblW w:w="0" w:type="auto"/>
        <w:tblLayout w:type="fixed"/>
        <w:tblCellMar>
          <w:left w:w="62" w:type="dxa"/>
          <w:right w:w="62" w:type="dxa"/>
        </w:tblCellMar>
        <w:tblLook w:val="0000"/>
      </w:tblPr>
      <w:tblGrid>
        <w:gridCol w:w="1890"/>
        <w:gridCol w:w="6570"/>
      </w:tblGrid>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9.5)</w:t>
            </w:r>
          </w:p>
        </w:tc>
      </w:tr>
      <w:tr w:rsidTr="00C96AA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There are no concurrent assessment recommendations for this unit.</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11" w:name="O_464437"/>
      <w:bookmarkEnd w:id="11"/>
      <w:r w:rsidRPr="00816B81">
        <w:t>Range Statement</w:t>
      </w:r>
    </w:p>
    <w:tbl>
      <w:tblPr>
        <w:tblW w:w="0" w:type="auto"/>
        <w:tblLayout w:type="fixed"/>
        <w:tblCellMar>
          <w:left w:w="62" w:type="dxa"/>
          <w:right w:w="62" w:type="dxa"/>
        </w:tblCellMar>
        <w:tblLook w:val="0000"/>
      </w:tblPr>
      <w:tblGrid>
        <w:gridCol w:w="8460"/>
      </w:tblGrid>
      <w:tr w:rsidTr="00C96AA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RANGE STATEMENT</w:t>
            </w:r>
          </w:p>
        </w:tc>
      </w:tr>
      <w:tr w:rsidTr="00C96AA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10)</w:t>
            </w:r>
            <w:r w:rsidRPr="00816B81">
              <w:t xml:space="preserve"> This relates to the unit of competency as a whole providing the range of contexts and conditions to which the Performance Criteria apply. It allows for different work environments and situations that will affect perform</w:t>
            </w:r>
            <w:r w:rsidRPr="00816B81">
              <w:t>ance.</w:t>
            </w:r>
          </w:p>
          <w:p w:rsidR="00000000" w:rsidRPr="00816B81" w:rsidP="00816B81">
            <w:pPr>
              <w:pStyle w:val="BodyText"/>
            </w:pPr>
            <w:r w:rsidRPr="00816B81">
              <w:t>This Competency Standard Unit shall be demonstrated in relation to the testing and maintenance of metering schemes may include the following:</w:t>
            </w:r>
          </w:p>
          <w:p w:rsidR="00000000" w:rsidRPr="00816B81" w:rsidP="00816B81">
            <w:pPr>
              <w:pStyle w:val="BodyText"/>
            </w:pPr>
            <w:r w:rsidRPr="00816B81">
              <w:t xml:space="preserve">Isolation, functional checks, inspection, monitoring, testing, adjustment, and repair, refurbishment and or </w:t>
            </w:r>
            <w:r w:rsidRPr="00816B81">
              <w:t>overhaul procedures on schemes including ammeters, voltmeters, wattmeters, VAR meters and energy metering.</w:t>
            </w:r>
          </w:p>
          <w:p w:rsidR="00000000" w:rsidRPr="00816B81" w:rsidP="00816B81">
            <w:pPr>
              <w:pStyle w:val="BodyText"/>
            </w:pPr>
            <w:r w:rsidRPr="00816B81">
              <w:t>The following constants and variables included in the element/Performance Criteria in this unit are fully described in the Definitions Section 1 of t</w:t>
            </w:r>
            <w:r w:rsidRPr="00816B81">
              <w:t>his volume and form an integral part of the Range Statement of this unit:</w:t>
            </w:r>
          </w:p>
          <w:p w:rsidR="00000000" w:rsidRPr="00816B81" w:rsidP="00816B81">
            <w:pPr>
              <w:pStyle w:val="ListBullet3"/>
            </w:pPr>
            <w:r w:rsidRPr="00816B81">
              <w:t>Appropriate and relevant persons (see Personnel)</w:t>
            </w:r>
          </w:p>
          <w:p w:rsidR="00000000" w:rsidRPr="00816B81" w:rsidP="00816B81">
            <w:pPr>
              <w:pStyle w:val="ListBullet3"/>
            </w:pPr>
            <w:r w:rsidRPr="00816B81">
              <w:t>Appropriate authorities</w:t>
            </w:r>
          </w:p>
          <w:p w:rsidR="00000000" w:rsidRPr="00816B81" w:rsidP="00816B81">
            <w:pPr>
              <w:pStyle w:val="ListBullet3"/>
            </w:pPr>
            <w:r w:rsidRPr="00816B81">
              <w:t>Appropriate work platform</w:t>
            </w:r>
          </w:p>
          <w:p w:rsidR="00000000" w:rsidRPr="00816B81" w:rsidP="00816B81">
            <w:pPr>
              <w:pStyle w:val="ListBullet3"/>
            </w:pPr>
            <w:r w:rsidRPr="00816B81">
              <w:t>Assessing risk</w:t>
            </w:r>
          </w:p>
          <w:p w:rsidR="00000000" w:rsidRPr="00816B81" w:rsidP="00816B81">
            <w:pPr>
              <w:pStyle w:val="ListBullet3"/>
            </w:pPr>
            <w:r w:rsidRPr="00816B81">
              <w:t>Assessment</w:t>
            </w:r>
          </w:p>
          <w:p w:rsidR="00000000" w:rsidRPr="00816B81" w:rsidP="00816B81">
            <w:pPr>
              <w:pStyle w:val="ListBullet3"/>
            </w:pPr>
            <w:r w:rsidRPr="00816B81">
              <w:t>Authorisation</w:t>
            </w:r>
          </w:p>
          <w:p w:rsidR="00000000" w:rsidRPr="00816B81" w:rsidP="00816B81">
            <w:pPr>
              <w:pStyle w:val="ListBullet3"/>
            </w:pPr>
            <w:r w:rsidRPr="00816B81">
              <w:t>Confined space</w:t>
            </w:r>
          </w:p>
          <w:p w:rsidR="00000000" w:rsidRPr="00816B81" w:rsidP="00816B81">
            <w:pPr>
              <w:pStyle w:val="ListBullet3"/>
            </w:pPr>
            <w:r w:rsidRPr="00816B81">
              <w:t>Diagnostic, testing and restoration</w:t>
            </w:r>
          </w:p>
          <w:p w:rsidR="00000000" w:rsidRPr="00816B81" w:rsidP="00816B81">
            <w:pPr>
              <w:pStyle w:val="ListBullet3"/>
            </w:pPr>
            <w:r w:rsidRPr="00816B81">
              <w:t>Documenting detail work events, record keeping and or storage of information</w:t>
            </w:r>
          </w:p>
          <w:p w:rsidR="00000000" w:rsidRPr="00816B81" w:rsidP="00816B81">
            <w:pPr>
              <w:pStyle w:val="ListBullet3"/>
            </w:pPr>
            <w:r w:rsidRPr="00816B81">
              <w:t>Drawings and specifications</w:t>
            </w:r>
          </w:p>
          <w:p w:rsidR="00000000" w:rsidRPr="00816B81" w:rsidP="00816B81">
            <w:pPr>
              <w:pStyle w:val="ListBullet3"/>
            </w:pPr>
            <w:r w:rsidRPr="00816B81">
              <w:t>Emergency</w:t>
            </w:r>
          </w:p>
          <w:p w:rsidR="00000000" w:rsidRPr="00816B81" w:rsidP="00816B81">
            <w:pPr>
              <w:pStyle w:val="ListBullet3"/>
            </w:pPr>
            <w:r w:rsidRPr="00816B81">
              <w:t>Environmental and sustainable energy procedures</w:t>
            </w:r>
          </w:p>
          <w:p w:rsidR="00000000" w:rsidRPr="00816B81" w:rsidP="00816B81">
            <w:pPr>
              <w:pStyle w:val="ListBullet3"/>
            </w:pPr>
            <w:r w:rsidRPr="00816B81">
              <w:t>Environmental legislation</w:t>
            </w:r>
          </w:p>
          <w:p w:rsidR="00000000" w:rsidRPr="00816B81" w:rsidP="00816B81">
            <w:pPr>
              <w:pStyle w:val="ListBullet3"/>
            </w:pPr>
            <w:r w:rsidRPr="00816B81">
              <w:t>Environmental management docume</w:t>
            </w:r>
            <w:r w:rsidRPr="00816B81">
              <w:t>ntation</w:t>
            </w:r>
          </w:p>
          <w:p w:rsidR="00000000" w:rsidRPr="00816B81" w:rsidP="00816B81">
            <w:pPr>
              <w:pStyle w:val="ListBullet3"/>
            </w:pPr>
            <w:r w:rsidRPr="00816B81">
              <w:t>Established procedures</w:t>
            </w:r>
          </w:p>
          <w:p w:rsidR="00000000" w:rsidRPr="00816B81" w:rsidP="00816B81">
            <w:pPr>
              <w:pStyle w:val="ListBullet3"/>
            </w:pPr>
            <w:r w:rsidRPr="00816B81">
              <w:t>Fall prevention</w:t>
            </w:r>
          </w:p>
          <w:p w:rsidR="00000000" w:rsidRPr="00816B81" w:rsidP="00816B81">
            <w:pPr>
              <w:pStyle w:val="ListBullet3"/>
            </w:pPr>
            <w:r w:rsidRPr="00816B81">
              <w:t>Hazards</w:t>
            </w:r>
          </w:p>
          <w:p w:rsidR="00000000" w:rsidRPr="00816B81" w:rsidP="00816B81">
            <w:pPr>
              <w:pStyle w:val="ListBullet3"/>
            </w:pPr>
            <w:r w:rsidRPr="00816B81">
              <w:t>Identifying hazards</w:t>
            </w:r>
          </w:p>
          <w:p w:rsidR="00000000" w:rsidRPr="00816B81" w:rsidP="00816B81">
            <w:pPr>
              <w:pStyle w:val="ListBullet3"/>
            </w:pPr>
            <w:r w:rsidRPr="00816B81">
              <w:t>Inspect</w:t>
            </w:r>
          </w:p>
          <w:p w:rsidR="00000000" w:rsidRPr="00816B81" w:rsidP="00816B81">
            <w:pPr>
              <w:pStyle w:val="ListBullet3"/>
            </w:pPr>
            <w:r w:rsidRPr="00816B81">
              <w:t>Legislation</w:t>
            </w:r>
          </w:p>
          <w:p w:rsidR="00000000" w:rsidRPr="00816B81" w:rsidP="00816B81">
            <w:pPr>
              <w:pStyle w:val="ListBullet3"/>
            </w:pPr>
            <w:r w:rsidRPr="00816B81">
              <w:t>MSDS</w:t>
            </w:r>
          </w:p>
          <w:p w:rsidR="00000000" w:rsidRPr="00816B81" w:rsidP="00816B81">
            <w:pPr>
              <w:pStyle w:val="ListBullet3"/>
            </w:pPr>
            <w:r w:rsidRPr="00816B81">
              <w:t>Notification</w:t>
            </w:r>
          </w:p>
          <w:p w:rsidR="00000000" w:rsidRPr="00816B81" w:rsidP="00816B81">
            <w:pPr>
              <w:pStyle w:val="ListBullet3"/>
            </w:pPr>
            <w:r w:rsidRPr="00816B81">
              <w:t>OHS practices</w:t>
            </w:r>
          </w:p>
          <w:p w:rsidR="00000000" w:rsidRPr="00816B81" w:rsidP="00816B81">
            <w:pPr>
              <w:pStyle w:val="ListBullet3"/>
            </w:pPr>
            <w:r w:rsidRPr="00816B81">
              <w:t>OHS issues</w:t>
            </w:r>
          </w:p>
          <w:p w:rsidR="00000000" w:rsidRPr="00816B81" w:rsidP="00816B81">
            <w:pPr>
              <w:pStyle w:val="ListBullet3"/>
            </w:pPr>
            <w:r w:rsidRPr="00816B81">
              <w:t>Permits and/or permits to work</w:t>
            </w:r>
          </w:p>
          <w:p w:rsidR="00000000" w:rsidRPr="00816B81" w:rsidP="00816B81">
            <w:pPr>
              <w:pStyle w:val="ListBullet3"/>
            </w:pPr>
            <w:r w:rsidRPr="00816B81">
              <w:t>Personnel</w:t>
            </w:r>
          </w:p>
          <w:p w:rsidR="00000000" w:rsidRPr="00816B81" w:rsidP="00816B81">
            <w:pPr>
              <w:pStyle w:val="ListBullet3"/>
            </w:pPr>
            <w:r w:rsidRPr="00816B81">
              <w:t>Quality assurance systems</w:t>
            </w:r>
          </w:p>
          <w:p w:rsidR="00000000" w:rsidRPr="00816B81" w:rsidP="00816B81">
            <w:pPr>
              <w:pStyle w:val="ListBullet3"/>
            </w:pPr>
            <w:r w:rsidRPr="00816B81">
              <w:t>Requirements</w:t>
            </w:r>
          </w:p>
          <w:p w:rsidR="00000000" w:rsidRPr="00816B81" w:rsidP="00816B81">
            <w:pPr>
              <w:pStyle w:val="ListBullet3"/>
            </w:pPr>
            <w:r w:rsidRPr="00816B81">
              <w:t>Testing procedures</w:t>
            </w:r>
          </w:p>
          <w:p w:rsidR="00000000" w:rsidRPr="00816B81" w:rsidP="00816B81">
            <w:pPr>
              <w:pStyle w:val="ListBullet3"/>
            </w:pPr>
            <w:r w:rsidRPr="00816B81">
              <w:t>Work clearance systems</w:t>
            </w:r>
          </w:p>
        </w:tc>
      </w:tr>
    </w:tbl>
    <w:p w:rsidR="00000000" w:rsidRPr="00816B81" w:rsidP="00816B81">
      <w:pPr>
        <w:pStyle w:val="BodyText"/>
      </w:pPr>
    </w:p>
    <w:p w:rsidR="00000000" w:rsidRPr="00816B81" w:rsidP="00816B81">
      <w:pPr>
        <w:pStyle w:val="AllowPageBreak"/>
      </w:pPr>
    </w:p>
    <w:p w:rsidR="00000000" w:rsidRPr="00816B81" w:rsidP="00816B81">
      <w:pPr>
        <w:pStyle w:val="Heading1"/>
      </w:pPr>
      <w:bookmarkStart w:id="12" w:name="O_464441"/>
      <w:bookmarkEnd w:id="12"/>
      <w:r w:rsidRPr="00816B81">
        <w:t>Unit Sector(s)</w:t>
      </w:r>
    </w:p>
    <w:p w:rsidR="00000000" w:rsidRPr="00816B81" w:rsidP="00816B81">
      <w:pPr>
        <w:pStyle w:val="BodyText"/>
      </w:pPr>
      <w:r w:rsidRPr="00816B81">
        <w:t>Not applicable.</w:t>
      </w:r>
    </w:p>
    <w:p w:rsidR="00000000" w:rsidRPr="00816B81" w:rsidP="00816B81">
      <w:pPr>
        <w:pStyle w:val="AllowPageBreak"/>
      </w:pPr>
    </w:p>
    <w:p w:rsidR="00000000" w:rsidRPr="00816B81" w:rsidP="00816B81">
      <w:pPr>
        <w:pStyle w:val="Heading1"/>
      </w:pPr>
      <w:bookmarkStart w:id="13" w:name="O_464429"/>
      <w:bookmarkEnd w:id="13"/>
      <w:r w:rsidRPr="00816B81">
        <w:t>Competency Field</w:t>
      </w:r>
    </w:p>
    <w:tbl>
      <w:tblPr>
        <w:tblW w:w="0" w:type="auto"/>
        <w:tblLayout w:type="fixed"/>
        <w:tblCellMar>
          <w:left w:w="62" w:type="dxa"/>
          <w:right w:w="62" w:type="dxa"/>
        </w:tblCellMar>
        <w:tblLook w:val="0000"/>
      </w:tblPr>
      <w:tblGrid>
        <w:gridCol w:w="2700"/>
        <w:gridCol w:w="5760"/>
      </w:tblGrid>
      <w:tr w:rsidTr="00C96AA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16B81">
            <w:pPr>
              <w:pStyle w:val="BodyText"/>
              <w:rPr>
                <w:lang w:val="en-NZ"/>
              </w:rPr>
            </w:pPr>
            <w:r w:rsidRPr="00816B81">
              <w:rPr>
                <w:rStyle w:val="SpecialBold"/>
              </w:rPr>
              <w:t xml:space="preserve">11) </w:t>
            </w:r>
          </w:p>
        </w:tc>
      </w:tr>
      <w:tr w:rsidTr="00C96AA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6B81" w:rsidP="00816B81">
            <w:pPr>
              <w:pStyle w:val="BodyText"/>
            </w:pPr>
            <w:r w:rsidRPr="00816B81">
              <w:t>Testing Units</w:t>
            </w:r>
          </w:p>
        </w:tc>
      </w:tr>
    </w:tbl>
    <w:p w:rsidR="00000000" w:rsidRPr="00816B81" w:rsidP="00816B81">
      <w:pPr>
        <w:pStyle w:val="BodyText"/>
      </w:pPr>
    </w:p>
    <w:p w:rsidR="00000000" w:rsidRPr="00816B81" w:rsidP="00816B81"/>
    <w:sectPr w:rsidSect="00816B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AAD" w:rsidP="00C96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AD" w:rsidP="00816B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96AAD" w:rsidP="00816B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96AAD" w:rsidP="00816B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AAD" w:rsidP="00C96A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AD" w:rsidP="00816B81">
    <w:pPr>
      <w:pStyle w:val="Header"/>
      <w:framePr w:wrap="around"/>
    </w:pPr>
    <w:r>
      <w:fldChar w:fldCharType="begin"/>
    </w:r>
    <w:r>
      <w:instrText xml:space="preserve"> TITLE   \* MERGEFORMAT </w:instrText>
    </w:r>
    <w:r>
      <w:fldChar w:fldCharType="separate"/>
    </w:r>
    <w:r>
      <w:t>UETTDRTS25A Maintain and test and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6AAD" w:rsidP="00816B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0CF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1C0A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A0D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B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6B81"/>
    <w:pPr>
      <w:spacing w:before="360" w:after="60"/>
      <w:outlineLvl w:val="0"/>
    </w:pPr>
    <w:rPr>
      <w:sz w:val="32"/>
    </w:rPr>
  </w:style>
  <w:style w:type="paragraph" w:styleId="Heading2">
    <w:name w:val="heading 2"/>
    <w:basedOn w:val="HeadingBase"/>
    <w:next w:val="BodyText"/>
    <w:link w:val="Heading2Char"/>
    <w:qFormat/>
    <w:rsid w:val="00816B81"/>
    <w:pPr>
      <w:keepLines/>
      <w:spacing w:before="240" w:after="120"/>
      <w:outlineLvl w:val="1"/>
    </w:pPr>
    <w:rPr>
      <w:sz w:val="28"/>
      <w:szCs w:val="40"/>
    </w:rPr>
  </w:style>
  <w:style w:type="paragraph" w:styleId="Heading3">
    <w:name w:val="heading 3"/>
    <w:basedOn w:val="HeadingBase"/>
    <w:next w:val="BodyText"/>
    <w:link w:val="Heading3Char"/>
    <w:qFormat/>
    <w:rsid w:val="00816B81"/>
    <w:pPr>
      <w:spacing w:before="180" w:after="120"/>
      <w:outlineLvl w:val="2"/>
    </w:pPr>
    <w:rPr>
      <w:spacing w:val="-10"/>
      <w:kern w:val="32"/>
    </w:rPr>
  </w:style>
  <w:style w:type="paragraph" w:styleId="Heading4">
    <w:name w:val="heading 4"/>
    <w:basedOn w:val="HeadingBase"/>
    <w:next w:val="BodyText"/>
    <w:link w:val="Heading4Char"/>
    <w:qFormat/>
    <w:rsid w:val="00816B81"/>
    <w:pPr>
      <w:spacing w:before="160" w:after="120"/>
      <w:outlineLvl w:val="3"/>
    </w:pPr>
    <w:rPr>
      <w:sz w:val="22"/>
    </w:rPr>
  </w:style>
  <w:style w:type="paragraph" w:styleId="Heading5">
    <w:name w:val="heading 5"/>
    <w:basedOn w:val="HeadingBase"/>
    <w:next w:val="Normal"/>
    <w:link w:val="Heading5Char"/>
    <w:qFormat/>
    <w:rsid w:val="00816B81"/>
    <w:pPr>
      <w:spacing w:before="80"/>
      <w:outlineLvl w:val="4"/>
    </w:pPr>
    <w:rPr>
      <w:color w:val="918585"/>
      <w:sz w:val="20"/>
    </w:rPr>
  </w:style>
  <w:style w:type="paragraph" w:styleId="Heading6">
    <w:name w:val="heading 6"/>
    <w:basedOn w:val="HeadingBase"/>
    <w:next w:val="Normal"/>
    <w:link w:val="Heading6Char"/>
    <w:qFormat/>
    <w:rsid w:val="00816B81"/>
    <w:pPr>
      <w:spacing w:before="60"/>
      <w:outlineLvl w:val="5"/>
    </w:pPr>
    <w:rPr>
      <w:color w:val="918585"/>
      <w:sz w:val="20"/>
    </w:rPr>
  </w:style>
  <w:style w:type="paragraph" w:styleId="Heading7">
    <w:name w:val="heading 7"/>
    <w:basedOn w:val="Normal"/>
    <w:next w:val="Normal"/>
    <w:link w:val="Heading7Char"/>
    <w:qFormat/>
    <w:rsid w:val="00816B81"/>
    <w:pPr>
      <w:ind w:left="720"/>
      <w:outlineLvl w:val="6"/>
    </w:pPr>
    <w:rPr>
      <w:i/>
    </w:rPr>
  </w:style>
  <w:style w:type="paragraph" w:styleId="Heading8">
    <w:name w:val="heading 8"/>
    <w:basedOn w:val="Normal"/>
    <w:next w:val="Normal"/>
    <w:link w:val="Heading8Char"/>
    <w:qFormat/>
    <w:rsid w:val="00816B81"/>
    <w:pPr>
      <w:ind w:left="720"/>
      <w:outlineLvl w:val="7"/>
    </w:pPr>
    <w:rPr>
      <w:i/>
    </w:rPr>
  </w:style>
  <w:style w:type="paragraph" w:styleId="Heading9">
    <w:name w:val="heading 9"/>
    <w:basedOn w:val="Normal"/>
    <w:next w:val="Normal"/>
    <w:link w:val="Heading9Char"/>
    <w:qFormat/>
    <w:rsid w:val="00816B81"/>
    <w:pPr>
      <w:ind w:left="720"/>
      <w:outlineLvl w:val="8"/>
    </w:pPr>
    <w:rPr>
      <w:i/>
    </w:rPr>
  </w:style>
  <w:style w:type="character" w:default="1" w:styleId="DefaultParagraphFont">
    <w:name w:val="Default Paragraph Font"/>
    <w:uiPriority w:val="1"/>
    <w:unhideWhenUsed/>
    <w:rsid w:val="00816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B81"/>
  </w:style>
  <w:style w:type="character" w:customStyle="1" w:styleId="Heading1Char">
    <w:name w:val="Heading 1 Char"/>
    <w:basedOn w:val="DefaultParagraphFont"/>
    <w:link w:val="Heading1"/>
    <w:rsid w:val="00816B81"/>
    <w:rPr>
      <w:rFonts w:ascii="Times New Roman" w:eastAsia="Times New Roman" w:hAnsi="Times New Roman" w:cs="Times New Roman"/>
      <w:b/>
      <w:sz w:val="32"/>
      <w:szCs w:val="20"/>
      <w:lang w:eastAsia="en-US"/>
    </w:rPr>
  </w:style>
  <w:style w:type="paragraph" w:styleId="BodyText">
    <w:name w:val="Body Text"/>
    <w:basedOn w:val="Normal"/>
    <w:link w:val="BodyTextChar"/>
    <w:rsid w:val="00816B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6B81"/>
    <w:rPr>
      <w:rFonts w:ascii="Times New Roman" w:eastAsia="Times New Roman" w:hAnsi="Times New Roman" w:cs="Times New Roman"/>
      <w:sz w:val="24"/>
      <w:lang w:val="en-US" w:eastAsia="en-US"/>
    </w:rPr>
  </w:style>
  <w:style w:type="paragraph" w:styleId="Footer">
    <w:name w:val="footer"/>
    <w:basedOn w:val="Normal"/>
    <w:link w:val="FooterChar"/>
    <w:rsid w:val="00816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B81"/>
    <w:rPr>
      <w:rFonts w:ascii="Times New Roman" w:eastAsia="Times New Roman" w:hAnsi="Times New Roman" w:cs="Times New Roman"/>
      <w:sz w:val="16"/>
      <w:lang w:val="en-US" w:eastAsia="en-US"/>
    </w:rPr>
  </w:style>
  <w:style w:type="paragraph" w:styleId="ListBullet">
    <w:name w:val="List Bullet"/>
    <w:basedOn w:val="List"/>
    <w:rsid w:val="00816B81"/>
    <w:pPr>
      <w:numPr>
        <w:numId w:val="14"/>
      </w:numPr>
      <w:tabs>
        <w:tab w:val="clear" w:pos="340"/>
      </w:tabs>
      <w:spacing w:before="40" w:after="40"/>
    </w:pPr>
  </w:style>
  <w:style w:type="character" w:customStyle="1" w:styleId="SpecialBold">
    <w:name w:val="Special Bold"/>
    <w:basedOn w:val="DefaultParagraphFont"/>
    <w:rsid w:val="00816B81"/>
    <w:rPr>
      <w:b/>
      <w:spacing w:val="0"/>
    </w:rPr>
  </w:style>
  <w:style w:type="paragraph" w:styleId="ListBullet2">
    <w:name w:val="List Bullet 2"/>
    <w:basedOn w:val="List2"/>
    <w:rsid w:val="00816B81"/>
    <w:pPr>
      <w:numPr>
        <w:numId w:val="15"/>
      </w:numPr>
      <w:tabs>
        <w:tab w:val="clear" w:pos="680"/>
      </w:tabs>
    </w:pPr>
  </w:style>
  <w:style w:type="paragraph" w:styleId="Header">
    <w:name w:val="header"/>
    <w:basedOn w:val="Normal"/>
    <w:link w:val="HeaderChar"/>
    <w:rsid w:val="00816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B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6B81"/>
    <w:pPr>
      <w:spacing w:before="240" w:after="120"/>
      <w:outlineLvl w:val="0"/>
    </w:pPr>
    <w:rPr>
      <w:rFonts w:ascii="Times New Roman" w:hAnsi="Times New Roman"/>
      <w:b/>
      <w:sz w:val="28"/>
    </w:rPr>
  </w:style>
  <w:style w:type="paragraph" w:customStyle="1" w:styleId="AllowPageBreak">
    <w:name w:val="AllowPageBreak"/>
    <w:rsid w:val="00816B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6B81"/>
    <w:pPr>
      <w:numPr>
        <w:numId w:val="3"/>
      </w:numPr>
      <w:tabs>
        <w:tab w:val="clear" w:pos="1021"/>
      </w:tabs>
      <w:ind w:left="1037" w:hanging="357"/>
    </w:pPr>
  </w:style>
  <w:style w:type="character" w:customStyle="1" w:styleId="Heading2Char">
    <w:name w:val="Heading 2 Char"/>
    <w:basedOn w:val="DefaultParagraphFont"/>
    <w:link w:val="Heading2"/>
    <w:rsid w:val="00816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B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6B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6B81"/>
    <w:rPr>
      <w:rFonts w:ascii="Courier New" w:eastAsia="Times New Roman" w:hAnsi="Courier New" w:cs="Times New Roman"/>
      <w:i/>
      <w:szCs w:val="20"/>
      <w:lang w:val="en-US" w:eastAsia="en-US"/>
    </w:rPr>
  </w:style>
  <w:style w:type="paragraph" w:customStyle="1" w:styleId="HeadingBase">
    <w:name w:val="Heading Base"/>
    <w:rsid w:val="00816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B81"/>
    <w:pPr>
      <w:tabs>
        <w:tab w:val="right" w:leader="dot" w:pos="9072"/>
      </w:tabs>
      <w:ind w:left="567"/>
    </w:pPr>
    <w:rPr>
      <w:szCs w:val="22"/>
    </w:rPr>
  </w:style>
  <w:style w:type="paragraph" w:customStyle="1" w:styleId="TOCBase">
    <w:name w:val="TOC Base"/>
    <w:rsid w:val="00816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B81"/>
    <w:pPr>
      <w:tabs>
        <w:tab w:val="right" w:leader="dot" w:pos="9072"/>
      </w:tabs>
      <w:spacing w:before="40" w:after="40"/>
      <w:ind w:left="284"/>
    </w:pPr>
    <w:rPr>
      <w:rFonts w:ascii="Times New Roman" w:hAnsi="Times New Roman"/>
    </w:rPr>
  </w:style>
  <w:style w:type="paragraph" w:styleId="TOC1">
    <w:name w:val="toc 1"/>
    <w:basedOn w:val="TOCBase"/>
    <w:next w:val="Normal"/>
    <w:rsid w:val="00816B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6B81"/>
    <w:pPr>
      <w:spacing w:before="5040"/>
      <w:jc w:val="center"/>
    </w:pPr>
    <w:rPr>
      <w:sz w:val="48"/>
      <w:szCs w:val="72"/>
      <w:lang w:val="en-US"/>
    </w:rPr>
  </w:style>
  <w:style w:type="character" w:customStyle="1" w:styleId="TitleChar">
    <w:name w:val="Title Char"/>
    <w:basedOn w:val="DefaultParagraphFont"/>
    <w:link w:val="Title"/>
    <w:rsid w:val="00816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B81"/>
    <w:pPr>
      <w:tabs>
        <w:tab w:val="left" w:pos="3600"/>
        <w:tab w:val="left" w:pos="3958"/>
      </w:tabs>
    </w:pPr>
  </w:style>
  <w:style w:type="paragraph" w:styleId="List">
    <w:name w:val="List"/>
    <w:basedOn w:val="BodyText"/>
    <w:next w:val="BodyText"/>
    <w:rsid w:val="00816B81"/>
    <w:pPr>
      <w:tabs>
        <w:tab w:val="left" w:pos="340"/>
      </w:tabs>
      <w:spacing w:before="60" w:after="60"/>
      <w:ind w:left="340" w:hanging="340"/>
    </w:pPr>
  </w:style>
  <w:style w:type="paragraph" w:customStyle="1" w:styleId="Note">
    <w:name w:val="Note"/>
    <w:basedOn w:val="BodyText"/>
    <w:rsid w:val="00816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B81"/>
    <w:pPr>
      <w:framePr w:wrap="auto" w:hAnchor="text" w:y="6049"/>
    </w:pPr>
    <w:rPr>
      <w:color w:val="000000"/>
      <w:sz w:val="40"/>
    </w:rPr>
  </w:style>
  <w:style w:type="paragraph" w:customStyle="1" w:styleId="TOCTitle">
    <w:name w:val="TOCTitle"/>
    <w:basedOn w:val="Heading1"/>
    <w:rsid w:val="00816B81"/>
    <w:pPr>
      <w:spacing w:after="240"/>
      <w:jc w:val="center"/>
      <w:outlineLvl w:val="9"/>
    </w:pPr>
    <w:rPr>
      <w:caps/>
    </w:rPr>
  </w:style>
  <w:style w:type="paragraph" w:customStyle="1" w:styleId="Version">
    <w:name w:val="Version"/>
    <w:rsid w:val="00816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B81"/>
    <w:pPr>
      <w:keepNext w:val="0"/>
      <w:tabs>
        <w:tab w:val="right" w:pos="4176"/>
      </w:tabs>
      <w:ind w:left="198" w:hanging="198"/>
    </w:pPr>
    <w:rPr>
      <w:rFonts w:ascii="Garamond" w:hAnsi="Garamond"/>
    </w:rPr>
  </w:style>
  <w:style w:type="paragraph" w:styleId="IndexHeading">
    <w:name w:val="index heading"/>
    <w:basedOn w:val="Normal"/>
    <w:next w:val="Index1"/>
    <w:semiHidden/>
    <w:rsid w:val="00816B81"/>
    <w:pPr>
      <w:spacing w:before="120" w:after="120"/>
    </w:pPr>
    <w:rPr>
      <w:rFonts w:ascii="Arial" w:hAnsi="Arial"/>
      <w:b/>
      <w:color w:val="918585"/>
      <w:sz w:val="24"/>
    </w:rPr>
  </w:style>
  <w:style w:type="paragraph" w:customStyle="1" w:styleId="Chapter">
    <w:name w:val="Chapter"/>
    <w:basedOn w:val="Normal"/>
    <w:rsid w:val="00816B81"/>
    <w:pPr>
      <w:spacing w:before="240"/>
    </w:pPr>
    <w:rPr>
      <w:rFonts w:ascii="Times New Roman" w:hAnsi="Times New Roman"/>
      <w:smallCaps/>
      <w:spacing w:val="80"/>
      <w:sz w:val="28"/>
    </w:rPr>
  </w:style>
  <w:style w:type="paragraph" w:customStyle="1" w:styleId="InChapter">
    <w:name w:val="InChapter"/>
    <w:basedOn w:val="Heading3"/>
    <w:rsid w:val="00816B81"/>
    <w:pPr>
      <w:spacing w:after="240"/>
      <w:outlineLvl w:val="9"/>
    </w:pPr>
    <w:rPr>
      <w:noProof/>
    </w:rPr>
  </w:style>
  <w:style w:type="paragraph" w:styleId="Index2">
    <w:name w:val="index 2"/>
    <w:basedOn w:val="Normal"/>
    <w:next w:val="Normal"/>
    <w:semiHidden/>
    <w:rsid w:val="00816B81"/>
    <w:pPr>
      <w:tabs>
        <w:tab w:val="right" w:pos="4176"/>
      </w:tabs>
      <w:ind w:left="568" w:hanging="284"/>
    </w:pPr>
    <w:rPr>
      <w:rFonts w:ascii="Garamond" w:hAnsi="Garamond"/>
    </w:rPr>
  </w:style>
  <w:style w:type="paragraph" w:customStyle="1" w:styleId="Byline">
    <w:name w:val="Byline"/>
    <w:rsid w:val="00816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B81"/>
    <w:pPr>
      <w:tabs>
        <w:tab w:val="clear" w:pos="3600"/>
        <w:tab w:val="clear" w:pos="3958"/>
      </w:tabs>
      <w:jc w:val="right"/>
    </w:pPr>
  </w:style>
  <w:style w:type="character" w:styleId="Emphasis">
    <w:name w:val="Emphasis"/>
    <w:basedOn w:val="DefaultParagraphFont"/>
    <w:qFormat/>
    <w:rsid w:val="00816B81"/>
    <w:rPr>
      <w:i/>
    </w:rPr>
  </w:style>
  <w:style w:type="paragraph" w:styleId="Caption">
    <w:name w:val="caption"/>
    <w:basedOn w:val="BodyText"/>
    <w:next w:val="Normal"/>
    <w:qFormat/>
    <w:rsid w:val="00816B81"/>
    <w:pPr>
      <w:framePr w:w="2268" w:hSpace="181" w:vSpace="181" w:wrap="around" w:vAnchor="text" w:hAnchor="page" w:x="1135" w:y="285" w:anchorLock="1"/>
    </w:pPr>
    <w:rPr>
      <w:i/>
    </w:rPr>
  </w:style>
  <w:style w:type="paragraph" w:customStyle="1" w:styleId="MiniTOCTitle">
    <w:name w:val="MiniTOCTitle"/>
    <w:basedOn w:val="Heading4"/>
    <w:rsid w:val="00816B81"/>
    <w:pPr>
      <w:spacing w:before="240"/>
      <w:outlineLvl w:val="9"/>
    </w:pPr>
    <w:rPr>
      <w:noProof/>
      <w:sz w:val="24"/>
    </w:rPr>
  </w:style>
  <w:style w:type="paragraph" w:customStyle="1" w:styleId="MiniTOCItem">
    <w:name w:val="MiniTOCItem"/>
    <w:basedOn w:val="ListBullet"/>
    <w:rsid w:val="00816B81"/>
    <w:pPr>
      <w:numPr>
        <w:numId w:val="0"/>
      </w:numPr>
      <w:tabs>
        <w:tab w:val="right" w:leader="dot" w:pos="6521"/>
      </w:tabs>
      <w:spacing w:before="0" w:after="0"/>
    </w:pPr>
  </w:style>
  <w:style w:type="paragraph" w:customStyle="1" w:styleId="TOFTitle">
    <w:name w:val="TOFTitle"/>
    <w:basedOn w:val="TOCTitle"/>
    <w:rsid w:val="00816B81"/>
  </w:style>
  <w:style w:type="paragraph" w:styleId="TableofFigures">
    <w:name w:val="table of figures"/>
    <w:basedOn w:val="Normal"/>
    <w:next w:val="Normal"/>
    <w:semiHidden/>
    <w:rsid w:val="00816B81"/>
    <w:pPr>
      <w:tabs>
        <w:tab w:val="right" w:leader="dot" w:pos="9072"/>
      </w:tabs>
      <w:ind w:left="970" w:hanging="403"/>
    </w:pPr>
    <w:rPr>
      <w:rFonts w:ascii="Times New Roman" w:hAnsi="Times New Roman"/>
      <w:b/>
    </w:rPr>
  </w:style>
  <w:style w:type="paragraph" w:styleId="ListNumber">
    <w:name w:val="List Number"/>
    <w:basedOn w:val="List"/>
    <w:rsid w:val="00816B81"/>
    <w:pPr>
      <w:numPr>
        <w:numId w:val="12"/>
      </w:numPr>
    </w:pPr>
  </w:style>
  <w:style w:type="character" w:customStyle="1" w:styleId="WingdingSymbols">
    <w:name w:val="Wingding Symbols"/>
    <w:rsid w:val="00816B81"/>
    <w:rPr>
      <w:rFonts w:ascii="Wingdings" w:hAnsi="Wingdings"/>
    </w:rPr>
  </w:style>
  <w:style w:type="paragraph" w:customStyle="1" w:styleId="TableHeading">
    <w:name w:val="Table Heading"/>
    <w:basedOn w:val="HeadingBase"/>
    <w:rsid w:val="00816B81"/>
    <w:pPr>
      <w:keepLines/>
      <w:pBdr>
        <w:bottom w:val="single" w:sz="6" w:space="1" w:color="918585"/>
      </w:pBdr>
      <w:spacing w:before="240"/>
    </w:pPr>
  </w:style>
  <w:style w:type="character" w:customStyle="1" w:styleId="HotSpot">
    <w:name w:val="HotSpot"/>
    <w:rsid w:val="00816B81"/>
    <w:rPr>
      <w:color w:val="0033CC"/>
      <w:u w:val="none"/>
    </w:rPr>
  </w:style>
  <w:style w:type="paragraph" w:customStyle="1" w:styleId="BodyTextRight">
    <w:name w:val="Body Text Right"/>
    <w:basedOn w:val="BodyText"/>
    <w:rsid w:val="00816B81"/>
    <w:pPr>
      <w:spacing w:before="0" w:after="0"/>
      <w:jc w:val="right"/>
    </w:pPr>
  </w:style>
  <w:style w:type="paragraph" w:styleId="Index3">
    <w:name w:val="index 3"/>
    <w:basedOn w:val="ListNumber2"/>
    <w:next w:val="Normal"/>
    <w:semiHidden/>
    <w:rsid w:val="00816B81"/>
    <w:pPr>
      <w:numPr>
        <w:numId w:val="0"/>
      </w:numPr>
      <w:tabs>
        <w:tab w:val="right" w:leader="dot" w:pos="4176"/>
      </w:tabs>
    </w:pPr>
  </w:style>
  <w:style w:type="paragraph" w:styleId="ListNumber2">
    <w:name w:val="List Number 2"/>
    <w:basedOn w:val="List2"/>
    <w:rsid w:val="00816B81"/>
    <w:pPr>
      <w:numPr>
        <w:numId w:val="11"/>
      </w:numPr>
      <w:tabs>
        <w:tab w:val="clear" w:pos="1060"/>
      </w:tabs>
    </w:pPr>
  </w:style>
  <w:style w:type="paragraph" w:customStyle="1" w:styleId="MarginNote">
    <w:name w:val="Margin Note"/>
    <w:basedOn w:val="BodyText"/>
    <w:rsid w:val="00816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B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6B81"/>
    <w:rPr>
      <w:sz w:val="32"/>
    </w:rPr>
  </w:style>
  <w:style w:type="paragraph" w:customStyle="1" w:styleId="HeadingProcedure">
    <w:name w:val="Heading Procedure"/>
    <w:basedOn w:val="HeadingBase"/>
    <w:next w:val="Normal"/>
    <w:rsid w:val="00816B81"/>
    <w:pPr>
      <w:tabs>
        <w:tab w:val="left" w:pos="0"/>
      </w:tabs>
      <w:spacing w:before="120" w:after="60"/>
    </w:pPr>
    <w:rPr>
      <w:i/>
      <w:color w:val="918585"/>
      <w:sz w:val="22"/>
    </w:rPr>
  </w:style>
  <w:style w:type="paragraph" w:customStyle="1" w:styleId="TableBodyText">
    <w:name w:val="Table Body Text"/>
    <w:basedOn w:val="BodyText"/>
    <w:rsid w:val="00816B81"/>
    <w:pPr>
      <w:spacing w:before="60" w:after="60"/>
    </w:pPr>
  </w:style>
  <w:style w:type="paragraph" w:styleId="ListContinue">
    <w:name w:val="List Continue"/>
    <w:basedOn w:val="List"/>
    <w:rsid w:val="00816B81"/>
    <w:pPr>
      <w:ind w:firstLine="0"/>
    </w:pPr>
  </w:style>
  <w:style w:type="paragraph" w:customStyle="1" w:styleId="ListNote">
    <w:name w:val="List Note"/>
    <w:basedOn w:val="List"/>
    <w:rsid w:val="00816B81"/>
    <w:pPr>
      <w:pBdr>
        <w:top w:val="single" w:sz="6" w:space="2" w:color="918585"/>
        <w:bottom w:val="single" w:sz="6" w:space="2" w:color="918585"/>
      </w:pBdr>
      <w:tabs>
        <w:tab w:val="left" w:pos="1021"/>
      </w:tabs>
      <w:ind w:firstLine="0"/>
    </w:pPr>
  </w:style>
  <w:style w:type="paragraph" w:customStyle="1" w:styleId="Warning">
    <w:name w:val="Warning"/>
    <w:basedOn w:val="BodyText"/>
    <w:rsid w:val="00816B81"/>
    <w:pPr>
      <w:shd w:val="clear" w:color="auto" w:fill="D9D9D9"/>
      <w:tabs>
        <w:tab w:val="left" w:pos="992"/>
      </w:tabs>
      <w:ind w:left="119" w:right="119"/>
    </w:pPr>
    <w:rPr>
      <w:sz w:val="20"/>
    </w:rPr>
  </w:style>
  <w:style w:type="paragraph" w:customStyle="1" w:styleId="MarginIcons">
    <w:name w:val="Margin Icons"/>
    <w:basedOn w:val="BodyText"/>
    <w:rsid w:val="00816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B81"/>
    <w:rPr>
      <w:rFonts w:ascii="Courier New" w:hAnsi="Courier New"/>
    </w:rPr>
  </w:style>
  <w:style w:type="paragraph" w:customStyle="1" w:styleId="NoteBullet">
    <w:name w:val="Note Bullet"/>
    <w:basedOn w:val="Note"/>
    <w:rsid w:val="00816B81"/>
    <w:pPr>
      <w:tabs>
        <w:tab w:val="clear" w:pos="680"/>
      </w:tabs>
      <w:spacing w:before="60" w:after="60"/>
    </w:pPr>
  </w:style>
  <w:style w:type="paragraph" w:customStyle="1" w:styleId="SubHeading2">
    <w:name w:val="SubHeading2"/>
    <w:basedOn w:val="HeadingBase"/>
    <w:rsid w:val="00816B81"/>
    <w:pPr>
      <w:spacing w:before="240" w:after="60"/>
    </w:pPr>
    <w:rPr>
      <w:sz w:val="20"/>
    </w:rPr>
  </w:style>
  <w:style w:type="paragraph" w:customStyle="1" w:styleId="SubHeading1">
    <w:name w:val="SubHeading1"/>
    <w:basedOn w:val="HeadingBase"/>
    <w:rsid w:val="00816B81"/>
    <w:pPr>
      <w:spacing w:before="240" w:after="60"/>
    </w:pPr>
    <w:rPr>
      <w:color w:val="918585"/>
      <w:sz w:val="22"/>
    </w:rPr>
  </w:style>
  <w:style w:type="paragraph" w:customStyle="1" w:styleId="SideHeading">
    <w:name w:val="Side Heading"/>
    <w:basedOn w:val="HeadingBase"/>
    <w:rsid w:val="00816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B81"/>
    <w:pPr>
      <w:numPr>
        <w:numId w:val="13"/>
      </w:numPr>
    </w:pPr>
  </w:style>
  <w:style w:type="paragraph" w:styleId="PlainText">
    <w:name w:val="Plain Text"/>
    <w:basedOn w:val="Normal"/>
    <w:link w:val="PlainTextChar"/>
    <w:rsid w:val="00816B81"/>
    <w:rPr>
      <w:sz w:val="20"/>
    </w:rPr>
  </w:style>
  <w:style w:type="character" w:customStyle="1" w:styleId="PlainTextChar">
    <w:name w:val="Plain Text Char"/>
    <w:basedOn w:val="DefaultParagraphFont"/>
    <w:link w:val="PlainText"/>
    <w:rsid w:val="00816B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6B81"/>
    <w:rPr>
      <w:b/>
      <w:smallCaps/>
    </w:rPr>
  </w:style>
  <w:style w:type="paragraph" w:customStyle="1" w:styleId="TableListNumber">
    <w:name w:val="Table List Number"/>
    <w:basedOn w:val="ListNumber"/>
    <w:rsid w:val="00816B81"/>
    <w:pPr>
      <w:numPr>
        <w:numId w:val="0"/>
      </w:numPr>
    </w:pPr>
  </w:style>
  <w:style w:type="paragraph" w:styleId="TOC4">
    <w:name w:val="toc 4"/>
    <w:basedOn w:val="TOCBase"/>
    <w:next w:val="Normal"/>
    <w:semiHidden/>
    <w:rsid w:val="00816B81"/>
    <w:pPr>
      <w:tabs>
        <w:tab w:val="right" w:leader="dot" w:pos="9071"/>
      </w:tabs>
      <w:ind w:left="1701"/>
    </w:pPr>
  </w:style>
  <w:style w:type="paragraph" w:customStyle="1" w:styleId="ListAlpha">
    <w:name w:val="List Alpha"/>
    <w:basedOn w:val="List"/>
    <w:rsid w:val="00816B81"/>
    <w:pPr>
      <w:numPr>
        <w:numId w:val="10"/>
      </w:numPr>
    </w:pPr>
  </w:style>
  <w:style w:type="paragraph" w:customStyle="1" w:styleId="ListAlpha2">
    <w:name w:val="List Alpha 2"/>
    <w:basedOn w:val="List2"/>
    <w:rsid w:val="00816B81"/>
    <w:pPr>
      <w:numPr>
        <w:numId w:val="9"/>
      </w:numPr>
    </w:pPr>
  </w:style>
  <w:style w:type="paragraph" w:styleId="List2">
    <w:name w:val="List 2"/>
    <w:basedOn w:val="BodyText"/>
    <w:rsid w:val="00816B81"/>
    <w:pPr>
      <w:tabs>
        <w:tab w:val="left" w:pos="680"/>
      </w:tabs>
      <w:spacing w:before="60" w:after="60"/>
      <w:ind w:left="680" w:hanging="340"/>
    </w:pPr>
  </w:style>
  <w:style w:type="paragraph" w:styleId="List3">
    <w:name w:val="List 3"/>
    <w:basedOn w:val="BodyText"/>
    <w:rsid w:val="00816B81"/>
    <w:pPr>
      <w:tabs>
        <w:tab w:val="left" w:pos="1021"/>
      </w:tabs>
      <w:spacing w:before="60" w:after="60"/>
      <w:ind w:left="1020" w:hanging="340"/>
    </w:pPr>
  </w:style>
  <w:style w:type="paragraph" w:styleId="List4">
    <w:name w:val="List 4"/>
    <w:basedOn w:val="BodyText"/>
    <w:rsid w:val="00816B81"/>
    <w:pPr>
      <w:tabs>
        <w:tab w:val="left" w:pos="1361"/>
      </w:tabs>
      <w:spacing w:before="60" w:after="60"/>
      <w:ind w:left="1361" w:hanging="340"/>
    </w:pPr>
  </w:style>
  <w:style w:type="paragraph" w:styleId="List5">
    <w:name w:val="List 5"/>
    <w:basedOn w:val="BodyText"/>
    <w:rsid w:val="00816B81"/>
    <w:pPr>
      <w:tabs>
        <w:tab w:val="left" w:pos="1701"/>
      </w:tabs>
      <w:spacing w:before="60" w:after="60"/>
      <w:ind w:left="1701" w:hanging="340"/>
    </w:pPr>
  </w:style>
  <w:style w:type="paragraph" w:styleId="ListBullet4">
    <w:name w:val="List Bullet 4"/>
    <w:basedOn w:val="List4"/>
    <w:rsid w:val="00816B81"/>
    <w:pPr>
      <w:numPr>
        <w:numId w:val="4"/>
      </w:numPr>
    </w:pPr>
  </w:style>
  <w:style w:type="paragraph" w:styleId="ListBullet5">
    <w:name w:val="List Bullet 5"/>
    <w:basedOn w:val="List5"/>
    <w:rsid w:val="00816B81"/>
    <w:pPr>
      <w:numPr>
        <w:numId w:val="5"/>
      </w:numPr>
    </w:pPr>
  </w:style>
  <w:style w:type="paragraph" w:styleId="ListContinue2">
    <w:name w:val="List Continue 2"/>
    <w:basedOn w:val="List2"/>
    <w:rsid w:val="00816B81"/>
    <w:pPr>
      <w:ind w:firstLine="0"/>
    </w:pPr>
  </w:style>
  <w:style w:type="paragraph" w:styleId="ListContinue3">
    <w:name w:val="List Continue 3"/>
    <w:basedOn w:val="List3"/>
    <w:rsid w:val="00816B81"/>
    <w:pPr>
      <w:ind w:left="1021" w:firstLine="0"/>
    </w:pPr>
  </w:style>
  <w:style w:type="paragraph" w:styleId="ListContinue4">
    <w:name w:val="List Continue 4"/>
    <w:basedOn w:val="List4"/>
    <w:rsid w:val="00816B81"/>
    <w:pPr>
      <w:ind w:firstLine="0"/>
    </w:pPr>
  </w:style>
  <w:style w:type="paragraph" w:styleId="ListContinue5">
    <w:name w:val="List Continue 5"/>
    <w:basedOn w:val="List5"/>
    <w:rsid w:val="00816B81"/>
    <w:pPr>
      <w:ind w:firstLine="0"/>
    </w:pPr>
  </w:style>
  <w:style w:type="paragraph" w:styleId="ListNumber3">
    <w:name w:val="List Number 3"/>
    <w:basedOn w:val="List3"/>
    <w:rsid w:val="00816B81"/>
    <w:pPr>
      <w:numPr>
        <w:numId w:val="6"/>
      </w:numPr>
    </w:pPr>
  </w:style>
  <w:style w:type="paragraph" w:styleId="ListNumber4">
    <w:name w:val="List Number 4"/>
    <w:basedOn w:val="List4"/>
    <w:rsid w:val="00816B81"/>
    <w:pPr>
      <w:numPr>
        <w:numId w:val="7"/>
      </w:numPr>
    </w:pPr>
  </w:style>
  <w:style w:type="paragraph" w:styleId="ListNumber5">
    <w:name w:val="List Number 5"/>
    <w:basedOn w:val="List5"/>
    <w:rsid w:val="00816B81"/>
    <w:pPr>
      <w:numPr>
        <w:numId w:val="8"/>
      </w:numPr>
    </w:pPr>
  </w:style>
  <w:style w:type="paragraph" w:styleId="BlockText">
    <w:name w:val="Block Text"/>
    <w:basedOn w:val="Normal"/>
    <w:rsid w:val="00816B81"/>
    <w:pPr>
      <w:spacing w:after="120"/>
      <w:ind w:left="1440" w:right="1440"/>
    </w:pPr>
  </w:style>
  <w:style w:type="character" w:customStyle="1" w:styleId="Subscript">
    <w:name w:val="Subscript"/>
    <w:basedOn w:val="DefaultParagraphFont"/>
    <w:rsid w:val="00816B81"/>
    <w:rPr>
      <w:sz w:val="16"/>
      <w:vertAlign w:val="subscript"/>
    </w:rPr>
  </w:style>
  <w:style w:type="character" w:customStyle="1" w:styleId="Superscript">
    <w:name w:val="Superscript"/>
    <w:basedOn w:val="DefaultParagraphFont"/>
    <w:rsid w:val="00816B81"/>
    <w:rPr>
      <w:sz w:val="16"/>
      <w:vertAlign w:val="superscript"/>
    </w:rPr>
  </w:style>
  <w:style w:type="character" w:customStyle="1" w:styleId="Symbols">
    <w:name w:val="Symbols"/>
    <w:basedOn w:val="DefaultParagraphFont"/>
    <w:rsid w:val="00816B81"/>
    <w:rPr>
      <w:rFonts w:ascii="Symbol" w:hAnsi="Symbol"/>
    </w:rPr>
  </w:style>
  <w:style w:type="character" w:customStyle="1" w:styleId="MenuOptions">
    <w:name w:val="Menu Options"/>
    <w:basedOn w:val="DefaultParagraphFont"/>
    <w:rsid w:val="00816B81"/>
    <w:rPr>
      <w:rFonts w:ascii="Arial Narrow" w:hAnsi="Arial Narrow"/>
      <w:smallCaps/>
    </w:rPr>
  </w:style>
  <w:style w:type="character" w:customStyle="1" w:styleId="Buttons">
    <w:name w:val="Buttons"/>
    <w:basedOn w:val="DefaultParagraphFont"/>
    <w:rsid w:val="00816B81"/>
    <w:rPr>
      <w:b/>
    </w:rPr>
  </w:style>
  <w:style w:type="character" w:customStyle="1" w:styleId="Underlined">
    <w:name w:val="Underlined"/>
    <w:basedOn w:val="DefaultParagraphFont"/>
    <w:rsid w:val="00816B81"/>
    <w:rPr>
      <w:u w:val="single"/>
    </w:rPr>
  </w:style>
  <w:style w:type="paragraph" w:customStyle="1" w:styleId="TableBodyTextRight">
    <w:name w:val="Table Body Text Right"/>
    <w:basedOn w:val="TableBodyText"/>
    <w:rsid w:val="00816B81"/>
    <w:pPr>
      <w:widowControl w:val="0"/>
      <w:autoSpaceDE w:val="0"/>
      <w:autoSpaceDN w:val="0"/>
      <w:adjustRightInd w:val="0"/>
      <w:jc w:val="right"/>
    </w:pPr>
    <w:rPr>
      <w:rFonts w:cs="Arial"/>
      <w:szCs w:val="18"/>
    </w:rPr>
  </w:style>
  <w:style w:type="paragraph" w:customStyle="1" w:styleId="CopyrightText">
    <w:name w:val="Copyright Text"/>
    <w:basedOn w:val="BodyText"/>
    <w:rsid w:val="00816B81"/>
    <w:rPr>
      <w:sz w:val="18"/>
    </w:rPr>
  </w:style>
  <w:style w:type="paragraph" w:customStyle="1" w:styleId="BodySmallRight">
    <w:name w:val="Body Small Right"/>
    <w:basedOn w:val="BodyTextRight"/>
    <w:rsid w:val="00816B81"/>
    <w:rPr>
      <w:sz w:val="18"/>
      <w:szCs w:val="18"/>
    </w:rPr>
  </w:style>
  <w:style w:type="paragraph" w:customStyle="1" w:styleId="MarginEdition">
    <w:name w:val="Margin Edition"/>
    <w:basedOn w:val="MarginNote"/>
    <w:rsid w:val="00816B81"/>
    <w:pPr>
      <w:spacing w:before="0" w:after="0"/>
    </w:pPr>
    <w:rPr>
      <w:rFonts w:ascii="Times New Roman" w:hAnsi="Times New Roman"/>
      <w:color w:val="999999"/>
    </w:rPr>
  </w:style>
  <w:style w:type="paragraph" w:customStyle="1" w:styleId="Spacer">
    <w:name w:val="Spacer"/>
    <w:basedOn w:val="Normal"/>
    <w:rsid w:val="00816B81"/>
    <w:rPr>
      <w:sz w:val="2"/>
      <w:szCs w:val="2"/>
    </w:rPr>
  </w:style>
  <w:style w:type="character" w:customStyle="1" w:styleId="Small">
    <w:name w:val="Small"/>
    <w:basedOn w:val="DefaultParagraphFont"/>
    <w:rsid w:val="00816B81"/>
    <w:rPr>
      <w:sz w:val="16"/>
    </w:rPr>
  </w:style>
  <w:style w:type="paragraph" w:customStyle="1" w:styleId="WideTable">
    <w:name w:val="Wide Table"/>
    <w:basedOn w:val="Normal"/>
    <w:rsid w:val="00816B81"/>
    <w:pPr>
      <w:ind w:left="-1418"/>
    </w:pPr>
    <w:rPr>
      <w:sz w:val="2"/>
      <w:szCs w:val="2"/>
    </w:rPr>
  </w:style>
  <w:style w:type="character" w:styleId="PageNumber">
    <w:name w:val="page number"/>
    <w:basedOn w:val="DefaultParagraphFont"/>
    <w:rsid w:val="00816B81"/>
  </w:style>
  <w:style w:type="paragraph" w:styleId="Quote">
    <w:name w:val="Quote"/>
    <w:basedOn w:val="Heading1"/>
    <w:link w:val="QuoteChar"/>
    <w:qFormat/>
    <w:rsid w:val="00816B81"/>
    <w:rPr>
      <w:b w:val="0"/>
      <w:sz w:val="72"/>
      <w:szCs w:val="72"/>
      <w:lang w:val="en-NZ"/>
    </w:rPr>
  </w:style>
  <w:style w:type="character" w:customStyle="1" w:styleId="QuoteChar">
    <w:name w:val="Quote Char"/>
    <w:basedOn w:val="DefaultParagraphFont"/>
    <w:link w:val="Quote"/>
    <w:rsid w:val="00816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B81"/>
    <w:pPr>
      <w:pageBreakBefore/>
    </w:pPr>
  </w:style>
  <w:style w:type="paragraph" w:customStyle="1" w:styleId="Border">
    <w:name w:val="Border"/>
    <w:basedOn w:val="Normal"/>
    <w:qFormat/>
    <w:rsid w:val="00816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B81"/>
    <w:rPr>
      <w:b/>
      <w:bCs/>
      <w:i/>
      <w:iCs/>
      <w:color w:val="auto"/>
    </w:rPr>
  </w:style>
  <w:style w:type="paragraph" w:styleId="IntenseQuote">
    <w:name w:val="Intense Quote"/>
    <w:basedOn w:val="Normal"/>
    <w:next w:val="Normal"/>
    <w:link w:val="IntenseQuoteChar"/>
    <w:uiPriority w:val="30"/>
    <w:qFormat/>
    <w:rsid w:val="00816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B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6B81"/>
    <w:rPr>
      <w:smallCaps/>
      <w:color w:val="auto"/>
      <w:u w:val="single"/>
    </w:rPr>
  </w:style>
  <w:style w:type="character" w:styleId="IntenseReference">
    <w:name w:val="Intense Reference"/>
    <w:basedOn w:val="DefaultParagraphFont"/>
    <w:uiPriority w:val="32"/>
    <w:qFormat/>
    <w:rsid w:val="00816B81"/>
    <w:rPr>
      <w:b/>
      <w:bCs/>
      <w:smallCaps/>
      <w:color w:val="auto"/>
      <w:spacing w:val="5"/>
      <w:u w:val="single"/>
    </w:rPr>
  </w:style>
  <w:style w:type="paragraph" w:customStyle="1" w:styleId="2ColumnHeading">
    <w:name w:val="2Column Heading"/>
    <w:basedOn w:val="BodyText"/>
    <w:qFormat/>
    <w:rsid w:val="00816B81"/>
    <w:pPr>
      <w:spacing w:after="60"/>
      <w:ind w:left="-2268"/>
    </w:pPr>
    <w:rPr>
      <w:b/>
    </w:rPr>
  </w:style>
  <w:style w:type="paragraph" w:customStyle="1" w:styleId="Heading1TOC">
    <w:name w:val="Heading1 TOC"/>
    <w:basedOn w:val="Normal"/>
    <w:qFormat/>
    <w:rsid w:val="00816B81"/>
    <w:pPr>
      <w:spacing w:before="240" w:after="120"/>
    </w:pPr>
    <w:rPr>
      <w:rFonts w:ascii="Times New Roman" w:hAnsi="Times New Roman"/>
      <w:b/>
      <w:sz w:val="32"/>
    </w:rPr>
  </w:style>
  <w:style w:type="paragraph" w:customStyle="1" w:styleId="Heading2TOC">
    <w:name w:val="Heading2 TOC"/>
    <w:basedOn w:val="Normal"/>
    <w:qFormat/>
    <w:rsid w:val="00816B81"/>
    <w:pPr>
      <w:spacing w:before="240" w:after="60"/>
    </w:pPr>
    <w:rPr>
      <w:rFonts w:ascii="Times New Roman" w:hAnsi="Times New Roman"/>
      <w:b/>
      <w:sz w:val="28"/>
    </w:rPr>
  </w:style>
  <w:style w:type="character" w:customStyle="1" w:styleId="Underline">
    <w:name w:val="Underline"/>
    <w:basedOn w:val="DefaultParagraphFont"/>
    <w:qFormat/>
    <w:rsid w:val="00816B81"/>
    <w:rPr>
      <w:u w:val="single"/>
    </w:rPr>
  </w:style>
  <w:style w:type="character" w:customStyle="1" w:styleId="BoldandItalics">
    <w:name w:val="Bold and Italics"/>
    <w:qFormat/>
    <w:rsid w:val="00816B81"/>
    <w:rPr>
      <w:b/>
      <w:i/>
      <w:u w:val="none"/>
    </w:rPr>
  </w:style>
  <w:style w:type="paragraph" w:styleId="BalloonText">
    <w:name w:val="Balloon Text"/>
    <w:basedOn w:val="Normal"/>
    <w:link w:val="BalloonTextChar"/>
    <w:rsid w:val="00816B81"/>
    <w:rPr>
      <w:rFonts w:ascii="Tahoma" w:hAnsi="Tahoma" w:cs="Tahoma"/>
      <w:sz w:val="16"/>
      <w:szCs w:val="16"/>
    </w:rPr>
  </w:style>
  <w:style w:type="character" w:customStyle="1" w:styleId="BalloonTextChar">
    <w:name w:val="Balloon Text Char"/>
    <w:basedOn w:val="DefaultParagraphFont"/>
    <w:link w:val="BalloonText"/>
    <w:rsid w:val="00816B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6B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6B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3406</Words>
  <Characters>22209</Characters>
  <Application>Microsoft Office Word</Application>
  <DocSecurity>0</DocSecurity>
  <Lines>754</Lines>
  <Paragraphs>325</Paragraphs>
  <ScaleCrop>false</ScaleCrop>
  <Company>Author-it Software Corporation Ltd.</Company>
  <LinksUpToDate>false</LinksUpToDate>
  <CharactersWithSpaces>25423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UETTDRTS25A Maintain and test and metering schemes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2012-05-26T12:26:00Z</dcterms:created>
  <dcterms:modified xsi:type="dcterms:W3CDTF">2012-05-26T12:26:00Z</dcterms:modified>
</cp:coreProperties>
</file>