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8E6" w:rsidP="007918E6">
      <w:pPr>
        <w:pStyle w:val="Title"/>
      </w:pPr>
      <w:r>
        <w:fldChar w:fldCharType="begin"/>
      </w:r>
      <w:r>
        <w:instrText xml:space="preserve"> TITLE   \* MERGEFORMAT </w:instrText>
      </w:r>
      <w:r>
        <w:fldChar w:fldCharType="separate"/>
      </w:r>
      <w:r>
        <w:t>UETTDRTS22A Commission interdependent network protection and control systems</w:t>
      </w:r>
      <w:r>
        <w:fldChar w:fldCharType="end"/>
      </w:r>
    </w:p>
    <w:p w:rsidR="007918E6" w:rsidP="007918E6">
      <w:pPr>
        <w:pStyle w:val="Version"/>
        <w:sectPr w:rsidSect="003368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8DB" w:rsidP="003368DB">
      <w:pPr>
        <w:pStyle w:val="SuperHeading"/>
      </w:pPr>
      <w:r w:rsidRPr="003368DB">
        <w:t>UETTDRTS22A Commission interdependent network protection and control systems</w:t>
      </w:r>
    </w:p>
    <w:p w:rsidR="00000000" w:rsidRPr="003368DB" w:rsidP="003368DB">
      <w:pPr>
        <w:pStyle w:val="Heading1"/>
      </w:pPr>
      <w:bookmarkStart w:id="1" w:name="O_463931"/>
      <w:bookmarkEnd w:id="1"/>
      <w:r w:rsidRPr="003368DB">
        <w:t>Modification History</w:t>
      </w:r>
    </w:p>
    <w:p w:rsidR="00000000" w:rsidRPr="003368DB" w:rsidP="003368DB">
      <w:pPr>
        <w:pStyle w:val="BodyText"/>
      </w:pPr>
      <w:r w:rsidRPr="003368DB">
        <w:t>Not applicable.</w:t>
      </w:r>
    </w:p>
    <w:p w:rsidR="00000000" w:rsidRPr="003368DB" w:rsidP="003368DB">
      <w:pPr>
        <w:pStyle w:val="AllowPageBreak"/>
      </w:pPr>
    </w:p>
    <w:p w:rsidR="00000000" w:rsidRPr="003368DB" w:rsidP="003368DB">
      <w:pPr>
        <w:pStyle w:val="Heading1"/>
      </w:pPr>
      <w:bookmarkStart w:id="2" w:name="O_463929"/>
      <w:bookmarkEnd w:id="2"/>
      <w:r w:rsidRPr="003368DB">
        <w:t>Unit Descriptor</w:t>
      </w:r>
    </w:p>
    <w:tbl>
      <w:tblPr>
        <w:tblW w:w="0" w:type="auto"/>
        <w:tblLayout w:type="fixed"/>
        <w:tblCellMar>
          <w:left w:w="62" w:type="dxa"/>
          <w:right w:w="62" w:type="dxa"/>
        </w:tblCellMar>
        <w:tblLook w:val="0000"/>
      </w:tblPr>
      <w:tblGrid>
        <w:gridCol w:w="2700"/>
        <w:gridCol w:w="5760"/>
      </w:tblGrid>
      <w:tr w:rsidTr="007918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1)</w:t>
            </w:r>
            <w:r w:rsidRPr="003368DB">
              <w:t xml:space="preserve"> </w:t>
            </w:r>
            <w:r w:rsidRPr="003368DB">
              <w:rPr>
                <w:rStyle w:val="SpecialBold"/>
              </w:rPr>
              <w:t>Scope:</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368D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1.1) Descriptor</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This Competency Standard Unit covers the commissioning of network protection and control systems in interdependent situations and includes isolation, inspection, monitoring, testing, adjustment, and repair, refurbishment and or overhaul and functional chec</w:t>
            </w:r>
            <w:r w:rsidRPr="003368DB">
              <w:t>ks. It also includes schemes such as, CB Fail, master controlled Earth Fault, impedance and differential relays intertripping, blocking, synchronising, pilot wire, phase comparison, load shedding, voltage control, parallel operation and load rejection. Thi</w:t>
            </w:r>
            <w:r w:rsidRPr="003368DB">
              <w:t>s includes commissioning of discrete and interdependent schemes.</w:t>
            </w:r>
          </w:p>
        </w:tc>
      </w:tr>
    </w:tbl>
    <w:p w:rsidR="00000000" w:rsidRPr="003368DB" w:rsidP="003368DB">
      <w:pPr>
        <w:pStyle w:val="BodyText"/>
      </w:pPr>
    </w:p>
    <w:p w:rsidR="00000000" w:rsidRPr="003368DB" w:rsidP="003368DB">
      <w:pPr>
        <w:pStyle w:val="AllowPageBreak"/>
      </w:pPr>
    </w:p>
    <w:p w:rsidR="00000000" w:rsidRPr="003368DB" w:rsidP="003368DB">
      <w:pPr>
        <w:pStyle w:val="Heading1"/>
      </w:pPr>
      <w:bookmarkStart w:id="3" w:name="O_463915"/>
      <w:bookmarkEnd w:id="3"/>
      <w:r w:rsidRPr="003368DB">
        <w:t>Application of the Unit</w:t>
      </w:r>
    </w:p>
    <w:tbl>
      <w:tblPr>
        <w:tblW w:w="0" w:type="auto"/>
        <w:tblLayout w:type="fixed"/>
        <w:tblCellMar>
          <w:left w:w="62" w:type="dxa"/>
          <w:right w:w="62" w:type="dxa"/>
        </w:tblCellMar>
        <w:tblLook w:val="0000"/>
      </w:tblPr>
      <w:tblGrid>
        <w:gridCol w:w="2672"/>
        <w:gridCol w:w="5699"/>
      </w:tblGrid>
      <w:tr w:rsidTr="007918E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2)</w:t>
            </w:r>
          </w:p>
        </w:tc>
      </w:tr>
      <w:tr w:rsidTr="007918E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This compet</w:t>
            </w:r>
            <w:r w:rsidRPr="003368DB">
              <w:t>ency standards unit is intended to apply to any recognised development program that leads to the acquisition of a formal award at AQF level 5 or higher.</w:t>
            </w:r>
          </w:p>
        </w:tc>
      </w:tr>
    </w:tbl>
    <w:p w:rsidR="00000000" w:rsidRPr="003368DB" w:rsidP="003368DB">
      <w:pPr>
        <w:pStyle w:val="BodyText"/>
      </w:pPr>
    </w:p>
    <w:p w:rsidR="00000000" w:rsidRPr="003368DB" w:rsidP="003368DB">
      <w:pPr>
        <w:pStyle w:val="AllowPageBreak"/>
      </w:pPr>
    </w:p>
    <w:p w:rsidR="00000000" w:rsidRPr="003368DB" w:rsidP="003368DB">
      <w:pPr>
        <w:pStyle w:val="Heading1"/>
      </w:pPr>
      <w:bookmarkStart w:id="4" w:name="O_463925"/>
      <w:bookmarkEnd w:id="4"/>
      <w:r w:rsidRPr="003368DB">
        <w:t>Licensing/Regulatory Information</w:t>
      </w:r>
    </w:p>
    <w:tbl>
      <w:tblPr>
        <w:tblW w:w="0" w:type="auto"/>
        <w:tblLayout w:type="fixed"/>
        <w:tblCellMar>
          <w:left w:w="62" w:type="dxa"/>
          <w:right w:w="62" w:type="dxa"/>
        </w:tblCellMar>
        <w:tblLook w:val="0000"/>
      </w:tblPr>
      <w:tblGrid>
        <w:gridCol w:w="2700"/>
        <w:gridCol w:w="5760"/>
      </w:tblGrid>
      <w:tr w:rsidTr="007918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 xml:space="preserve">3) </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 xml:space="preserve">The skills and knowledge </w:t>
            </w:r>
            <w:r w:rsidRPr="003368DB">
              <w:t xml:space="preserve">described in this unit may require a licence/registration to practice in the work place subject to regulations for undertaking of electrical work. Practice in workplace and during training is also subject to </w:t>
            </w:r>
            <w:r w:rsidRPr="003368DB">
              <w:t>regulations directly related to Occupational Hea</w:t>
            </w:r>
            <w:r w:rsidRPr="003368DB">
              <w:t>lth and Safety, electricity/telecommunications/gas/water industry safety and compliance, industrial relations, environmental protection, anti discrimination and training. Commonwealth, State/Territory or Local Government legislation and regulations may exi</w:t>
            </w:r>
            <w:r w:rsidRPr="003368DB">
              <w:t>st that limits the age of operating certain equipment.</w:t>
            </w:r>
          </w:p>
        </w:tc>
      </w:tr>
    </w:tbl>
    <w:p w:rsidR="00000000" w:rsidRPr="003368DB" w:rsidP="003368DB">
      <w:pPr>
        <w:pStyle w:val="BodyText"/>
      </w:pPr>
    </w:p>
    <w:p w:rsidR="00000000" w:rsidRPr="003368DB" w:rsidP="003368DB">
      <w:pPr>
        <w:pStyle w:val="AllowPageBreak"/>
      </w:pPr>
    </w:p>
    <w:p w:rsidR="00000000" w:rsidRPr="003368DB" w:rsidP="003368DB">
      <w:pPr>
        <w:pStyle w:val="Heading1"/>
      </w:pPr>
      <w:bookmarkStart w:id="5" w:name="O_463926"/>
      <w:bookmarkEnd w:id="5"/>
      <w:r w:rsidRPr="003368DB">
        <w:t>Pre-Requisites</w:t>
      </w:r>
    </w:p>
    <w:tbl>
      <w:tblPr>
        <w:tblW w:w="0" w:type="auto"/>
        <w:tblLayout w:type="fixed"/>
        <w:tblCellMar>
          <w:left w:w="62" w:type="dxa"/>
          <w:right w:w="62" w:type="dxa"/>
        </w:tblCellMar>
        <w:tblLook w:val="0000"/>
      </w:tblPr>
      <w:tblGrid>
        <w:gridCol w:w="2700"/>
        <w:gridCol w:w="1980"/>
        <w:gridCol w:w="3769"/>
        <w:gridCol w:w="15"/>
      </w:tblGrid>
      <w:tr w:rsidTr="007918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Prerequisite Unit(s)</w:t>
            </w:r>
          </w:p>
        </w:tc>
        <w:tc>
          <w:tcPr>
            <w:tcW w:w="5764" w:type="dxa"/>
            <w:gridSpan w:val="3"/>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 xml:space="preserve">4) </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Competencies</w:t>
            </w:r>
          </w:p>
        </w:tc>
        <w:tc>
          <w:tcPr>
            <w:tcW w:w="5764" w:type="dxa"/>
            <w:gridSpan w:val="3"/>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4.1)</w:t>
            </w:r>
          </w:p>
        </w:tc>
      </w:tr>
      <w:tr w:rsidTr="007918E6">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9" w:type="dxa"/>
            <w:gridSpan w:val="2"/>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Granting of competency in this unit shall be made only after competency in the following unit(s) has/have been confirmed.</w:t>
            </w:r>
          </w:p>
          <w:p w:rsidR="00000000" w:rsidRPr="003368DB" w:rsidP="003368DB">
            <w:pPr>
              <w:pStyle w:val="BodyText"/>
            </w:pPr>
            <w:r w:rsidRPr="003368DB">
              <w:t xml:space="preserve">Where pre-requisite pathways have been identified. All competencies in the Common Unit Group must be have been completed plus all the </w:t>
            </w:r>
            <w:r w:rsidRPr="003368DB">
              <w:t>competencies in one (1) of the identified Pathway Unit Group(s):</w:t>
            </w:r>
          </w:p>
          <w:p w:rsidR="00000000" w:rsidP="003368DB">
            <w:pPr>
              <w:pStyle w:val="BodyText"/>
              <w:rPr>
                <w:lang w:val="en-NZ"/>
              </w:rPr>
            </w:pPr>
            <w:r w:rsidRPr="003368DB">
              <w:t>Common Unit Group</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Unit Code</w:t>
            </w:r>
            <w:r w:rsidRPr="003368DB">
              <w:tab/>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3368DB">
            <w:pPr>
              <w:pStyle w:val="BodyText"/>
              <w:rPr>
                <w:lang w:val="en-NZ"/>
              </w:rPr>
            </w:pPr>
            <w:r w:rsidRPr="003368DB">
              <w:t>Unit Title</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UEENEED104A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3368DB">
            <w:pPr>
              <w:pStyle w:val="BodyText"/>
              <w:rPr>
                <w:lang w:val="en-NZ"/>
              </w:rPr>
            </w:pPr>
            <w:r w:rsidRPr="003368DB">
              <w:t>Use engineering applications software on personal computers</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UEENEEE101A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Apply Occupational Health</w:t>
            </w:r>
            <w:r w:rsidRPr="003368DB">
              <w:t xml:space="preserve"> and Safety regulations, codes and practices in the workplace</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UEENEEE102A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Fabricate, assemble and dismantle utilities industry components</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UEENEEE104A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Solve problems in d.c. Circuits</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UEENEEE107A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Use drawings, diagrams, schedules, standards, codes and specifications</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UEENEEE124A</w:t>
            </w:r>
          </w:p>
        </w:tc>
        <w:tc>
          <w:tcPr>
            <w:tcW w:w="3784" w:type="dxa"/>
            <w:gridSpan w:val="2"/>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Compile and produce an energy sector detailed report</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UEENEEE125A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Provide engineering solutions for problems in complex multiple path circuits problems</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UEENEEE126A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Prov</w:t>
            </w:r>
            <w:r w:rsidRPr="003368DB">
              <w:t>ide solutions to basic engineering computational problems</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UEENEEG101A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Solve problems in electromagnetic devices and related circuits</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UEENEEG102A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Solve problems in electromagnetic devices and related circuits</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UEENEEG149A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Provide engineering solutions to problems in complex polyphase power circuits</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UETTDREL11A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Apply sustainable energy and environmental procedures</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UETTDREL16A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 xml:space="preserve">Working safely near live electrical apparatus </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UETTDRIS62A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Implement and monitor the power sys</w:t>
            </w:r>
            <w:r w:rsidRPr="003368DB">
              <w:t>tem organisational OHS policies, procedures and programs</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UETTDRIS63A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Implement and monitor the power system environmental and sustainable energy management policies and procedures</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UETTDRTS21A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Maintain interdependent network protection and control systems</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368DB">
            <w:pPr>
              <w:pStyle w:val="BodyText"/>
              <w:rPr>
                <w:lang w:val="en-NZ"/>
              </w:rPr>
            </w:pPr>
            <w:r w:rsidRPr="003368DB">
              <w:t>UETTDRTS29A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RPr="003368DB" w:rsidP="003368DB">
            <w:pPr>
              <w:pStyle w:val="BodyText"/>
            </w:pPr>
            <w:r w:rsidRPr="003368DB">
              <w:t>Develop power systems secondary isolation instructional documents</w:t>
            </w:r>
          </w:p>
        </w:tc>
      </w:tr>
    </w:tbl>
    <w:p w:rsidR="00000000" w:rsidRPr="003368DB" w:rsidP="003368D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918E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 xml:space="preserve">4.2) </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Participants are best equipped to achieve this unit if they have reading, writing and numeracy skills indicated by the following scales. Description of each scale is given in Volume 2, Part 3 "Literacy and Numeracy"</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Reading</w:t>
            </w:r>
          </w:p>
        </w:tc>
        <w:tc>
          <w:tcPr>
            <w:tcW w:w="81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5</w:t>
            </w:r>
          </w:p>
        </w:tc>
        <w:tc>
          <w:tcPr>
            <w:tcW w:w="99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Writing</w:t>
            </w:r>
          </w:p>
        </w:tc>
        <w:tc>
          <w:tcPr>
            <w:tcW w:w="90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5</w:t>
            </w:r>
          </w:p>
        </w:tc>
        <w:tc>
          <w:tcPr>
            <w:tcW w:w="126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Numeracy</w:t>
            </w:r>
          </w:p>
        </w:tc>
        <w:tc>
          <w:tcPr>
            <w:tcW w:w="72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5</w:t>
            </w:r>
          </w:p>
        </w:tc>
      </w:tr>
    </w:tbl>
    <w:p w:rsidR="00000000" w:rsidRPr="003368DB" w:rsidP="003368DB">
      <w:pPr>
        <w:pStyle w:val="BodyText"/>
      </w:pPr>
    </w:p>
    <w:p w:rsidR="00000000" w:rsidRPr="003368DB" w:rsidP="003368DB">
      <w:pPr>
        <w:pStyle w:val="AllowPageBreak"/>
      </w:pPr>
    </w:p>
    <w:p w:rsidR="00000000" w:rsidRPr="003368DB" w:rsidP="003368DB">
      <w:pPr>
        <w:pStyle w:val="Heading1"/>
      </w:pPr>
      <w:bookmarkStart w:id="6" w:name="O_463922"/>
      <w:bookmarkEnd w:id="6"/>
      <w:r w:rsidRPr="003368DB">
        <w:t>Employability Skills Information</w:t>
      </w:r>
    </w:p>
    <w:tbl>
      <w:tblPr>
        <w:tblW w:w="0" w:type="auto"/>
        <w:tblLayout w:type="fixed"/>
        <w:tblCellMar>
          <w:left w:w="62" w:type="dxa"/>
          <w:right w:w="62" w:type="dxa"/>
        </w:tblCellMar>
        <w:tblLook w:val="0000"/>
      </w:tblPr>
      <w:tblGrid>
        <w:gridCol w:w="2700"/>
        <w:gridCol w:w="5760"/>
      </w:tblGrid>
      <w:tr w:rsidTr="007918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 xml:space="preserve">5) </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The required outcomes described in this unit of competency contain applicable facets of Employability Skills. The Employability Skills Summary of the qualification in which this u</w:t>
            </w:r>
            <w:r w:rsidRPr="003368DB">
              <w:t>nit of competency is packaged will assist in identifying Employability Skill requirements.</w:t>
            </w:r>
          </w:p>
        </w:tc>
      </w:tr>
    </w:tbl>
    <w:p w:rsidR="00000000" w:rsidRPr="003368DB" w:rsidP="003368DB">
      <w:pPr>
        <w:pStyle w:val="BodyText"/>
      </w:pPr>
    </w:p>
    <w:p w:rsidR="00000000" w:rsidRPr="003368DB" w:rsidP="003368DB">
      <w:pPr>
        <w:pStyle w:val="AllowPageBreak"/>
      </w:pPr>
    </w:p>
    <w:p w:rsidR="00000000" w:rsidRPr="003368DB" w:rsidP="003368DB">
      <w:pPr>
        <w:pStyle w:val="Heading1"/>
      </w:pPr>
      <w:bookmarkStart w:id="7" w:name="O_463921"/>
      <w:bookmarkEnd w:id="7"/>
      <w:r w:rsidRPr="003368DB">
        <w:t>Elements and Performance Criteria Pre-Content</w:t>
      </w:r>
    </w:p>
    <w:tbl>
      <w:tblPr>
        <w:tblW w:w="0" w:type="auto"/>
        <w:tblLayout w:type="fixed"/>
        <w:tblCellMar>
          <w:left w:w="62" w:type="dxa"/>
          <w:right w:w="62" w:type="dxa"/>
        </w:tblCellMar>
        <w:tblLook w:val="0000"/>
      </w:tblPr>
      <w:tblGrid>
        <w:gridCol w:w="2700"/>
        <w:gridCol w:w="5760"/>
      </w:tblGrid>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6)</w:t>
            </w:r>
            <w:r w:rsidRPr="003368D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Performance Criteria describe the required performance needed to demonstrate achievement of the element. Assessment of performance is to be consistent with the Evidence Guide.</w:t>
            </w:r>
          </w:p>
        </w:tc>
      </w:tr>
    </w:tbl>
    <w:p w:rsidR="00000000" w:rsidRPr="003368DB" w:rsidP="003368DB">
      <w:pPr>
        <w:pStyle w:val="BodyText"/>
      </w:pPr>
    </w:p>
    <w:p w:rsidR="00000000" w:rsidRPr="003368DB" w:rsidP="003368DB">
      <w:pPr>
        <w:pStyle w:val="AllowPageBreak"/>
      </w:pPr>
    </w:p>
    <w:p w:rsidR="00000000" w:rsidRPr="003368DB" w:rsidP="003368DB">
      <w:pPr>
        <w:pStyle w:val="Heading1"/>
      </w:pPr>
      <w:bookmarkStart w:id="8" w:name="O_463919"/>
      <w:bookmarkEnd w:id="8"/>
      <w:r w:rsidRPr="003368DB">
        <w:t>Elements and Performance Criteria</w:t>
      </w:r>
    </w:p>
    <w:tbl>
      <w:tblPr>
        <w:tblW w:w="0" w:type="auto"/>
        <w:tblLayout w:type="fixed"/>
        <w:tblCellMar>
          <w:left w:w="62" w:type="dxa"/>
          <w:right w:w="62" w:type="dxa"/>
        </w:tblCellMar>
        <w:tblLook w:val="0000"/>
      </w:tblPr>
      <w:tblGrid>
        <w:gridCol w:w="405"/>
        <w:gridCol w:w="2295"/>
        <w:gridCol w:w="825"/>
        <w:gridCol w:w="4935"/>
      </w:tblGrid>
      <w:tr w:rsidTr="007918E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PERFORMANCE CRITER</w:t>
            </w:r>
            <w:r w:rsidRPr="003368DB">
              <w:rPr>
                <w:rStyle w:val="SpecialBold"/>
              </w:rPr>
              <w:t>IA</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1</w:t>
            </w:r>
          </w:p>
        </w:tc>
        <w:tc>
          <w:tcPr>
            <w:tcW w:w="229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Plan for the commissioning of network protection and control systems (interdependent)</w:t>
            </w: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1.1</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 xml:space="preserve">OHS practices/procedures and environmental and sustainable energy procedures, which may influence the commissioning of, network protection </w:t>
            </w:r>
            <w:r w:rsidRPr="003368DB">
              <w:t>and control systems (interdependent) are reviewed and determined.</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1.2</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 xml:space="preserve">Purpose of the commissioning of network protection and control systems (interdependent) is established after data is analysed and expected outcomes of the work are confirmed with the </w:t>
            </w:r>
            <w:r w:rsidRPr="003368DB">
              <w:t>appropriate personnel.</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1.3</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Organisational established procedures on policies and specifications for the commissioning of network protection and control systems (interdependent) are obtained or established with the appropriate personnel.</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1.4</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Testing procedures are discussed with/directed to the appropriate personnel in order to ascertain the project brief.</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1.5</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Testing parameters are established from organisational established procedures on policies and specifications.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1.6</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Equipment/tools</w:t>
            </w:r>
            <w:r w:rsidRPr="003368DB">
              <w:t xml:space="preserve"> and personal protective equipment is selected based on specified Performance Criteria and established procedures.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1.7</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Work roles and tasks are allocated according to requirements and individuals’ competencies.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1.8</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Work is prioritised and sequenced for the most efficient/effective outcome, completed within an acceptable timeframe to a quality standard and in accordance with established procedures.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1.9</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Liaison and communication issues with other/authorised personne</w:t>
            </w:r>
            <w:r w:rsidRPr="003368DB">
              <w:t>l, authorities, clients and land owners are resolved and activities coordinated to carry out work.</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1.10</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Risk control measures are identified, prioritised and evaluated against the work schedule.</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1.11</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Relevant work permits are secured to coordinate th</w:t>
            </w:r>
            <w:r w:rsidRPr="003368DB">
              <w:t>e performance of work according to requirements and/or established procedures.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2</w:t>
            </w:r>
          </w:p>
        </w:tc>
        <w:tc>
          <w:tcPr>
            <w:tcW w:w="2295" w:type="dxa"/>
            <w:vMerge w:val="restart"/>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Carry out the commissioning of network protection and control systems (interdependent)</w:t>
            </w: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2.1</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Circuit/systems modelling is used to eva</w:t>
            </w:r>
            <w:r w:rsidRPr="003368DB">
              <w:t>luate alternative proposals as per established procedures.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2.2</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OHS and sustainable energy principles, functionality and practices to reduce the incidents of accidents and minimise waste are incorporated into the project in accordance with requirements a</w:t>
            </w:r>
            <w:r w:rsidRPr="003368DB">
              <w:t>nd/or established procedures.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2.3</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Commissioning of network protection and control systems (interdependent) decisions are made on the basis of safety and effective outcomes according to requirements and/or established procedures.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2.4</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Mathematical and/or engineering models of the schemes are used to analyse the effectiveness of the finished project as per requirements and established procedures.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2.5</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Technical advice is given regarding potential hazards, safety risks and control measu</w:t>
            </w:r>
            <w:r w:rsidRPr="003368DB">
              <w:t>res so that monitoring and preventative action can be undertaken and/or appropriate authorities consulted, where necessary, in accordance with requirements and established procedures.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2.6</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 xml:space="preserve">Essential knowledge and associated skills are applied to analyse </w:t>
            </w:r>
            <w:r w:rsidRPr="003368DB">
              <w:t>specific data and compare it with compliance specifications to ensure completion of the project within an agreed timeframe according to requirements.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2.7</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Testing of network protection and control systems (interdependent) is undertaken according to requi</w:t>
            </w:r>
            <w:r w:rsidRPr="003368DB">
              <w:t>rements and established procedures.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2.8</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Work teams/groups are arranged/coordinated/evaluated to ensure planned goals are met according to established procedures.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2.9</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Solutions to non-routine problems are identified and actioned, using acquired essential knowledge and associated skills, according to requirements.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2.10</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Quality of work is monitored against personal performance agreement and/or established organisationa</w:t>
            </w:r>
            <w:r w:rsidRPr="003368DB">
              <w:t>l and professional standards.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2.11</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Strategic plans are developed incorporating organisation initiatives as per established procedures.</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3</w:t>
            </w:r>
          </w:p>
        </w:tc>
        <w:tc>
          <w:tcPr>
            <w:tcW w:w="229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Complete the commissioning of network protection and control systems (interdependent)</w:t>
            </w: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3.1</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 xml:space="preserve">Final inspections of the </w:t>
            </w:r>
            <w:r w:rsidRPr="003368DB">
              <w:t>network protection and control systems (interdependent) are undertaken to ensure they comply with all requirements and include all specifications and documentations needed to complete the project.</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3.2</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Appropriate personnel are notified of completion and reports and/or completion documents are finalised/commissioned.</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3.3</w:t>
            </w:r>
          </w:p>
        </w:tc>
        <w:tc>
          <w:tcPr>
            <w:tcW w:w="493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 xml:space="preserve">Reports and/or completion documents are submitted to relevant personnel/organisations for approval and, where applicable, statutory </w:t>
            </w:r>
            <w:r w:rsidRPr="003368DB">
              <w:t>or regulatory approval.</w:t>
            </w:r>
          </w:p>
        </w:tc>
      </w:tr>
      <w:tr w:rsidTr="007918E6">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t>3.4</w:t>
            </w:r>
          </w:p>
        </w:tc>
        <w:tc>
          <w:tcPr>
            <w:tcW w:w="4935"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Approved copies of the commissioning of network protection and control systems (interdependent) documents are issues and records are updated in accordance with established procedures.</w:t>
            </w:r>
          </w:p>
        </w:tc>
      </w:tr>
    </w:tbl>
    <w:p w:rsidR="00000000" w:rsidRPr="003368DB" w:rsidP="003368DB">
      <w:pPr>
        <w:pStyle w:val="BodyText"/>
      </w:pPr>
    </w:p>
    <w:p w:rsidR="00000000" w:rsidRPr="003368DB" w:rsidP="003368DB">
      <w:pPr>
        <w:pStyle w:val="AllowPageBreak"/>
      </w:pPr>
    </w:p>
    <w:p w:rsidR="00000000" w:rsidRPr="003368DB" w:rsidP="003368DB">
      <w:pPr>
        <w:pStyle w:val="Heading1"/>
      </w:pPr>
      <w:bookmarkStart w:id="9" w:name="O_463928"/>
      <w:bookmarkEnd w:id="9"/>
      <w:r w:rsidRPr="003368DB">
        <w:t>Required Skills and Kn</w:t>
      </w:r>
      <w:r w:rsidRPr="003368DB">
        <w:t>owledge</w:t>
      </w:r>
    </w:p>
    <w:tbl>
      <w:tblPr>
        <w:tblW w:w="0" w:type="auto"/>
        <w:tblLayout w:type="fixed"/>
        <w:tblCellMar>
          <w:left w:w="62" w:type="dxa"/>
          <w:right w:w="62" w:type="dxa"/>
        </w:tblCellMar>
        <w:tblLook w:val="0000"/>
      </w:tblPr>
      <w:tblGrid>
        <w:gridCol w:w="8460"/>
      </w:tblGrid>
      <w:tr w:rsidTr="007918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REQUIRED SKILLS AND KNOWLEDGE</w:t>
            </w:r>
          </w:p>
        </w:tc>
      </w:tr>
      <w:tr w:rsidTr="007918E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8)</w:t>
            </w:r>
            <w:r w:rsidRPr="003368DB">
              <w:t xml:space="preserve"> Essential Knowledge and Associated Skills (EKAS): This describes the essential skills and knowledge and their level, required for this unit.</w:t>
            </w:r>
          </w:p>
          <w:p w:rsidR="00000000" w:rsidRPr="003368DB" w:rsidP="003368DB">
            <w:pPr>
              <w:pStyle w:val="BodyText"/>
            </w:pPr>
            <w:r w:rsidRPr="003368DB">
              <w:t>Evidence shall show that kn</w:t>
            </w:r>
            <w:r w:rsidRPr="003368DB">
              <w:t xml:space="preserve">owledge has been acquired of commissioning network protection and control systems (interdependent). </w:t>
            </w:r>
          </w:p>
          <w:p w:rsidR="00000000" w:rsidRPr="003368DB" w:rsidP="003368DB">
            <w:pPr>
              <w:pStyle w:val="BodyText"/>
            </w:pPr>
            <w:r w:rsidRPr="003368DB">
              <w:t>All knowledge and skills detailed in this unit should be contextualised to current industry practices and technologies.</w:t>
            </w:r>
          </w:p>
          <w:p w:rsidR="00000000" w:rsidRPr="003368DB" w:rsidP="003368DB">
            <w:pPr>
              <w:pStyle w:val="BodyText"/>
            </w:pPr>
            <w:r w:rsidRPr="003368DB">
              <w:t xml:space="preserve">KS01-TTS22A </w:t>
            </w:r>
            <w:r w:rsidRPr="003368DB">
              <w:tab/>
              <w:t>Interdependent network</w:t>
            </w:r>
            <w:r w:rsidRPr="003368DB">
              <w:t xml:space="preserve"> protection and control systems - commissioning</w:t>
            </w:r>
          </w:p>
          <w:p w:rsidR="00000000" w:rsidRPr="003368DB" w:rsidP="003368DB">
            <w:pPr>
              <w:pStyle w:val="BodyText"/>
            </w:pPr>
            <w:r w:rsidRPr="003368DB">
              <w:t xml:space="preserve">Evidence shall show an understanding of the interdependent network protection and control systems commissioning to an extent indicated by the following aspects: </w:t>
            </w:r>
          </w:p>
          <w:p w:rsidR="00000000" w:rsidRPr="003368DB" w:rsidP="003368DB">
            <w:pPr>
              <w:pStyle w:val="BodyText"/>
            </w:pPr>
            <w:r w:rsidRPr="003368DB">
              <w:t>T1</w:t>
            </w:r>
            <w:r w:rsidRPr="003368DB">
              <w:tab/>
              <w:t>Commissioning procedures associated with di</w:t>
            </w:r>
            <w:r w:rsidRPr="003368DB">
              <w:t>screte protection and control systems encompassing:</w:t>
            </w:r>
          </w:p>
          <w:p w:rsidR="00000000" w:rsidRPr="003368DB" w:rsidP="003368DB">
            <w:pPr>
              <w:pStyle w:val="ListBullet"/>
            </w:pPr>
            <w:r w:rsidRPr="003368DB">
              <w:t>Standards, codes, Commonwealth/State/Territory legislation, supply authority regulations and or enterprise requirements associated with the commissioning procedures</w:t>
            </w:r>
          </w:p>
          <w:p w:rsidR="00000000" w:rsidRPr="003368DB" w:rsidP="003368DB">
            <w:pPr>
              <w:pStyle w:val="ListBullet"/>
            </w:pPr>
            <w:r w:rsidRPr="003368DB">
              <w:t>Requirements for the use of commission</w:t>
            </w:r>
            <w:r w:rsidRPr="003368DB">
              <w:t>ing manuals, system diagrams/plans and drawings</w:t>
            </w:r>
          </w:p>
          <w:p w:rsidR="00000000" w:rsidRPr="003368DB" w:rsidP="003368DB">
            <w:pPr>
              <w:pStyle w:val="ListBullet"/>
            </w:pPr>
            <w:r w:rsidRPr="003368DB">
              <w:t>Techniques in commissioning procedures – planning, policy, testing techniques, close out requirements.</w:t>
            </w:r>
          </w:p>
          <w:p w:rsidR="00000000" w:rsidRPr="003368DB" w:rsidP="003368DB">
            <w:pPr>
              <w:pStyle w:val="BodyText"/>
            </w:pPr>
            <w:r w:rsidRPr="003368DB">
              <w:t>T2</w:t>
            </w:r>
            <w:r w:rsidRPr="003368DB">
              <w:tab/>
              <w:t>Principles of power transformer construction and operations encompassing:</w:t>
            </w:r>
          </w:p>
          <w:p w:rsidR="00000000" w:rsidRPr="003368DB" w:rsidP="003368DB">
            <w:pPr>
              <w:pStyle w:val="ListBullet"/>
            </w:pPr>
            <w:r w:rsidRPr="003368DB">
              <w:t>Applications of static reac</w:t>
            </w:r>
            <w:r w:rsidRPr="003368DB">
              <w:t>tive plant in high voltage networks, including voltage control, VAR control, transient response capacity</w:t>
            </w:r>
          </w:p>
          <w:p w:rsidR="00000000" w:rsidRPr="003368DB" w:rsidP="003368DB">
            <w:pPr>
              <w:pStyle w:val="ListBullet"/>
            </w:pPr>
            <w:r w:rsidRPr="003368DB">
              <w:t>Types of static reactive plant including high voltage capacitors, high voltage reactors, static VAR compensators and combinations of these</w:t>
            </w:r>
          </w:p>
          <w:p w:rsidR="00000000" w:rsidRPr="003368DB" w:rsidP="003368DB">
            <w:pPr>
              <w:pStyle w:val="ListBullet"/>
            </w:pPr>
            <w:r w:rsidRPr="003368DB">
              <w:t>Operating ch</w:t>
            </w:r>
            <w:r w:rsidRPr="003368DB">
              <w:t>aracteristics and operational constraints including point on wave switching issues</w:t>
            </w:r>
          </w:p>
          <w:p w:rsidR="00000000" w:rsidRPr="003368DB" w:rsidP="003368DB">
            <w:pPr>
              <w:pStyle w:val="ListBullet"/>
            </w:pPr>
            <w:r w:rsidRPr="003368DB">
              <w:t>Ratings, cooling systems and control systems and ancillary equipment used</w:t>
            </w:r>
          </w:p>
          <w:p w:rsidR="00000000" w:rsidRPr="003368DB" w:rsidP="003368DB">
            <w:pPr>
              <w:pStyle w:val="ListBullet"/>
            </w:pPr>
            <w:r w:rsidRPr="003368DB">
              <w:t>Configurations and system layout including single star, double star, bridge type</w:t>
            </w:r>
          </w:p>
          <w:p w:rsidR="00000000" w:rsidRPr="003368DB" w:rsidP="003368DB">
            <w:pPr>
              <w:pStyle w:val="ListBullet"/>
            </w:pPr>
            <w:r w:rsidRPr="003368DB">
              <w:t>Typical protection systems used including neutral unbalance current, neutral unbalance voltage</w:t>
            </w:r>
          </w:p>
          <w:p w:rsidR="00000000" w:rsidRPr="003368DB" w:rsidP="003368DB">
            <w:pPr>
              <w:pStyle w:val="ListBullet"/>
            </w:pPr>
            <w:r w:rsidRPr="003368DB">
              <w:t>Techniques used when balancing elements within static reactive plant</w:t>
            </w:r>
          </w:p>
          <w:p w:rsidR="00000000" w:rsidRPr="003368DB" w:rsidP="003368DB">
            <w:pPr>
              <w:pStyle w:val="ListBullet"/>
            </w:pPr>
            <w:r w:rsidRPr="003368DB">
              <w:t>Safety precautions when testing and maintaining high voltage static reactive plant - safe wo</w:t>
            </w:r>
            <w:r w:rsidRPr="003368DB">
              <w:t>rking practices and procedures, identification of hazards, assessment and control of OHS risks, types, selection, maintenance and use of personal protective equipment.</w:t>
            </w:r>
          </w:p>
        </w:tc>
      </w:tr>
    </w:tbl>
    <w:p w:rsidR="00000000" w:rsidRPr="003368DB" w:rsidP="003368DB">
      <w:pPr>
        <w:pStyle w:val="BodyText"/>
      </w:pPr>
    </w:p>
    <w:p w:rsidR="00000000" w:rsidRPr="003368DB" w:rsidP="003368DB">
      <w:pPr>
        <w:pStyle w:val="AllowPageBreak"/>
      </w:pPr>
    </w:p>
    <w:p w:rsidR="00000000" w:rsidRPr="003368DB" w:rsidP="003368DB">
      <w:pPr>
        <w:pStyle w:val="Heading1"/>
      </w:pPr>
      <w:bookmarkStart w:id="10" w:name="O_463923"/>
      <w:bookmarkEnd w:id="10"/>
      <w:r w:rsidRPr="003368DB">
        <w:t>Evidence Guide</w:t>
      </w:r>
    </w:p>
    <w:tbl>
      <w:tblPr>
        <w:tblW w:w="0" w:type="auto"/>
        <w:tblLayout w:type="fixed"/>
        <w:tblCellMar>
          <w:left w:w="62" w:type="dxa"/>
          <w:right w:w="62" w:type="dxa"/>
        </w:tblCellMar>
        <w:tblLook w:val="0000"/>
      </w:tblPr>
      <w:tblGrid>
        <w:gridCol w:w="8460"/>
      </w:tblGrid>
      <w:tr w:rsidTr="007918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EVIDENCE GUIDE</w:t>
            </w:r>
          </w:p>
        </w:tc>
      </w:tr>
      <w:tr w:rsidTr="007918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9)</w:t>
            </w:r>
            <w:r w:rsidRPr="003368DB">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3368DB" w:rsidP="003368DB">
            <w:pPr>
              <w:pStyle w:val="BodyText"/>
            </w:pPr>
            <w:r w:rsidRPr="003368DB">
              <w:t>The Evidence Guide form</w:t>
            </w:r>
            <w:r w:rsidRPr="003368DB">
              <w:t>s an integral part of this Competency Standard Unit and shall be used in conjunction with all component parts of this unit and, performed in accordance with the Assessment Guidelines of this Training Package.</w:t>
            </w:r>
          </w:p>
        </w:tc>
      </w:tr>
    </w:tbl>
    <w:p w:rsidR="00000000" w:rsidRPr="003368DB" w:rsidP="003368DB">
      <w:pPr>
        <w:pStyle w:val="BodyText"/>
      </w:pPr>
    </w:p>
    <w:tbl>
      <w:tblPr>
        <w:tblW w:w="0" w:type="auto"/>
        <w:tblLayout w:type="fixed"/>
        <w:tblCellMar>
          <w:left w:w="62" w:type="dxa"/>
          <w:right w:w="62" w:type="dxa"/>
        </w:tblCellMar>
        <w:tblLook w:val="0000"/>
      </w:tblPr>
      <w:tblGrid>
        <w:gridCol w:w="1890"/>
        <w:gridCol w:w="6570"/>
      </w:tblGrid>
      <w:tr w:rsidTr="007918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9.1)</w:t>
            </w:r>
          </w:p>
        </w:tc>
      </w:tr>
      <w:tr w:rsidTr="007918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Longitudinal co</w:t>
            </w:r>
            <w:r w:rsidRPr="003368DB">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3368DB">
              <w:t>It is the Industry’s preferred model for apprenticeships. However, where summative (or final) assessment is used it is to include the application of the competency in the normal work environment or, at a minimum, the application of the competency in a real</w:t>
            </w:r>
            <w:r w:rsidRPr="003368DB">
              <w:t>istically simulated work environment. It is recognised that, in some circumstances, assessment in part or full can occur outside the workplace. However, it must be in accord with Industry and, Regulatory policy in this regard.</w:t>
            </w:r>
          </w:p>
          <w:p w:rsidR="00000000" w:rsidRPr="003368DB" w:rsidP="003368DB">
            <w:pPr>
              <w:pStyle w:val="BodyText"/>
            </w:pPr>
            <w:r w:rsidRPr="003368DB">
              <w:t>Methods chosen for a particul</w:t>
            </w:r>
            <w:r w:rsidRPr="003368DB">
              <w:t>ar assessment will be influenced by various factors. These include the extent of the assessment, the most effective locations for the assessment activities to take place, access to physical resources, additional safety measures that may be required and the</w:t>
            </w:r>
            <w:r w:rsidRPr="003368DB">
              <w:t xml:space="preserve"> critical nature of the competencies being assessed.</w:t>
            </w:r>
          </w:p>
          <w:p w:rsidR="00000000" w:rsidRPr="003368DB" w:rsidP="003368DB">
            <w:pPr>
              <w:pStyle w:val="BodyText"/>
            </w:pPr>
            <w:r w:rsidRPr="003368DB">
              <w:t xml:space="preserve">The critical safety nature of working with electricity, electrical equipment, gas or any other hazardous substance/material carries risk in deeming a person competent. Hence, sources of evidence need to </w:t>
            </w:r>
            <w:r w:rsidRPr="003368DB">
              <w:t>be ‘rich’ in nature so as to minimise error in judgment.</w:t>
            </w:r>
          </w:p>
          <w:p w:rsidR="00000000" w:rsidRPr="003368DB" w:rsidP="003368DB">
            <w:pPr>
              <w:pStyle w:val="BodyText"/>
            </w:pPr>
            <w:r w:rsidRPr="003368DB">
              <w:t>Activities associated with normal every day work have a bearing on the decision as to how much and how detailed the data gathered will contribute to its ‘richness’</w:t>
            </w:r>
            <w:r w:rsidRPr="003368DB">
              <w:t>. Some skills are more critical to safety and operational requirements while the same skills may be more or less frequently practiced. These points are raised for the assessors to consider when choosing an assessment method and developing assessment instru</w:t>
            </w:r>
            <w:r w:rsidRPr="003368DB">
              <w:t>ments. Sample assessment instruments are included for Assessors in the Assessment Guidelines of this Training Package.</w:t>
            </w:r>
          </w:p>
        </w:tc>
      </w:tr>
    </w:tbl>
    <w:p w:rsidR="00000000" w:rsidRPr="003368DB" w:rsidP="003368D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7918E6">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9.2)</w:t>
            </w:r>
          </w:p>
        </w:tc>
      </w:tr>
      <w:tr w:rsidTr="007918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Before the critical aspects of evidence are cons</w:t>
            </w:r>
            <w:r w:rsidRPr="003368DB">
              <w:t>idered all prerequisites shall be met.</w:t>
            </w:r>
          </w:p>
          <w:p w:rsidR="00000000" w:rsidRPr="003368DB" w:rsidP="003368DB">
            <w:pPr>
              <w:pStyle w:val="BodyText"/>
            </w:pPr>
            <w:r w:rsidRPr="003368DB">
              <w:t>Evidence for competence in this unit shall be considered holistically. Each element and associated Performance Criteria shall be demonstrated on at least two occasions in accordance with the “Assessment Guidelines – U</w:t>
            </w:r>
            <w:r w:rsidRPr="003368DB">
              <w:t>ET12”. Evidence shall also comprise:</w:t>
            </w:r>
          </w:p>
          <w:p w:rsidR="00000000" w:rsidRPr="003368DB" w:rsidP="003368DB">
            <w:pPr>
              <w:pStyle w:val="ListBullet"/>
            </w:pPr>
            <w:r w:rsidRPr="003368DB">
              <w:t xml:space="preserve">A representative body of Performance Criteria demonstrated within the timeframes typically expected of the discipline, work function and industrial environment. In particular this shall incorporate evidence that shows </w:t>
            </w:r>
            <w:r w:rsidRPr="003368DB">
              <w:t>a candidate is able to:</w:t>
            </w:r>
          </w:p>
          <w:p w:rsidR="00000000" w:rsidRPr="003368DB" w:rsidP="003368DB">
            <w:pPr>
              <w:pStyle w:val="ListBullet2"/>
            </w:pPr>
            <w:r w:rsidRPr="003368DB">
              <w:t>Implement Occupational Health and Safety workplace procedures and practices including the use of risk control measures as specified in the Performance Criteria and range; and</w:t>
            </w:r>
          </w:p>
          <w:p w:rsidR="00000000" w:rsidRPr="003368DB" w:rsidP="003368DB">
            <w:pPr>
              <w:pStyle w:val="ListBullet2"/>
            </w:pPr>
            <w:r w:rsidRPr="003368DB">
              <w:t>Apply sustainable energy principles and practices as specified in the Performance Criteria and range; and</w:t>
            </w:r>
          </w:p>
          <w:p w:rsidR="00000000" w:rsidRPr="003368DB" w:rsidP="003368DB">
            <w:pPr>
              <w:pStyle w:val="ListBullet2"/>
            </w:pPr>
            <w:r w:rsidRPr="003368DB">
              <w:t>Demonstrate an understanding of the essential knowledge and associated skills as described in this unit to such an extent that the learner’s performan</w:t>
            </w:r>
            <w:r w:rsidRPr="003368DB">
              <w:t>ce outcome is reported in accordance with the preferred approach; namely a percentile graded result, where required by the regulated environment; and</w:t>
            </w:r>
          </w:p>
          <w:p w:rsidR="00000000" w:rsidRPr="003368DB" w:rsidP="003368DB">
            <w:pPr>
              <w:pStyle w:val="ListBullet2"/>
            </w:pPr>
            <w:r w:rsidRPr="003368DB">
              <w:t>Demonstrate an appropriate level of employability skills; and</w:t>
            </w:r>
          </w:p>
          <w:p w:rsidR="00000000" w:rsidRPr="003368DB" w:rsidP="003368DB">
            <w:pPr>
              <w:pStyle w:val="ListBullet"/>
            </w:pPr>
            <w:r w:rsidRPr="003368DB">
              <w:t>Conduct work observing the relevant Anti di</w:t>
            </w:r>
            <w:r w:rsidRPr="003368DB">
              <w:t>scrimination legislation, regulations, policies and workplace procedures; and</w:t>
            </w:r>
          </w:p>
          <w:p w:rsidR="00000000" w:rsidP="003368DB">
            <w:pPr>
              <w:pStyle w:val="ListBullet2"/>
              <w:rPr>
                <w:lang w:val="en-NZ"/>
              </w:rPr>
            </w:pPr>
            <w:r w:rsidRPr="003368DB">
              <w:t>Demonstrated performance across a representative range of contexts from the prescribed items below:</w:t>
            </w:r>
          </w:p>
        </w:tc>
      </w:tr>
      <w:tr w:rsidTr="007918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368D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8DB">
            <w:pPr>
              <w:pStyle w:val="BodyText"/>
              <w:rPr>
                <w:lang w:val="en-NZ"/>
              </w:rPr>
            </w:pPr>
            <w:r w:rsidRPr="003368DB">
              <w:rPr>
                <w:rStyle w:val="SpecialBold"/>
              </w:rPr>
              <w:t>Range of tools/equipment/materials/procedures/workplaces/other variables</w:t>
            </w:r>
          </w:p>
        </w:tc>
      </w:tr>
      <w:tr w:rsidTr="007918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368D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8DB" w:rsidP="003368DB">
            <w:pPr>
              <w:pStyle w:val="BodyText"/>
            </w:pPr>
            <w:r w:rsidRPr="003368D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8DB" w:rsidP="003368DB">
            <w:pPr>
              <w:pStyle w:val="BodyText"/>
            </w:pPr>
            <w:r w:rsidRPr="003368D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8DB">
            <w:pPr>
              <w:pStyle w:val="BodyText"/>
              <w:rPr>
                <w:lang w:val="en-NZ"/>
              </w:rPr>
            </w:pPr>
            <w:r w:rsidRPr="003368DB">
              <w:rPr>
                <w:rStyle w:val="SpecialBold"/>
              </w:rPr>
              <w:t>Item List</w:t>
            </w:r>
          </w:p>
        </w:tc>
      </w:tr>
      <w:tr w:rsidTr="007918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8DB">
            <w:pPr>
              <w:pStyle w:val="BodyText"/>
              <w:rPr>
                <w:lang w:val="en-NZ"/>
              </w:rPr>
            </w:pPr>
            <w:r w:rsidRPr="003368D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8DB">
            <w:pPr>
              <w:pStyle w:val="BodyText"/>
              <w:rPr>
                <w:lang w:val="en-NZ"/>
              </w:rPr>
            </w:pPr>
            <w:r w:rsidRPr="003368DB">
              <w:t>Demonstrate commissioning a protection and control system involving at least five (5)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8DB" w:rsidP="003368DB">
            <w:pPr>
              <w:pStyle w:val="BodyText"/>
            </w:pPr>
            <w:r w:rsidRPr="003368DB">
              <w:t>CB fail protection</w:t>
            </w:r>
          </w:p>
          <w:p w:rsidR="00000000" w:rsidRPr="003368DB" w:rsidP="003368DB">
            <w:pPr>
              <w:pStyle w:val="BodyText"/>
            </w:pPr>
            <w:r w:rsidRPr="003368DB">
              <w:t>Master controlled earth fault</w:t>
            </w:r>
          </w:p>
          <w:p w:rsidR="00000000" w:rsidRPr="003368DB" w:rsidP="003368DB">
            <w:pPr>
              <w:pStyle w:val="BodyText"/>
            </w:pPr>
            <w:r w:rsidRPr="003368DB">
              <w:t>Intertripping</w:t>
            </w:r>
          </w:p>
          <w:p w:rsidR="00000000" w:rsidRPr="003368DB" w:rsidP="003368DB">
            <w:pPr>
              <w:pStyle w:val="BodyText"/>
            </w:pPr>
            <w:r w:rsidRPr="003368DB">
              <w:t>Blocking</w:t>
            </w:r>
          </w:p>
          <w:p w:rsidR="00000000" w:rsidRPr="003368DB" w:rsidP="003368DB">
            <w:pPr>
              <w:pStyle w:val="BodyText"/>
            </w:pPr>
            <w:r w:rsidRPr="003368DB">
              <w:t>Synchronising</w:t>
            </w:r>
          </w:p>
          <w:p w:rsidR="00000000" w:rsidRPr="003368DB" w:rsidP="003368DB">
            <w:pPr>
              <w:pStyle w:val="BodyText"/>
            </w:pPr>
            <w:r w:rsidRPr="003368DB">
              <w:t>Pilot wire</w:t>
            </w:r>
          </w:p>
          <w:p w:rsidR="00000000" w:rsidRPr="003368DB" w:rsidP="003368DB">
            <w:pPr>
              <w:pStyle w:val="BodyText"/>
            </w:pPr>
            <w:r w:rsidRPr="003368DB">
              <w:t>Phase comparison</w:t>
            </w:r>
          </w:p>
          <w:p w:rsidR="00000000" w:rsidRPr="003368DB" w:rsidP="003368DB">
            <w:pPr>
              <w:pStyle w:val="BodyText"/>
            </w:pPr>
            <w:r w:rsidRPr="003368DB">
              <w:t>Load shedding</w:t>
            </w:r>
          </w:p>
          <w:p w:rsidR="00000000" w:rsidRPr="003368DB" w:rsidP="003368DB">
            <w:pPr>
              <w:pStyle w:val="BodyText"/>
            </w:pPr>
            <w:r w:rsidRPr="003368DB">
              <w:t>Voltage control protecti</w:t>
            </w:r>
            <w:r w:rsidRPr="003368DB">
              <w:t>on</w:t>
            </w:r>
          </w:p>
          <w:p w:rsidR="00000000" w:rsidRPr="003368DB" w:rsidP="003368DB">
            <w:pPr>
              <w:pStyle w:val="BodyText"/>
            </w:pPr>
            <w:r w:rsidRPr="003368DB">
              <w:t>Frame leakage</w:t>
            </w:r>
          </w:p>
          <w:p w:rsidR="00000000" w:rsidRPr="003368DB" w:rsidP="003368DB">
            <w:pPr>
              <w:pStyle w:val="BodyText"/>
            </w:pPr>
            <w:r w:rsidRPr="003368DB">
              <w:t>Delta current</w:t>
            </w:r>
          </w:p>
          <w:p w:rsidR="00000000" w:rsidP="003368DB">
            <w:pPr>
              <w:pStyle w:val="BodyText"/>
              <w:rPr>
                <w:lang w:val="en-NZ"/>
              </w:rPr>
            </w:pPr>
            <w:r w:rsidRPr="003368DB">
              <w:t>Reverse power.</w:t>
            </w:r>
          </w:p>
        </w:tc>
      </w:tr>
      <w:tr w:rsidTr="007918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8DB">
            <w:pPr>
              <w:pStyle w:val="BodyText"/>
              <w:rPr>
                <w:lang w:val="en-NZ"/>
              </w:rPr>
            </w:pPr>
            <w:r w:rsidRPr="003368D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8DB">
            <w:pPr>
              <w:pStyle w:val="BodyText"/>
              <w:rPr>
                <w:lang w:val="en-NZ"/>
              </w:rPr>
            </w:pPr>
            <w:r w:rsidRPr="003368D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8DB" w:rsidP="003368DB">
            <w:pPr>
              <w:pStyle w:val="BodyText"/>
            </w:pPr>
            <w:r w:rsidRPr="003368DB">
              <w:t xml:space="preserve">Dealing with an unplanned event by drawing on essential knowledge and associated skills to provide appropriate solutions incorporated in the </w:t>
            </w:r>
            <w:r w:rsidRPr="003368DB">
              <w:t>holistic assessment with the above listed items.</w:t>
            </w:r>
          </w:p>
        </w:tc>
      </w:tr>
    </w:tbl>
    <w:p w:rsidR="00000000" w:rsidRPr="003368DB" w:rsidP="003368DB">
      <w:pPr>
        <w:pStyle w:val="BodyText"/>
      </w:pPr>
    </w:p>
    <w:tbl>
      <w:tblPr>
        <w:tblW w:w="0" w:type="auto"/>
        <w:tblLayout w:type="fixed"/>
        <w:tblCellMar>
          <w:left w:w="62" w:type="dxa"/>
          <w:right w:w="62" w:type="dxa"/>
        </w:tblCellMar>
        <w:tblLook w:val="0000"/>
      </w:tblPr>
      <w:tblGrid>
        <w:gridCol w:w="1890"/>
        <w:gridCol w:w="6570"/>
      </w:tblGrid>
      <w:tr w:rsidTr="007918E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9.3)</w:t>
            </w:r>
          </w:p>
        </w:tc>
      </w:tr>
      <w:tr w:rsidTr="007918E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This unit should be assessed as it relates to normal work practice using procedures, information and resources typical of a workplace. This should in</w:t>
            </w:r>
            <w:r w:rsidRPr="003368DB">
              <w:t>clude:</w:t>
            </w:r>
          </w:p>
          <w:p w:rsidR="00000000" w:rsidRPr="003368DB" w:rsidP="003368DB">
            <w:pPr>
              <w:pStyle w:val="ListBullet"/>
            </w:pPr>
            <w:r w:rsidRPr="003368DB">
              <w:t>OHS policy and work procedures and instructions.</w:t>
            </w:r>
          </w:p>
          <w:p w:rsidR="00000000" w:rsidRPr="003368DB" w:rsidP="003368DB">
            <w:pPr>
              <w:pStyle w:val="ListBullet"/>
            </w:pPr>
            <w:r w:rsidRPr="003368DB">
              <w:t>Suitable work environment, facilities, equipment and materials to undertake actual commissioning of network protection and control systems (interdependent).</w:t>
            </w:r>
          </w:p>
          <w:p w:rsidR="00000000" w:rsidRPr="003368DB" w:rsidP="003368DB">
            <w:pPr>
              <w:pStyle w:val="ListBullet"/>
            </w:pPr>
            <w:r w:rsidRPr="003368DB">
              <w:t>Operational access to relevant plant, protection equipment, scheme drawings and specialised testing equipment</w:t>
            </w:r>
          </w:p>
          <w:p w:rsidR="00000000" w:rsidRPr="003368DB" w:rsidP="003368DB">
            <w:pPr>
              <w:pStyle w:val="BodyText"/>
            </w:pPr>
            <w:r w:rsidRPr="003368DB">
              <w:t>In addition to the resources listed above, in Context of and specific resources for assessment, evidence should show demonstrated competency worki</w:t>
            </w:r>
            <w:r w:rsidRPr="003368DB">
              <w:t>ng at realistic heights above ground i.e. above 3 metres, in limited spaces, with different structural/construction types and method and in a variety of environments.</w:t>
            </w:r>
          </w:p>
        </w:tc>
      </w:tr>
    </w:tbl>
    <w:p w:rsidR="00000000" w:rsidRPr="003368DB" w:rsidP="003368DB">
      <w:pPr>
        <w:pStyle w:val="BodyText"/>
      </w:pPr>
    </w:p>
    <w:tbl>
      <w:tblPr>
        <w:tblW w:w="0" w:type="auto"/>
        <w:tblLayout w:type="fixed"/>
        <w:tblCellMar>
          <w:left w:w="62" w:type="dxa"/>
          <w:right w:w="62" w:type="dxa"/>
        </w:tblCellMar>
        <w:tblLook w:val="0000"/>
      </w:tblPr>
      <w:tblGrid>
        <w:gridCol w:w="1890"/>
        <w:gridCol w:w="6570"/>
      </w:tblGrid>
      <w:tr w:rsidTr="007918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9.4)</w:t>
            </w:r>
          </w:p>
        </w:tc>
      </w:tr>
      <w:tr w:rsidTr="007918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This Competency Standard Unit shall be assessed by methods given in Volume 1, Part 3 “Assessment Guidelines”.</w:t>
            </w:r>
          </w:p>
          <w:p w:rsidR="00000000" w:rsidRPr="003368DB" w:rsidP="003368DB">
            <w:pPr>
              <w:pStyle w:val="BodyText"/>
            </w:pPr>
            <w:r w:rsidRPr="003368DB">
              <w:t>Note:</w:t>
            </w:r>
          </w:p>
          <w:p w:rsidR="00000000" w:rsidRPr="003368DB" w:rsidP="003368DB">
            <w:pPr>
              <w:pStyle w:val="BodyText"/>
            </w:pPr>
            <w:r w:rsidRPr="003368DB">
              <w:t>Competent performance with inherent safe working practices is expected in the Transmission, Distribution and Rail Traction Industry. This re</w:t>
            </w:r>
            <w:r w:rsidRPr="003368DB">
              <w:t>quires that the specified essential knowledge and associated skills are assessed in a structured environment which is primarily intended for learning/assessment and incorporates all necessary equipment and facilities for learners to develop and demonstrate</w:t>
            </w:r>
            <w:r w:rsidRPr="003368DB">
              <w:t xml:space="preserve"> the essential knowledge and associated skills described in this unit.</w:t>
            </w:r>
          </w:p>
        </w:tc>
      </w:tr>
    </w:tbl>
    <w:p w:rsidR="00000000" w:rsidRPr="003368DB" w:rsidP="003368DB">
      <w:pPr>
        <w:pStyle w:val="BodyText"/>
      </w:pPr>
    </w:p>
    <w:tbl>
      <w:tblPr>
        <w:tblW w:w="0" w:type="auto"/>
        <w:tblLayout w:type="fixed"/>
        <w:tblCellMar>
          <w:left w:w="62" w:type="dxa"/>
          <w:right w:w="62" w:type="dxa"/>
        </w:tblCellMar>
        <w:tblLook w:val="0000"/>
      </w:tblPr>
      <w:tblGrid>
        <w:gridCol w:w="1890"/>
        <w:gridCol w:w="6570"/>
      </w:tblGrid>
      <w:tr w:rsidTr="007918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9.5)</w:t>
            </w:r>
          </w:p>
        </w:tc>
      </w:tr>
      <w:tr w:rsidTr="007918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There are no concurrent assessment recommendations for this unit.</w:t>
            </w:r>
          </w:p>
        </w:tc>
      </w:tr>
    </w:tbl>
    <w:p w:rsidR="00000000" w:rsidRPr="003368DB" w:rsidP="003368DB">
      <w:pPr>
        <w:pStyle w:val="BodyText"/>
      </w:pPr>
    </w:p>
    <w:p w:rsidR="00000000" w:rsidRPr="003368DB" w:rsidP="003368DB">
      <w:pPr>
        <w:pStyle w:val="AllowPageBreak"/>
      </w:pPr>
    </w:p>
    <w:p w:rsidR="00000000" w:rsidRPr="003368DB" w:rsidP="003368DB">
      <w:pPr>
        <w:pStyle w:val="Heading1"/>
      </w:pPr>
      <w:bookmarkStart w:id="11" w:name="O_463927"/>
      <w:bookmarkEnd w:id="11"/>
      <w:r w:rsidRPr="003368DB">
        <w:t>Range Statement</w:t>
      </w:r>
    </w:p>
    <w:tbl>
      <w:tblPr>
        <w:tblW w:w="0" w:type="auto"/>
        <w:tblLayout w:type="fixed"/>
        <w:tblCellMar>
          <w:left w:w="62" w:type="dxa"/>
          <w:right w:w="62" w:type="dxa"/>
        </w:tblCellMar>
        <w:tblLook w:val="0000"/>
      </w:tblPr>
      <w:tblGrid>
        <w:gridCol w:w="8460"/>
      </w:tblGrid>
      <w:tr w:rsidTr="007918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RANGE STATEMENT</w:t>
            </w:r>
          </w:p>
        </w:tc>
      </w:tr>
      <w:tr w:rsidTr="007918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10)</w:t>
            </w:r>
            <w:r w:rsidRPr="003368DB">
              <w:t xml:space="preserve"> his relates to the unit of competency as a whole providing the range of contexts and conditions to which the Performance Criteria apply. It allows for different work environments and situations that will affect performance.</w:t>
            </w:r>
          </w:p>
          <w:p w:rsidR="00000000" w:rsidRPr="003368DB" w:rsidP="003368DB">
            <w:pPr>
              <w:pStyle w:val="BodyText"/>
            </w:pPr>
            <w:r w:rsidRPr="003368DB">
              <w:t>This Competency Standard Uni</w:t>
            </w:r>
            <w:r w:rsidRPr="003368DB">
              <w:t>t shall be demonstrated in relation to the commissioning of network protection and control systems (interdependent) and may include the following:</w:t>
            </w:r>
          </w:p>
          <w:p w:rsidR="00000000" w:rsidRPr="003368DB" w:rsidP="003368DB">
            <w:pPr>
              <w:pStyle w:val="BodyText"/>
            </w:pPr>
            <w:r w:rsidRPr="003368DB">
              <w:t>Overcurrent, Frame leakage, Cooling, Buchholz, DC Supplies, Restricted Earth, Sensitive Earth Fault, CB Fail,</w:t>
            </w:r>
            <w:r w:rsidRPr="003368DB">
              <w:t xml:space="preserve"> Reclose, DC Frame leakage, CEL Fail, Under Frequency load shed</w:t>
            </w:r>
          </w:p>
          <w:p w:rsidR="00000000" w:rsidRPr="003368DB" w:rsidP="003368DB">
            <w:pPr>
              <w:pStyle w:val="BodyText"/>
            </w:pPr>
            <w:r w:rsidRPr="003368DB">
              <w:t>Instrument Transformers, Trip/Control circuits, Alarms, DC Supplies, CB Fail protection, Master controlled Earth Fault, Intertripping, Blocking, Synchronising, Pilot Wire, Phase Comparison, Lo</w:t>
            </w:r>
            <w:r w:rsidRPr="003368DB">
              <w:t>ad Shedding, Voltage control, parallel operation, load rejection, circuit isolations and restorations, mechanical adjustments, calibration, function tests, reporting, signals, thermals, contraphase, backup, reverse current</w:t>
            </w:r>
          </w:p>
          <w:p w:rsidR="00000000" w:rsidRPr="003368DB" w:rsidP="003368DB">
            <w:pPr>
              <w:pStyle w:val="BodyText"/>
            </w:pPr>
            <w:r w:rsidRPr="003368DB">
              <w:t>The following constants and varia</w:t>
            </w:r>
            <w:r w:rsidRPr="003368DB">
              <w:t>bles included in the element/Performance Criteria in this unit are fully described in the Definitions Section 1 of this volume and form an integral part of the Range Statement of this unit</w:t>
            </w:r>
          </w:p>
          <w:p w:rsidR="00000000" w:rsidRPr="003368DB" w:rsidP="003368DB">
            <w:pPr>
              <w:pStyle w:val="ListBullet3"/>
            </w:pPr>
            <w:r w:rsidRPr="003368DB">
              <w:t>Appropriate and relevant persons (see Personnel)</w:t>
            </w:r>
          </w:p>
          <w:p w:rsidR="00000000" w:rsidRPr="003368DB" w:rsidP="003368DB">
            <w:pPr>
              <w:pStyle w:val="ListBullet3"/>
            </w:pPr>
            <w:r w:rsidRPr="003368DB">
              <w:t>Appropriate autho</w:t>
            </w:r>
            <w:r w:rsidRPr="003368DB">
              <w:t>rities</w:t>
            </w:r>
          </w:p>
          <w:p w:rsidR="00000000" w:rsidRPr="003368DB" w:rsidP="003368DB">
            <w:pPr>
              <w:pStyle w:val="ListBullet3"/>
            </w:pPr>
            <w:r w:rsidRPr="003368DB">
              <w:t>Appropriate work platform</w:t>
            </w:r>
          </w:p>
          <w:p w:rsidR="00000000" w:rsidRPr="003368DB" w:rsidP="003368DB">
            <w:pPr>
              <w:pStyle w:val="ListBullet3"/>
            </w:pPr>
            <w:r w:rsidRPr="003368DB">
              <w:t>Assessing risk</w:t>
            </w:r>
          </w:p>
          <w:p w:rsidR="00000000" w:rsidRPr="003368DB" w:rsidP="003368DB">
            <w:pPr>
              <w:pStyle w:val="ListBullet3"/>
            </w:pPr>
            <w:r w:rsidRPr="003368DB">
              <w:t>Assessment</w:t>
            </w:r>
          </w:p>
          <w:p w:rsidR="00000000" w:rsidRPr="003368DB" w:rsidP="003368DB">
            <w:pPr>
              <w:pStyle w:val="ListBullet3"/>
            </w:pPr>
            <w:r w:rsidRPr="003368DB">
              <w:t>Authorisation</w:t>
            </w:r>
          </w:p>
          <w:p w:rsidR="00000000" w:rsidRPr="003368DB" w:rsidP="003368DB">
            <w:pPr>
              <w:pStyle w:val="ListBullet3"/>
            </w:pPr>
            <w:r w:rsidRPr="003368DB">
              <w:t>Confined space</w:t>
            </w:r>
          </w:p>
          <w:p w:rsidR="00000000" w:rsidRPr="003368DB" w:rsidP="003368DB">
            <w:pPr>
              <w:pStyle w:val="ListBullet3"/>
            </w:pPr>
            <w:r w:rsidRPr="003368DB">
              <w:t>Diagnostic, testing and restoration</w:t>
            </w:r>
          </w:p>
          <w:p w:rsidR="00000000" w:rsidRPr="003368DB" w:rsidP="003368DB">
            <w:pPr>
              <w:pStyle w:val="ListBullet3"/>
            </w:pPr>
            <w:r w:rsidRPr="003368DB">
              <w:t>Documenting detail work events, record keeping and or storage of information</w:t>
            </w:r>
          </w:p>
          <w:p w:rsidR="00000000" w:rsidRPr="003368DB" w:rsidP="003368DB">
            <w:pPr>
              <w:pStyle w:val="ListBullet3"/>
            </w:pPr>
            <w:r w:rsidRPr="003368DB">
              <w:t>Drawings and specifications</w:t>
            </w:r>
          </w:p>
          <w:p w:rsidR="00000000" w:rsidRPr="003368DB" w:rsidP="003368DB">
            <w:pPr>
              <w:pStyle w:val="ListBullet3"/>
            </w:pPr>
            <w:r w:rsidRPr="003368DB">
              <w:t>Emergency</w:t>
            </w:r>
          </w:p>
          <w:p w:rsidR="00000000" w:rsidRPr="003368DB" w:rsidP="003368DB">
            <w:pPr>
              <w:pStyle w:val="ListBullet3"/>
            </w:pPr>
            <w:r w:rsidRPr="003368DB">
              <w:t>Environmental and sustainable energy procedures</w:t>
            </w:r>
          </w:p>
          <w:p w:rsidR="00000000" w:rsidRPr="003368DB" w:rsidP="003368DB">
            <w:pPr>
              <w:pStyle w:val="ListBullet3"/>
            </w:pPr>
            <w:r w:rsidRPr="003368DB">
              <w:t>Environmental legislation</w:t>
            </w:r>
          </w:p>
          <w:p w:rsidR="00000000" w:rsidRPr="003368DB" w:rsidP="003368DB">
            <w:pPr>
              <w:pStyle w:val="ListBullet3"/>
            </w:pPr>
            <w:r w:rsidRPr="003368DB">
              <w:t>Environmental management documentation</w:t>
            </w:r>
          </w:p>
          <w:p w:rsidR="00000000" w:rsidRPr="003368DB" w:rsidP="003368DB">
            <w:pPr>
              <w:pStyle w:val="ListBullet3"/>
            </w:pPr>
            <w:r w:rsidRPr="003368DB">
              <w:t>Established procedures</w:t>
            </w:r>
          </w:p>
          <w:p w:rsidR="00000000" w:rsidRPr="003368DB" w:rsidP="003368DB">
            <w:pPr>
              <w:pStyle w:val="ListBullet3"/>
            </w:pPr>
            <w:r w:rsidRPr="003368DB">
              <w:t>Fall prevention</w:t>
            </w:r>
          </w:p>
          <w:p w:rsidR="00000000" w:rsidRPr="003368DB" w:rsidP="003368DB">
            <w:pPr>
              <w:pStyle w:val="ListBullet3"/>
            </w:pPr>
            <w:r w:rsidRPr="003368DB">
              <w:t>Hazards</w:t>
            </w:r>
          </w:p>
          <w:p w:rsidR="00000000" w:rsidRPr="003368DB" w:rsidP="003368DB">
            <w:pPr>
              <w:pStyle w:val="ListBullet3"/>
            </w:pPr>
            <w:r w:rsidRPr="003368DB">
              <w:t>Identifying hazards</w:t>
            </w:r>
          </w:p>
          <w:p w:rsidR="00000000" w:rsidRPr="003368DB" w:rsidP="003368DB">
            <w:pPr>
              <w:pStyle w:val="ListBullet3"/>
            </w:pPr>
            <w:r w:rsidRPr="003368DB">
              <w:t>Inspect</w:t>
            </w:r>
          </w:p>
          <w:p w:rsidR="00000000" w:rsidRPr="003368DB" w:rsidP="003368DB">
            <w:pPr>
              <w:pStyle w:val="ListBullet3"/>
            </w:pPr>
            <w:r w:rsidRPr="003368DB">
              <w:t>Legislation</w:t>
            </w:r>
          </w:p>
          <w:p w:rsidR="00000000" w:rsidRPr="003368DB" w:rsidP="003368DB">
            <w:pPr>
              <w:pStyle w:val="ListBullet3"/>
            </w:pPr>
            <w:r w:rsidRPr="003368DB">
              <w:t>MSDS</w:t>
            </w:r>
          </w:p>
          <w:p w:rsidR="00000000" w:rsidRPr="003368DB" w:rsidP="003368DB">
            <w:pPr>
              <w:pStyle w:val="ListBullet3"/>
            </w:pPr>
            <w:r w:rsidRPr="003368DB">
              <w:t>Notification</w:t>
            </w:r>
          </w:p>
          <w:p w:rsidR="00000000" w:rsidRPr="003368DB" w:rsidP="003368DB">
            <w:pPr>
              <w:pStyle w:val="ListBullet3"/>
            </w:pPr>
            <w:r w:rsidRPr="003368DB">
              <w:t>OHS practices</w:t>
            </w:r>
          </w:p>
          <w:p w:rsidR="00000000" w:rsidRPr="003368DB" w:rsidP="003368DB">
            <w:pPr>
              <w:pStyle w:val="ListBullet3"/>
            </w:pPr>
            <w:r w:rsidRPr="003368DB">
              <w:t>OHS issues</w:t>
            </w:r>
          </w:p>
          <w:p w:rsidR="00000000" w:rsidRPr="003368DB" w:rsidP="003368DB">
            <w:pPr>
              <w:pStyle w:val="ListBullet3"/>
            </w:pPr>
            <w:r w:rsidRPr="003368DB">
              <w:t>Permits and/o</w:t>
            </w:r>
            <w:r w:rsidRPr="003368DB">
              <w:t>r permits to work</w:t>
            </w:r>
          </w:p>
          <w:p w:rsidR="00000000" w:rsidRPr="003368DB" w:rsidP="003368DB">
            <w:pPr>
              <w:pStyle w:val="ListBullet3"/>
            </w:pPr>
            <w:r w:rsidRPr="003368DB">
              <w:t>Personnel</w:t>
            </w:r>
          </w:p>
          <w:p w:rsidR="00000000" w:rsidRPr="003368DB" w:rsidP="003368DB">
            <w:pPr>
              <w:pStyle w:val="ListBullet3"/>
            </w:pPr>
            <w:r w:rsidRPr="003368DB">
              <w:t>Quality assurance systems</w:t>
            </w:r>
          </w:p>
          <w:p w:rsidR="00000000" w:rsidRPr="003368DB" w:rsidP="003368DB">
            <w:pPr>
              <w:pStyle w:val="ListBullet3"/>
            </w:pPr>
            <w:r w:rsidRPr="003368DB">
              <w:t>Requirements</w:t>
            </w:r>
          </w:p>
          <w:p w:rsidR="00000000" w:rsidRPr="003368DB" w:rsidP="003368DB">
            <w:pPr>
              <w:pStyle w:val="ListBullet3"/>
            </w:pPr>
            <w:r w:rsidRPr="003368DB">
              <w:t>Testing procedures</w:t>
            </w:r>
          </w:p>
          <w:p w:rsidR="00000000" w:rsidRPr="003368DB" w:rsidP="003368DB">
            <w:pPr>
              <w:pStyle w:val="ListBullet3"/>
            </w:pPr>
            <w:r w:rsidRPr="003368DB">
              <w:t>Work clearance systems</w:t>
            </w:r>
          </w:p>
        </w:tc>
      </w:tr>
    </w:tbl>
    <w:p w:rsidR="00000000" w:rsidRPr="003368DB" w:rsidP="003368DB">
      <w:pPr>
        <w:pStyle w:val="BodyText"/>
      </w:pPr>
    </w:p>
    <w:p w:rsidR="00000000" w:rsidRPr="003368DB" w:rsidP="003368DB">
      <w:pPr>
        <w:pStyle w:val="AllowPageBreak"/>
      </w:pPr>
    </w:p>
    <w:p w:rsidR="00000000" w:rsidRPr="003368DB" w:rsidP="003368DB">
      <w:pPr>
        <w:pStyle w:val="Heading1"/>
      </w:pPr>
      <w:bookmarkStart w:id="12" w:name="O_463930"/>
      <w:bookmarkEnd w:id="12"/>
      <w:r w:rsidRPr="003368DB">
        <w:t>Unit Sector(s)</w:t>
      </w:r>
    </w:p>
    <w:p w:rsidR="00000000" w:rsidRPr="003368DB" w:rsidP="003368DB">
      <w:pPr>
        <w:pStyle w:val="BodyText"/>
      </w:pPr>
      <w:r w:rsidRPr="003368DB">
        <w:t>Not applicable.</w:t>
      </w:r>
    </w:p>
    <w:p w:rsidR="00000000" w:rsidRPr="003368DB" w:rsidP="003368DB">
      <w:pPr>
        <w:pStyle w:val="AllowPageBreak"/>
      </w:pPr>
    </w:p>
    <w:p w:rsidR="00000000" w:rsidRPr="003368DB" w:rsidP="003368DB">
      <w:pPr>
        <w:pStyle w:val="Heading1"/>
      </w:pPr>
      <w:bookmarkStart w:id="13" w:name="O_463917"/>
      <w:bookmarkEnd w:id="13"/>
      <w:r w:rsidRPr="003368DB">
        <w:t>Competency Field</w:t>
      </w:r>
    </w:p>
    <w:tbl>
      <w:tblPr>
        <w:tblW w:w="0" w:type="auto"/>
        <w:tblLayout w:type="fixed"/>
        <w:tblCellMar>
          <w:left w:w="62" w:type="dxa"/>
          <w:right w:w="62" w:type="dxa"/>
        </w:tblCellMar>
        <w:tblLook w:val="0000"/>
      </w:tblPr>
      <w:tblGrid>
        <w:gridCol w:w="2700"/>
        <w:gridCol w:w="5760"/>
      </w:tblGrid>
      <w:tr w:rsidTr="007918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368DB">
            <w:pPr>
              <w:pStyle w:val="BodyText"/>
              <w:rPr>
                <w:lang w:val="en-NZ"/>
              </w:rPr>
            </w:pPr>
            <w:r w:rsidRPr="003368DB">
              <w:rPr>
                <w:rStyle w:val="SpecialBold"/>
              </w:rPr>
              <w:t xml:space="preserve">11) </w:t>
            </w:r>
          </w:p>
        </w:tc>
      </w:tr>
      <w:tr w:rsidTr="00791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68DB" w:rsidP="003368DB">
            <w:pPr>
              <w:pStyle w:val="BodyText"/>
            </w:pPr>
            <w:r w:rsidRPr="003368DB">
              <w:t>Testing Units</w:t>
            </w:r>
          </w:p>
        </w:tc>
      </w:tr>
    </w:tbl>
    <w:p w:rsidR="00000000" w:rsidRPr="003368DB" w:rsidP="003368DB">
      <w:pPr>
        <w:pStyle w:val="BodyText"/>
      </w:pPr>
    </w:p>
    <w:p w:rsidR="00000000" w:rsidRPr="003368DB" w:rsidP="003368DB"/>
    <w:sectPr w:rsidSect="003368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8E6" w:rsidP="007918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E6" w:rsidP="003368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918E6" w:rsidP="003368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918E6" w:rsidP="003368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8E6" w:rsidP="007918E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E6" w:rsidP="003368DB">
    <w:pPr>
      <w:pStyle w:val="Header"/>
      <w:framePr w:wrap="around"/>
    </w:pPr>
    <w:r>
      <w:fldChar w:fldCharType="begin"/>
    </w:r>
    <w:r>
      <w:instrText xml:space="preserve"> TITLE   \* MERGEFORMAT </w:instrText>
    </w:r>
    <w:r>
      <w:fldChar w:fldCharType="separate"/>
    </w:r>
    <w:r>
      <w:t>UETTDRTS22A Commission interdependent network protection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18E6" w:rsidP="003368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724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9AC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268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8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68DB"/>
    <w:pPr>
      <w:spacing w:before="360" w:after="60"/>
      <w:outlineLvl w:val="0"/>
    </w:pPr>
    <w:rPr>
      <w:sz w:val="32"/>
    </w:rPr>
  </w:style>
  <w:style w:type="paragraph" w:styleId="Heading2">
    <w:name w:val="heading 2"/>
    <w:basedOn w:val="HeadingBase"/>
    <w:next w:val="BodyText"/>
    <w:link w:val="Heading2Char"/>
    <w:qFormat/>
    <w:rsid w:val="003368DB"/>
    <w:pPr>
      <w:keepLines/>
      <w:spacing w:before="240" w:after="120"/>
      <w:outlineLvl w:val="1"/>
    </w:pPr>
    <w:rPr>
      <w:sz w:val="28"/>
      <w:szCs w:val="40"/>
    </w:rPr>
  </w:style>
  <w:style w:type="paragraph" w:styleId="Heading3">
    <w:name w:val="heading 3"/>
    <w:basedOn w:val="HeadingBase"/>
    <w:next w:val="BodyText"/>
    <w:link w:val="Heading3Char"/>
    <w:qFormat/>
    <w:rsid w:val="003368DB"/>
    <w:pPr>
      <w:spacing w:before="180" w:after="120"/>
      <w:outlineLvl w:val="2"/>
    </w:pPr>
    <w:rPr>
      <w:spacing w:val="-10"/>
      <w:kern w:val="32"/>
    </w:rPr>
  </w:style>
  <w:style w:type="paragraph" w:styleId="Heading4">
    <w:name w:val="heading 4"/>
    <w:basedOn w:val="HeadingBase"/>
    <w:next w:val="BodyText"/>
    <w:link w:val="Heading4Char"/>
    <w:qFormat/>
    <w:rsid w:val="003368DB"/>
    <w:pPr>
      <w:spacing w:before="160" w:after="120"/>
      <w:outlineLvl w:val="3"/>
    </w:pPr>
    <w:rPr>
      <w:sz w:val="22"/>
    </w:rPr>
  </w:style>
  <w:style w:type="paragraph" w:styleId="Heading5">
    <w:name w:val="heading 5"/>
    <w:basedOn w:val="HeadingBase"/>
    <w:next w:val="Normal"/>
    <w:link w:val="Heading5Char"/>
    <w:qFormat/>
    <w:rsid w:val="003368DB"/>
    <w:pPr>
      <w:spacing w:before="80"/>
      <w:outlineLvl w:val="4"/>
    </w:pPr>
    <w:rPr>
      <w:color w:val="918585"/>
      <w:sz w:val="20"/>
    </w:rPr>
  </w:style>
  <w:style w:type="paragraph" w:styleId="Heading6">
    <w:name w:val="heading 6"/>
    <w:basedOn w:val="HeadingBase"/>
    <w:next w:val="Normal"/>
    <w:link w:val="Heading6Char"/>
    <w:qFormat/>
    <w:rsid w:val="003368DB"/>
    <w:pPr>
      <w:spacing w:before="60"/>
      <w:outlineLvl w:val="5"/>
    </w:pPr>
    <w:rPr>
      <w:color w:val="918585"/>
      <w:sz w:val="20"/>
    </w:rPr>
  </w:style>
  <w:style w:type="paragraph" w:styleId="Heading7">
    <w:name w:val="heading 7"/>
    <w:basedOn w:val="Normal"/>
    <w:next w:val="Normal"/>
    <w:link w:val="Heading7Char"/>
    <w:qFormat/>
    <w:rsid w:val="003368DB"/>
    <w:pPr>
      <w:ind w:left="720"/>
      <w:outlineLvl w:val="6"/>
    </w:pPr>
    <w:rPr>
      <w:i/>
    </w:rPr>
  </w:style>
  <w:style w:type="paragraph" w:styleId="Heading8">
    <w:name w:val="heading 8"/>
    <w:basedOn w:val="Normal"/>
    <w:next w:val="Normal"/>
    <w:link w:val="Heading8Char"/>
    <w:qFormat/>
    <w:rsid w:val="003368DB"/>
    <w:pPr>
      <w:ind w:left="720"/>
      <w:outlineLvl w:val="7"/>
    </w:pPr>
    <w:rPr>
      <w:i/>
    </w:rPr>
  </w:style>
  <w:style w:type="paragraph" w:styleId="Heading9">
    <w:name w:val="heading 9"/>
    <w:basedOn w:val="Normal"/>
    <w:next w:val="Normal"/>
    <w:link w:val="Heading9Char"/>
    <w:qFormat/>
    <w:rsid w:val="003368DB"/>
    <w:pPr>
      <w:ind w:left="720"/>
      <w:outlineLvl w:val="8"/>
    </w:pPr>
    <w:rPr>
      <w:i/>
    </w:rPr>
  </w:style>
  <w:style w:type="character" w:default="1" w:styleId="DefaultParagraphFont">
    <w:name w:val="Default Paragraph Font"/>
    <w:uiPriority w:val="1"/>
    <w:unhideWhenUsed/>
    <w:rsid w:val="003368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8DB"/>
  </w:style>
  <w:style w:type="character" w:customStyle="1" w:styleId="Heading1Char">
    <w:name w:val="Heading 1 Char"/>
    <w:link w:val="Heading1"/>
    <w:rsid w:val="003368DB"/>
    <w:rPr>
      <w:rFonts w:ascii="Times New Roman" w:eastAsia="Times New Roman" w:hAnsi="Times New Roman" w:cs="Times New Roman"/>
      <w:b/>
      <w:sz w:val="32"/>
      <w:szCs w:val="20"/>
      <w:lang w:eastAsia="en-US"/>
    </w:rPr>
  </w:style>
  <w:style w:type="paragraph" w:styleId="BodyText">
    <w:name w:val="Body Text"/>
    <w:basedOn w:val="Normal"/>
    <w:link w:val="BodyTextChar"/>
    <w:rsid w:val="003368DB"/>
    <w:pPr>
      <w:spacing w:before="120" w:after="120"/>
      <w:contextualSpacing/>
    </w:pPr>
    <w:rPr>
      <w:rFonts w:ascii="Times New Roman" w:hAnsi="Times New Roman"/>
      <w:sz w:val="24"/>
      <w:szCs w:val="22"/>
    </w:rPr>
  </w:style>
  <w:style w:type="character" w:customStyle="1" w:styleId="BodyTextChar">
    <w:name w:val="Body Text Char"/>
    <w:link w:val="BodyText"/>
    <w:rsid w:val="003368DB"/>
    <w:rPr>
      <w:rFonts w:ascii="Times New Roman" w:eastAsia="Times New Roman" w:hAnsi="Times New Roman" w:cs="Times New Roman"/>
      <w:sz w:val="24"/>
      <w:lang w:val="en-US" w:eastAsia="en-US"/>
    </w:rPr>
  </w:style>
  <w:style w:type="paragraph" w:styleId="Footer">
    <w:name w:val="footer"/>
    <w:basedOn w:val="Normal"/>
    <w:link w:val="FooterChar"/>
    <w:rsid w:val="003368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68DB"/>
    <w:rPr>
      <w:rFonts w:ascii="Times New Roman" w:eastAsia="Times New Roman" w:hAnsi="Times New Roman" w:cs="Times New Roman"/>
      <w:sz w:val="16"/>
      <w:lang w:val="en-US" w:eastAsia="en-US"/>
    </w:rPr>
  </w:style>
  <w:style w:type="paragraph" w:styleId="ListBullet">
    <w:name w:val="List Bullet"/>
    <w:basedOn w:val="List"/>
    <w:rsid w:val="003368DB"/>
    <w:pPr>
      <w:numPr>
        <w:numId w:val="14"/>
      </w:numPr>
      <w:tabs>
        <w:tab w:val="clear" w:pos="340"/>
      </w:tabs>
      <w:spacing w:before="40" w:after="40"/>
    </w:pPr>
  </w:style>
  <w:style w:type="character" w:customStyle="1" w:styleId="SpecialBold">
    <w:name w:val="Special Bold"/>
    <w:rsid w:val="003368DB"/>
    <w:rPr>
      <w:b/>
      <w:spacing w:val="0"/>
    </w:rPr>
  </w:style>
  <w:style w:type="paragraph" w:styleId="ListBullet2">
    <w:name w:val="List Bullet 2"/>
    <w:basedOn w:val="List2"/>
    <w:rsid w:val="003368DB"/>
    <w:pPr>
      <w:numPr>
        <w:numId w:val="15"/>
      </w:numPr>
      <w:tabs>
        <w:tab w:val="clear" w:pos="680"/>
      </w:tabs>
    </w:pPr>
  </w:style>
  <w:style w:type="paragraph" w:styleId="Header">
    <w:name w:val="header"/>
    <w:basedOn w:val="Normal"/>
    <w:link w:val="HeaderChar"/>
    <w:rsid w:val="003368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68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68DB"/>
    <w:pPr>
      <w:spacing w:before="240" w:after="120"/>
      <w:outlineLvl w:val="0"/>
    </w:pPr>
    <w:rPr>
      <w:rFonts w:ascii="Times New Roman" w:hAnsi="Times New Roman"/>
      <w:b/>
      <w:sz w:val="28"/>
    </w:rPr>
  </w:style>
  <w:style w:type="paragraph" w:customStyle="1" w:styleId="AllowPageBreak">
    <w:name w:val="AllowPageBreak"/>
    <w:rsid w:val="003368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68DB"/>
    <w:pPr>
      <w:numPr>
        <w:numId w:val="3"/>
      </w:numPr>
      <w:tabs>
        <w:tab w:val="clear" w:pos="1021"/>
      </w:tabs>
      <w:ind w:left="1037" w:hanging="357"/>
    </w:pPr>
  </w:style>
  <w:style w:type="character" w:customStyle="1" w:styleId="Heading2Char">
    <w:name w:val="Heading 2 Char"/>
    <w:link w:val="Heading2"/>
    <w:rsid w:val="003368DB"/>
    <w:rPr>
      <w:rFonts w:ascii="Times New Roman" w:eastAsia="Times New Roman" w:hAnsi="Times New Roman" w:cs="Times New Roman"/>
      <w:b/>
      <w:sz w:val="28"/>
      <w:szCs w:val="40"/>
      <w:lang w:eastAsia="en-US"/>
    </w:rPr>
  </w:style>
  <w:style w:type="character" w:customStyle="1" w:styleId="Heading3Char">
    <w:name w:val="Heading 3 Char"/>
    <w:link w:val="Heading3"/>
    <w:rsid w:val="003368D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68DB"/>
    <w:rPr>
      <w:rFonts w:ascii="Times New Roman" w:eastAsia="Times New Roman" w:hAnsi="Times New Roman" w:cs="Times New Roman"/>
      <w:b/>
      <w:szCs w:val="20"/>
      <w:lang w:eastAsia="en-US"/>
    </w:rPr>
  </w:style>
  <w:style w:type="character" w:customStyle="1" w:styleId="Heading5Char">
    <w:name w:val="Heading 5 Char"/>
    <w:link w:val="Heading5"/>
    <w:rsid w:val="003368D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68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8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68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68DB"/>
    <w:rPr>
      <w:rFonts w:ascii="Courier New" w:eastAsia="Times New Roman" w:hAnsi="Courier New" w:cs="Times New Roman"/>
      <w:i/>
      <w:szCs w:val="20"/>
      <w:lang w:val="en-US" w:eastAsia="en-US"/>
    </w:rPr>
  </w:style>
  <w:style w:type="paragraph" w:customStyle="1" w:styleId="HeadingBase">
    <w:name w:val="Heading Base"/>
    <w:rsid w:val="003368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8DB"/>
    <w:pPr>
      <w:tabs>
        <w:tab w:val="right" w:leader="dot" w:pos="9072"/>
      </w:tabs>
      <w:ind w:left="567"/>
    </w:pPr>
    <w:rPr>
      <w:szCs w:val="22"/>
    </w:rPr>
  </w:style>
  <w:style w:type="paragraph" w:customStyle="1" w:styleId="TOCBase">
    <w:name w:val="TOC Base"/>
    <w:rsid w:val="003368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8DB"/>
    <w:pPr>
      <w:tabs>
        <w:tab w:val="right" w:leader="dot" w:pos="9072"/>
      </w:tabs>
      <w:spacing w:before="40" w:after="40"/>
      <w:ind w:left="284"/>
    </w:pPr>
    <w:rPr>
      <w:rFonts w:ascii="Times New Roman" w:hAnsi="Times New Roman"/>
    </w:rPr>
  </w:style>
  <w:style w:type="paragraph" w:styleId="TOC1">
    <w:name w:val="toc 1"/>
    <w:basedOn w:val="TOCBase"/>
    <w:next w:val="Normal"/>
    <w:rsid w:val="003368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68DB"/>
    <w:pPr>
      <w:spacing w:before="5040"/>
      <w:jc w:val="center"/>
    </w:pPr>
    <w:rPr>
      <w:sz w:val="48"/>
      <w:szCs w:val="72"/>
      <w:lang w:val="en-US"/>
    </w:rPr>
  </w:style>
  <w:style w:type="character" w:customStyle="1" w:styleId="TitleChar">
    <w:name w:val="Title Char"/>
    <w:link w:val="Title"/>
    <w:rsid w:val="003368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8DB"/>
    <w:pPr>
      <w:tabs>
        <w:tab w:val="left" w:pos="3600"/>
        <w:tab w:val="left" w:pos="3958"/>
      </w:tabs>
    </w:pPr>
  </w:style>
  <w:style w:type="paragraph" w:styleId="List">
    <w:name w:val="List"/>
    <w:basedOn w:val="BodyText"/>
    <w:next w:val="BodyText"/>
    <w:rsid w:val="003368DB"/>
    <w:pPr>
      <w:tabs>
        <w:tab w:val="left" w:pos="340"/>
      </w:tabs>
      <w:spacing w:before="60" w:after="60"/>
      <w:ind w:left="340" w:hanging="340"/>
    </w:pPr>
  </w:style>
  <w:style w:type="paragraph" w:customStyle="1" w:styleId="Note">
    <w:name w:val="Note"/>
    <w:basedOn w:val="BodyText"/>
    <w:rsid w:val="003368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8DB"/>
    <w:pPr>
      <w:framePr w:wrap="auto" w:hAnchor="text" w:y="6049"/>
    </w:pPr>
    <w:rPr>
      <w:color w:val="000000"/>
      <w:sz w:val="40"/>
    </w:rPr>
  </w:style>
  <w:style w:type="paragraph" w:customStyle="1" w:styleId="TOCTitle">
    <w:name w:val="TOCTitle"/>
    <w:basedOn w:val="Heading1"/>
    <w:rsid w:val="003368DB"/>
    <w:pPr>
      <w:spacing w:after="240"/>
      <w:jc w:val="center"/>
      <w:outlineLvl w:val="9"/>
    </w:pPr>
    <w:rPr>
      <w:caps/>
    </w:rPr>
  </w:style>
  <w:style w:type="paragraph" w:customStyle="1" w:styleId="Version">
    <w:name w:val="Version"/>
    <w:rsid w:val="003368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8DB"/>
    <w:pPr>
      <w:keepNext w:val="0"/>
      <w:tabs>
        <w:tab w:val="right" w:pos="4176"/>
      </w:tabs>
      <w:ind w:left="198" w:hanging="198"/>
    </w:pPr>
    <w:rPr>
      <w:rFonts w:ascii="Garamond" w:hAnsi="Garamond"/>
    </w:rPr>
  </w:style>
  <w:style w:type="paragraph" w:styleId="IndexHeading">
    <w:name w:val="index heading"/>
    <w:basedOn w:val="Normal"/>
    <w:next w:val="Index1"/>
    <w:semiHidden/>
    <w:rsid w:val="003368DB"/>
    <w:pPr>
      <w:spacing w:before="120" w:after="120"/>
    </w:pPr>
    <w:rPr>
      <w:rFonts w:ascii="Arial" w:hAnsi="Arial"/>
      <w:b/>
      <w:color w:val="918585"/>
      <w:sz w:val="24"/>
    </w:rPr>
  </w:style>
  <w:style w:type="paragraph" w:customStyle="1" w:styleId="Chapter">
    <w:name w:val="Chapter"/>
    <w:basedOn w:val="Normal"/>
    <w:rsid w:val="003368DB"/>
    <w:pPr>
      <w:spacing w:before="240"/>
    </w:pPr>
    <w:rPr>
      <w:rFonts w:ascii="Times New Roman" w:hAnsi="Times New Roman"/>
      <w:smallCaps/>
      <w:spacing w:val="80"/>
      <w:sz w:val="28"/>
    </w:rPr>
  </w:style>
  <w:style w:type="paragraph" w:customStyle="1" w:styleId="InChapter">
    <w:name w:val="InChapter"/>
    <w:basedOn w:val="Heading3"/>
    <w:rsid w:val="003368DB"/>
    <w:pPr>
      <w:spacing w:after="240"/>
      <w:outlineLvl w:val="9"/>
    </w:pPr>
    <w:rPr>
      <w:noProof/>
    </w:rPr>
  </w:style>
  <w:style w:type="paragraph" w:styleId="Index2">
    <w:name w:val="index 2"/>
    <w:basedOn w:val="Normal"/>
    <w:next w:val="Normal"/>
    <w:semiHidden/>
    <w:rsid w:val="003368DB"/>
    <w:pPr>
      <w:tabs>
        <w:tab w:val="right" w:pos="4176"/>
      </w:tabs>
      <w:ind w:left="568" w:hanging="284"/>
    </w:pPr>
    <w:rPr>
      <w:rFonts w:ascii="Garamond" w:hAnsi="Garamond"/>
    </w:rPr>
  </w:style>
  <w:style w:type="paragraph" w:customStyle="1" w:styleId="Byline">
    <w:name w:val="Byline"/>
    <w:rsid w:val="003368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8DB"/>
    <w:pPr>
      <w:tabs>
        <w:tab w:val="clear" w:pos="3600"/>
        <w:tab w:val="clear" w:pos="3958"/>
      </w:tabs>
      <w:jc w:val="right"/>
    </w:pPr>
  </w:style>
  <w:style w:type="character" w:styleId="Emphasis">
    <w:name w:val="Emphasis"/>
    <w:qFormat/>
    <w:rsid w:val="003368DB"/>
    <w:rPr>
      <w:i/>
    </w:rPr>
  </w:style>
  <w:style w:type="paragraph" w:styleId="Caption">
    <w:name w:val="caption"/>
    <w:basedOn w:val="BodyText"/>
    <w:next w:val="Normal"/>
    <w:qFormat/>
    <w:rsid w:val="003368DB"/>
    <w:pPr>
      <w:framePr w:w="2268" w:hSpace="181" w:vSpace="181" w:wrap="around" w:vAnchor="text" w:hAnchor="page" w:x="1135" w:y="285" w:anchorLock="1"/>
    </w:pPr>
    <w:rPr>
      <w:i/>
    </w:rPr>
  </w:style>
  <w:style w:type="paragraph" w:customStyle="1" w:styleId="MiniTOCTitle">
    <w:name w:val="MiniTOCTitle"/>
    <w:basedOn w:val="Heading4"/>
    <w:rsid w:val="003368DB"/>
    <w:pPr>
      <w:spacing w:before="240"/>
      <w:outlineLvl w:val="9"/>
    </w:pPr>
    <w:rPr>
      <w:noProof/>
      <w:sz w:val="24"/>
    </w:rPr>
  </w:style>
  <w:style w:type="paragraph" w:customStyle="1" w:styleId="MiniTOCItem">
    <w:name w:val="MiniTOCItem"/>
    <w:basedOn w:val="ListBullet"/>
    <w:rsid w:val="003368DB"/>
    <w:pPr>
      <w:numPr>
        <w:numId w:val="0"/>
      </w:numPr>
      <w:tabs>
        <w:tab w:val="right" w:leader="dot" w:pos="6521"/>
      </w:tabs>
      <w:spacing w:before="0" w:after="0"/>
    </w:pPr>
  </w:style>
  <w:style w:type="paragraph" w:customStyle="1" w:styleId="TOFTitle">
    <w:name w:val="TOFTitle"/>
    <w:basedOn w:val="TOCTitle"/>
    <w:rsid w:val="003368DB"/>
  </w:style>
  <w:style w:type="paragraph" w:styleId="TableofFigures">
    <w:name w:val="table of figures"/>
    <w:basedOn w:val="Normal"/>
    <w:next w:val="Normal"/>
    <w:semiHidden/>
    <w:rsid w:val="003368DB"/>
    <w:pPr>
      <w:tabs>
        <w:tab w:val="right" w:leader="dot" w:pos="9072"/>
      </w:tabs>
      <w:ind w:left="970" w:hanging="403"/>
    </w:pPr>
    <w:rPr>
      <w:rFonts w:ascii="Times New Roman" w:hAnsi="Times New Roman"/>
      <w:b/>
    </w:rPr>
  </w:style>
  <w:style w:type="paragraph" w:styleId="ListNumber">
    <w:name w:val="List Number"/>
    <w:basedOn w:val="List"/>
    <w:rsid w:val="003368DB"/>
    <w:pPr>
      <w:numPr>
        <w:numId w:val="12"/>
      </w:numPr>
    </w:pPr>
  </w:style>
  <w:style w:type="character" w:customStyle="1" w:styleId="WingdingSymbols">
    <w:name w:val="Wingding Symbols"/>
    <w:rsid w:val="003368DB"/>
    <w:rPr>
      <w:rFonts w:ascii="Wingdings" w:hAnsi="Wingdings"/>
    </w:rPr>
  </w:style>
  <w:style w:type="paragraph" w:customStyle="1" w:styleId="TableHeading">
    <w:name w:val="Table Heading"/>
    <w:basedOn w:val="HeadingBase"/>
    <w:rsid w:val="003368DB"/>
    <w:pPr>
      <w:keepLines/>
      <w:pBdr>
        <w:bottom w:val="single" w:sz="6" w:space="1" w:color="918585"/>
      </w:pBdr>
      <w:spacing w:before="240"/>
    </w:pPr>
  </w:style>
  <w:style w:type="character" w:customStyle="1" w:styleId="HotSpot">
    <w:name w:val="HotSpot"/>
    <w:rsid w:val="003368DB"/>
    <w:rPr>
      <w:color w:val="0033CC"/>
      <w:u w:val="none"/>
    </w:rPr>
  </w:style>
  <w:style w:type="paragraph" w:customStyle="1" w:styleId="BodyTextRight">
    <w:name w:val="Body Text Right"/>
    <w:basedOn w:val="BodyText"/>
    <w:rsid w:val="003368DB"/>
    <w:pPr>
      <w:spacing w:before="0" w:after="0"/>
      <w:jc w:val="right"/>
    </w:pPr>
  </w:style>
  <w:style w:type="paragraph" w:styleId="Index3">
    <w:name w:val="index 3"/>
    <w:basedOn w:val="ListNumber2"/>
    <w:next w:val="Normal"/>
    <w:semiHidden/>
    <w:rsid w:val="003368DB"/>
    <w:pPr>
      <w:numPr>
        <w:numId w:val="0"/>
      </w:numPr>
      <w:tabs>
        <w:tab w:val="right" w:leader="dot" w:pos="4176"/>
      </w:tabs>
    </w:pPr>
  </w:style>
  <w:style w:type="paragraph" w:styleId="ListNumber2">
    <w:name w:val="List Number 2"/>
    <w:basedOn w:val="List2"/>
    <w:rsid w:val="003368DB"/>
    <w:pPr>
      <w:numPr>
        <w:numId w:val="11"/>
      </w:numPr>
      <w:tabs>
        <w:tab w:val="clear" w:pos="1060"/>
      </w:tabs>
    </w:pPr>
  </w:style>
  <w:style w:type="paragraph" w:customStyle="1" w:styleId="MarginNote">
    <w:name w:val="Margin Note"/>
    <w:basedOn w:val="BodyText"/>
    <w:rsid w:val="003368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8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68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68DB"/>
    <w:rPr>
      <w:sz w:val="32"/>
    </w:rPr>
  </w:style>
  <w:style w:type="paragraph" w:customStyle="1" w:styleId="HeadingProcedure">
    <w:name w:val="Heading Procedure"/>
    <w:basedOn w:val="HeadingBase"/>
    <w:next w:val="Normal"/>
    <w:rsid w:val="003368DB"/>
    <w:pPr>
      <w:tabs>
        <w:tab w:val="left" w:pos="0"/>
      </w:tabs>
      <w:spacing w:before="120" w:after="60"/>
    </w:pPr>
    <w:rPr>
      <w:i/>
      <w:color w:val="918585"/>
      <w:sz w:val="22"/>
    </w:rPr>
  </w:style>
  <w:style w:type="paragraph" w:customStyle="1" w:styleId="TableBodyText">
    <w:name w:val="Table Body Text"/>
    <w:basedOn w:val="BodyText"/>
    <w:rsid w:val="003368DB"/>
    <w:pPr>
      <w:spacing w:before="60" w:after="60"/>
    </w:pPr>
  </w:style>
  <w:style w:type="paragraph" w:styleId="ListContinue">
    <w:name w:val="List Continue"/>
    <w:basedOn w:val="List"/>
    <w:rsid w:val="003368DB"/>
    <w:pPr>
      <w:ind w:firstLine="0"/>
    </w:pPr>
  </w:style>
  <w:style w:type="paragraph" w:customStyle="1" w:styleId="ListNote">
    <w:name w:val="List Note"/>
    <w:basedOn w:val="List"/>
    <w:rsid w:val="003368DB"/>
    <w:pPr>
      <w:pBdr>
        <w:top w:val="single" w:sz="6" w:space="2" w:color="918585"/>
        <w:bottom w:val="single" w:sz="6" w:space="2" w:color="918585"/>
      </w:pBdr>
      <w:tabs>
        <w:tab w:val="left" w:pos="1021"/>
      </w:tabs>
      <w:ind w:firstLine="0"/>
    </w:pPr>
  </w:style>
  <w:style w:type="paragraph" w:customStyle="1" w:styleId="Warning">
    <w:name w:val="Warning"/>
    <w:basedOn w:val="BodyText"/>
    <w:rsid w:val="003368DB"/>
    <w:pPr>
      <w:shd w:val="clear" w:color="auto" w:fill="D9D9D9"/>
      <w:tabs>
        <w:tab w:val="left" w:pos="992"/>
      </w:tabs>
      <w:ind w:left="119" w:right="119"/>
    </w:pPr>
    <w:rPr>
      <w:sz w:val="20"/>
    </w:rPr>
  </w:style>
  <w:style w:type="paragraph" w:customStyle="1" w:styleId="MarginIcons">
    <w:name w:val="Margin Icons"/>
    <w:basedOn w:val="BodyText"/>
    <w:rsid w:val="003368D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68DB"/>
    <w:rPr>
      <w:rFonts w:ascii="Courier New" w:hAnsi="Courier New"/>
    </w:rPr>
  </w:style>
  <w:style w:type="paragraph" w:customStyle="1" w:styleId="NoteBullet">
    <w:name w:val="Note Bullet"/>
    <w:basedOn w:val="Note"/>
    <w:rsid w:val="003368DB"/>
    <w:pPr>
      <w:tabs>
        <w:tab w:val="clear" w:pos="680"/>
      </w:tabs>
      <w:spacing w:before="60" w:after="60"/>
    </w:pPr>
  </w:style>
  <w:style w:type="paragraph" w:customStyle="1" w:styleId="SubHeading2">
    <w:name w:val="SubHeading2"/>
    <w:basedOn w:val="HeadingBase"/>
    <w:rsid w:val="003368DB"/>
    <w:pPr>
      <w:spacing w:before="240" w:after="60"/>
    </w:pPr>
    <w:rPr>
      <w:sz w:val="20"/>
    </w:rPr>
  </w:style>
  <w:style w:type="paragraph" w:customStyle="1" w:styleId="SubHeading1">
    <w:name w:val="SubHeading1"/>
    <w:basedOn w:val="HeadingBase"/>
    <w:rsid w:val="003368DB"/>
    <w:pPr>
      <w:spacing w:before="240" w:after="60"/>
    </w:pPr>
    <w:rPr>
      <w:color w:val="918585"/>
      <w:sz w:val="22"/>
    </w:rPr>
  </w:style>
  <w:style w:type="paragraph" w:customStyle="1" w:styleId="SideHeading">
    <w:name w:val="Side Heading"/>
    <w:basedOn w:val="HeadingBase"/>
    <w:rsid w:val="003368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8DB"/>
    <w:pPr>
      <w:numPr>
        <w:numId w:val="13"/>
      </w:numPr>
    </w:pPr>
  </w:style>
  <w:style w:type="paragraph" w:styleId="PlainText">
    <w:name w:val="Plain Text"/>
    <w:basedOn w:val="Normal"/>
    <w:link w:val="PlainTextChar"/>
    <w:rsid w:val="003368DB"/>
    <w:rPr>
      <w:sz w:val="20"/>
    </w:rPr>
  </w:style>
  <w:style w:type="character" w:customStyle="1" w:styleId="PlainTextChar">
    <w:name w:val="Plain Text Char"/>
    <w:basedOn w:val="DefaultParagraphFont"/>
    <w:link w:val="PlainText"/>
    <w:rsid w:val="003368DB"/>
    <w:rPr>
      <w:rFonts w:ascii="Courier New" w:eastAsia="Times New Roman" w:hAnsi="Courier New" w:cs="Times New Roman"/>
      <w:sz w:val="20"/>
      <w:szCs w:val="20"/>
      <w:lang w:val="en-US" w:eastAsia="en-US"/>
    </w:rPr>
  </w:style>
  <w:style w:type="character" w:customStyle="1" w:styleId="MenuOption">
    <w:name w:val="Menu Option"/>
    <w:rsid w:val="003368DB"/>
    <w:rPr>
      <w:b/>
      <w:smallCaps/>
    </w:rPr>
  </w:style>
  <w:style w:type="paragraph" w:customStyle="1" w:styleId="TableListNumber">
    <w:name w:val="Table List Number"/>
    <w:basedOn w:val="ListNumber"/>
    <w:rsid w:val="003368DB"/>
    <w:pPr>
      <w:numPr>
        <w:numId w:val="0"/>
      </w:numPr>
    </w:pPr>
  </w:style>
  <w:style w:type="paragraph" w:styleId="TOC4">
    <w:name w:val="toc 4"/>
    <w:basedOn w:val="TOCBase"/>
    <w:next w:val="Normal"/>
    <w:semiHidden/>
    <w:rsid w:val="003368DB"/>
    <w:pPr>
      <w:tabs>
        <w:tab w:val="right" w:leader="dot" w:pos="9071"/>
      </w:tabs>
      <w:ind w:left="1701"/>
    </w:pPr>
  </w:style>
  <w:style w:type="paragraph" w:customStyle="1" w:styleId="ListAlpha">
    <w:name w:val="List Alpha"/>
    <w:basedOn w:val="List"/>
    <w:rsid w:val="003368DB"/>
    <w:pPr>
      <w:numPr>
        <w:numId w:val="10"/>
      </w:numPr>
    </w:pPr>
  </w:style>
  <w:style w:type="paragraph" w:customStyle="1" w:styleId="ListAlpha2">
    <w:name w:val="List Alpha 2"/>
    <w:basedOn w:val="List2"/>
    <w:rsid w:val="003368DB"/>
    <w:pPr>
      <w:numPr>
        <w:numId w:val="9"/>
      </w:numPr>
    </w:pPr>
  </w:style>
  <w:style w:type="paragraph" w:styleId="List2">
    <w:name w:val="List 2"/>
    <w:basedOn w:val="BodyText"/>
    <w:rsid w:val="003368DB"/>
    <w:pPr>
      <w:tabs>
        <w:tab w:val="left" w:pos="680"/>
      </w:tabs>
      <w:spacing w:before="60" w:after="60"/>
      <w:ind w:left="680" w:hanging="340"/>
    </w:pPr>
  </w:style>
  <w:style w:type="paragraph" w:styleId="List3">
    <w:name w:val="List 3"/>
    <w:basedOn w:val="BodyText"/>
    <w:rsid w:val="003368DB"/>
    <w:pPr>
      <w:tabs>
        <w:tab w:val="left" w:pos="1021"/>
      </w:tabs>
      <w:spacing w:before="60" w:after="60"/>
      <w:ind w:left="1020" w:hanging="340"/>
    </w:pPr>
  </w:style>
  <w:style w:type="paragraph" w:styleId="List4">
    <w:name w:val="List 4"/>
    <w:basedOn w:val="BodyText"/>
    <w:rsid w:val="003368DB"/>
    <w:pPr>
      <w:tabs>
        <w:tab w:val="left" w:pos="1361"/>
      </w:tabs>
      <w:spacing w:before="60" w:after="60"/>
      <w:ind w:left="1361" w:hanging="340"/>
    </w:pPr>
  </w:style>
  <w:style w:type="paragraph" w:styleId="List5">
    <w:name w:val="List 5"/>
    <w:basedOn w:val="BodyText"/>
    <w:rsid w:val="003368DB"/>
    <w:pPr>
      <w:tabs>
        <w:tab w:val="left" w:pos="1701"/>
      </w:tabs>
      <w:spacing w:before="60" w:after="60"/>
      <w:ind w:left="1701" w:hanging="340"/>
    </w:pPr>
  </w:style>
  <w:style w:type="paragraph" w:styleId="ListBullet4">
    <w:name w:val="List Bullet 4"/>
    <w:basedOn w:val="List4"/>
    <w:rsid w:val="003368DB"/>
    <w:pPr>
      <w:numPr>
        <w:numId w:val="4"/>
      </w:numPr>
    </w:pPr>
  </w:style>
  <w:style w:type="paragraph" w:styleId="ListBullet5">
    <w:name w:val="List Bullet 5"/>
    <w:basedOn w:val="List5"/>
    <w:rsid w:val="003368DB"/>
    <w:pPr>
      <w:numPr>
        <w:numId w:val="5"/>
      </w:numPr>
    </w:pPr>
  </w:style>
  <w:style w:type="paragraph" w:styleId="ListContinue2">
    <w:name w:val="List Continue 2"/>
    <w:basedOn w:val="List2"/>
    <w:rsid w:val="003368DB"/>
    <w:pPr>
      <w:ind w:firstLine="0"/>
    </w:pPr>
  </w:style>
  <w:style w:type="paragraph" w:styleId="ListContinue3">
    <w:name w:val="List Continue 3"/>
    <w:basedOn w:val="List3"/>
    <w:rsid w:val="003368DB"/>
    <w:pPr>
      <w:ind w:left="1021" w:firstLine="0"/>
    </w:pPr>
  </w:style>
  <w:style w:type="paragraph" w:styleId="ListContinue4">
    <w:name w:val="List Continue 4"/>
    <w:basedOn w:val="List4"/>
    <w:rsid w:val="003368DB"/>
    <w:pPr>
      <w:ind w:firstLine="0"/>
    </w:pPr>
  </w:style>
  <w:style w:type="paragraph" w:styleId="ListContinue5">
    <w:name w:val="List Continue 5"/>
    <w:basedOn w:val="List5"/>
    <w:rsid w:val="003368DB"/>
    <w:pPr>
      <w:ind w:firstLine="0"/>
    </w:pPr>
  </w:style>
  <w:style w:type="paragraph" w:styleId="ListNumber3">
    <w:name w:val="List Number 3"/>
    <w:basedOn w:val="List3"/>
    <w:rsid w:val="003368DB"/>
    <w:pPr>
      <w:numPr>
        <w:numId w:val="6"/>
      </w:numPr>
    </w:pPr>
  </w:style>
  <w:style w:type="paragraph" w:styleId="ListNumber4">
    <w:name w:val="List Number 4"/>
    <w:basedOn w:val="List4"/>
    <w:rsid w:val="003368DB"/>
    <w:pPr>
      <w:numPr>
        <w:numId w:val="7"/>
      </w:numPr>
    </w:pPr>
  </w:style>
  <w:style w:type="paragraph" w:styleId="ListNumber5">
    <w:name w:val="List Number 5"/>
    <w:basedOn w:val="List5"/>
    <w:rsid w:val="003368DB"/>
    <w:pPr>
      <w:numPr>
        <w:numId w:val="8"/>
      </w:numPr>
    </w:pPr>
  </w:style>
  <w:style w:type="paragraph" w:styleId="BlockText">
    <w:name w:val="Block Text"/>
    <w:basedOn w:val="Normal"/>
    <w:rsid w:val="003368DB"/>
    <w:pPr>
      <w:spacing w:after="120"/>
      <w:ind w:left="1440" w:right="1440"/>
    </w:pPr>
  </w:style>
  <w:style w:type="character" w:customStyle="1" w:styleId="Subscript">
    <w:name w:val="Subscript"/>
    <w:rsid w:val="003368DB"/>
    <w:rPr>
      <w:sz w:val="16"/>
      <w:vertAlign w:val="subscript"/>
    </w:rPr>
  </w:style>
  <w:style w:type="character" w:customStyle="1" w:styleId="Superscript">
    <w:name w:val="Superscript"/>
    <w:rsid w:val="003368DB"/>
    <w:rPr>
      <w:sz w:val="16"/>
      <w:vertAlign w:val="superscript"/>
    </w:rPr>
  </w:style>
  <w:style w:type="character" w:customStyle="1" w:styleId="Symbols">
    <w:name w:val="Symbols"/>
    <w:rsid w:val="003368DB"/>
    <w:rPr>
      <w:rFonts w:ascii="Symbol" w:hAnsi="Symbol"/>
    </w:rPr>
  </w:style>
  <w:style w:type="character" w:customStyle="1" w:styleId="MenuOptions">
    <w:name w:val="Menu Options"/>
    <w:rsid w:val="003368DB"/>
    <w:rPr>
      <w:rFonts w:ascii="Arial Narrow" w:hAnsi="Arial Narrow"/>
      <w:smallCaps/>
    </w:rPr>
  </w:style>
  <w:style w:type="character" w:customStyle="1" w:styleId="Buttons">
    <w:name w:val="Buttons"/>
    <w:rsid w:val="003368DB"/>
    <w:rPr>
      <w:b/>
    </w:rPr>
  </w:style>
  <w:style w:type="character" w:customStyle="1" w:styleId="Underlined">
    <w:name w:val="Underlined"/>
    <w:rsid w:val="003368DB"/>
    <w:rPr>
      <w:u w:val="single"/>
    </w:rPr>
  </w:style>
  <w:style w:type="paragraph" w:customStyle="1" w:styleId="TableBodyTextRight">
    <w:name w:val="Table Body Text Right"/>
    <w:basedOn w:val="TableBodyText"/>
    <w:rsid w:val="003368DB"/>
    <w:pPr>
      <w:widowControl w:val="0"/>
      <w:autoSpaceDE w:val="0"/>
      <w:autoSpaceDN w:val="0"/>
      <w:adjustRightInd w:val="0"/>
      <w:jc w:val="right"/>
    </w:pPr>
    <w:rPr>
      <w:rFonts w:cs="Arial"/>
      <w:szCs w:val="18"/>
    </w:rPr>
  </w:style>
  <w:style w:type="paragraph" w:customStyle="1" w:styleId="CopyrightText">
    <w:name w:val="Copyright Text"/>
    <w:basedOn w:val="BodyText"/>
    <w:rsid w:val="003368DB"/>
    <w:rPr>
      <w:sz w:val="18"/>
    </w:rPr>
  </w:style>
  <w:style w:type="paragraph" w:customStyle="1" w:styleId="BodySmallRight">
    <w:name w:val="Body Small Right"/>
    <w:basedOn w:val="BodyTextRight"/>
    <w:rsid w:val="003368DB"/>
    <w:rPr>
      <w:sz w:val="18"/>
      <w:szCs w:val="18"/>
    </w:rPr>
  </w:style>
  <w:style w:type="paragraph" w:customStyle="1" w:styleId="MarginEdition">
    <w:name w:val="Margin Edition"/>
    <w:basedOn w:val="MarginNote"/>
    <w:rsid w:val="003368DB"/>
    <w:pPr>
      <w:spacing w:before="0" w:after="0"/>
    </w:pPr>
    <w:rPr>
      <w:rFonts w:ascii="Times New Roman" w:hAnsi="Times New Roman"/>
      <w:color w:val="999999"/>
    </w:rPr>
  </w:style>
  <w:style w:type="paragraph" w:customStyle="1" w:styleId="Spacer">
    <w:name w:val="Spacer"/>
    <w:basedOn w:val="Normal"/>
    <w:rsid w:val="003368DB"/>
    <w:rPr>
      <w:sz w:val="2"/>
      <w:szCs w:val="2"/>
    </w:rPr>
  </w:style>
  <w:style w:type="character" w:customStyle="1" w:styleId="Small">
    <w:name w:val="Small"/>
    <w:rsid w:val="003368DB"/>
    <w:rPr>
      <w:sz w:val="16"/>
    </w:rPr>
  </w:style>
  <w:style w:type="paragraph" w:customStyle="1" w:styleId="WideTable">
    <w:name w:val="Wide Table"/>
    <w:basedOn w:val="Normal"/>
    <w:rsid w:val="003368DB"/>
    <w:pPr>
      <w:ind w:left="-1418"/>
    </w:pPr>
    <w:rPr>
      <w:sz w:val="2"/>
      <w:szCs w:val="2"/>
    </w:rPr>
  </w:style>
  <w:style w:type="character" w:styleId="PageNumber">
    <w:name w:val="page number"/>
    <w:rsid w:val="003368DB"/>
  </w:style>
  <w:style w:type="paragraph" w:styleId="Quote">
    <w:name w:val="Quote"/>
    <w:basedOn w:val="Heading1"/>
    <w:link w:val="QuoteChar"/>
    <w:qFormat/>
    <w:rsid w:val="003368DB"/>
    <w:rPr>
      <w:b w:val="0"/>
      <w:sz w:val="72"/>
      <w:szCs w:val="72"/>
      <w:lang w:val="en-NZ"/>
    </w:rPr>
  </w:style>
  <w:style w:type="character" w:customStyle="1" w:styleId="QuoteChar">
    <w:name w:val="Quote Char"/>
    <w:link w:val="Quote"/>
    <w:rsid w:val="003368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8DB"/>
    <w:pPr>
      <w:pageBreakBefore/>
    </w:pPr>
  </w:style>
  <w:style w:type="paragraph" w:customStyle="1" w:styleId="Border">
    <w:name w:val="Border"/>
    <w:basedOn w:val="Normal"/>
    <w:qFormat/>
    <w:rsid w:val="003368DB"/>
    <w:pPr>
      <w:pBdr>
        <w:top w:val="single" w:sz="18" w:space="1" w:color="auto"/>
      </w:pBdr>
    </w:pPr>
    <w:rPr>
      <w:rFonts w:ascii="Times New Roman" w:hAnsi="Times New Roman"/>
      <w:color w:val="FFFFFF"/>
      <w:sz w:val="2"/>
    </w:rPr>
  </w:style>
  <w:style w:type="character" w:styleId="IntenseEmphasis">
    <w:name w:val="Intense Emphasis"/>
    <w:uiPriority w:val="21"/>
    <w:qFormat/>
    <w:rsid w:val="003368DB"/>
    <w:rPr>
      <w:b/>
      <w:bCs/>
      <w:i/>
      <w:iCs/>
      <w:color w:val="auto"/>
    </w:rPr>
  </w:style>
  <w:style w:type="paragraph" w:styleId="IntenseQuote">
    <w:name w:val="Intense Quote"/>
    <w:basedOn w:val="Normal"/>
    <w:next w:val="Normal"/>
    <w:link w:val="IntenseQuoteChar"/>
    <w:uiPriority w:val="30"/>
    <w:qFormat/>
    <w:rsid w:val="003368D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68DB"/>
    <w:rPr>
      <w:rFonts w:ascii="Courier New" w:eastAsia="Times New Roman" w:hAnsi="Courier New" w:cs="Times New Roman"/>
      <w:b/>
      <w:bCs/>
      <w:i/>
      <w:iCs/>
      <w:szCs w:val="20"/>
      <w:lang w:val="en-US" w:eastAsia="en-US"/>
    </w:rPr>
  </w:style>
  <w:style w:type="character" w:styleId="SubtleReference">
    <w:name w:val="Subtle Reference"/>
    <w:uiPriority w:val="31"/>
    <w:qFormat/>
    <w:rsid w:val="003368DB"/>
    <w:rPr>
      <w:smallCaps/>
      <w:color w:val="auto"/>
      <w:u w:val="single"/>
    </w:rPr>
  </w:style>
  <w:style w:type="character" w:styleId="IntenseReference">
    <w:name w:val="Intense Reference"/>
    <w:uiPriority w:val="32"/>
    <w:qFormat/>
    <w:rsid w:val="003368DB"/>
    <w:rPr>
      <w:b/>
      <w:bCs/>
      <w:smallCaps/>
      <w:color w:val="auto"/>
      <w:spacing w:val="5"/>
      <w:u w:val="single"/>
    </w:rPr>
  </w:style>
  <w:style w:type="paragraph" w:customStyle="1" w:styleId="2ColumnHeading">
    <w:name w:val="2Column Heading"/>
    <w:basedOn w:val="BodyText"/>
    <w:qFormat/>
    <w:rsid w:val="003368DB"/>
    <w:pPr>
      <w:spacing w:after="60"/>
      <w:ind w:left="-2268"/>
    </w:pPr>
    <w:rPr>
      <w:b/>
    </w:rPr>
  </w:style>
  <w:style w:type="paragraph" w:customStyle="1" w:styleId="Heading1TOC">
    <w:name w:val="Heading1 TOC"/>
    <w:basedOn w:val="Normal"/>
    <w:qFormat/>
    <w:rsid w:val="003368DB"/>
    <w:pPr>
      <w:spacing w:before="240" w:after="120"/>
    </w:pPr>
    <w:rPr>
      <w:rFonts w:ascii="Times New Roman" w:hAnsi="Times New Roman"/>
      <w:b/>
      <w:sz w:val="32"/>
    </w:rPr>
  </w:style>
  <w:style w:type="paragraph" w:customStyle="1" w:styleId="Heading2TOC">
    <w:name w:val="Heading2 TOC"/>
    <w:basedOn w:val="Normal"/>
    <w:qFormat/>
    <w:rsid w:val="003368DB"/>
    <w:pPr>
      <w:spacing w:before="240" w:after="60"/>
    </w:pPr>
    <w:rPr>
      <w:rFonts w:ascii="Times New Roman" w:hAnsi="Times New Roman"/>
      <w:b/>
      <w:sz w:val="28"/>
    </w:rPr>
  </w:style>
  <w:style w:type="character" w:customStyle="1" w:styleId="Underline">
    <w:name w:val="Underline"/>
    <w:qFormat/>
    <w:rsid w:val="003368DB"/>
    <w:rPr>
      <w:u w:val="single"/>
    </w:rPr>
  </w:style>
  <w:style w:type="character" w:customStyle="1" w:styleId="BoldandItalics">
    <w:name w:val="Bold and Italics"/>
    <w:qFormat/>
    <w:rsid w:val="003368DB"/>
    <w:rPr>
      <w:b/>
      <w:i/>
      <w:u w:val="none"/>
    </w:rPr>
  </w:style>
  <w:style w:type="paragraph" w:styleId="BalloonText">
    <w:name w:val="Balloon Text"/>
    <w:basedOn w:val="Normal"/>
    <w:link w:val="BalloonTextChar"/>
    <w:rsid w:val="003368DB"/>
    <w:rPr>
      <w:rFonts w:ascii="Tahoma" w:hAnsi="Tahoma" w:cs="Tahoma"/>
      <w:sz w:val="16"/>
      <w:szCs w:val="16"/>
    </w:rPr>
  </w:style>
  <w:style w:type="character" w:customStyle="1" w:styleId="BalloonTextChar">
    <w:name w:val="Balloon Text Char"/>
    <w:link w:val="BalloonText"/>
    <w:rsid w:val="003368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68D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68D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2578</Words>
  <Characters>16757</Characters>
  <Application>Microsoft Office Word</Application>
  <DocSecurity>0</DocSecurity>
  <Lines>661</Lines>
  <Paragraphs>259</Paragraphs>
  <ScaleCrop>false</ScaleCrop>
  <Company>Author-it Software Corporation Ltd.</Company>
  <LinksUpToDate>false</LinksUpToDate>
  <CharactersWithSpaces>19138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UETTDRTS22A Commission interdependent network protection and control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2012-05-26T12:26:00Z</dcterms:created>
  <dcterms:modified xsi:type="dcterms:W3CDTF">2012-05-26T12:26:00Z</dcterms:modified>
</cp:coreProperties>
</file>