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720" w:rsidP="00EE5720">
      <w:pPr>
        <w:pStyle w:val="Title"/>
      </w:pPr>
      <w:r>
        <w:fldChar w:fldCharType="begin"/>
      </w:r>
      <w:r>
        <w:instrText xml:space="preserve"> TITLE   \* MERGEFORMAT </w:instrText>
      </w:r>
      <w:r>
        <w:fldChar w:fldCharType="separate"/>
      </w:r>
      <w:r>
        <w:t>UETTDRTS21A Maintain interdependent network protection and control systems</w:t>
      </w:r>
      <w:r>
        <w:fldChar w:fldCharType="end"/>
      </w:r>
    </w:p>
    <w:p w:rsidR="00EE5720" w:rsidP="00EE5720">
      <w:pPr>
        <w:pStyle w:val="Version"/>
        <w:sectPr w:rsidSect="00EC7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AEB" w:rsidP="00EC7AEB">
      <w:pPr>
        <w:pStyle w:val="SuperHeading"/>
      </w:pPr>
      <w:r w:rsidRPr="00EC7AEB">
        <w:t>UETTDRTS21A Maintain interdependent network protection and control systems</w:t>
      </w:r>
    </w:p>
    <w:p w:rsidR="00000000" w:rsidRPr="00EC7AEB" w:rsidP="00EC7AEB">
      <w:pPr>
        <w:pStyle w:val="Heading1"/>
      </w:pPr>
      <w:bookmarkStart w:id="1" w:name="O_463793"/>
      <w:bookmarkEnd w:id="1"/>
      <w:r w:rsidRPr="00EC7AEB">
        <w:t>Modification History</w:t>
      </w:r>
    </w:p>
    <w:p w:rsidR="00000000" w:rsidRPr="00EC7AEB" w:rsidP="00EC7AEB">
      <w:pPr>
        <w:pStyle w:val="BodyText"/>
      </w:pPr>
      <w:r w:rsidRPr="00EC7AEB">
        <w:t>Not applicable.</w:t>
      </w:r>
    </w:p>
    <w:p w:rsidR="00000000" w:rsidRPr="00EC7AEB" w:rsidP="00EC7AEB">
      <w:pPr>
        <w:pStyle w:val="AllowPageBreak"/>
      </w:pPr>
    </w:p>
    <w:p w:rsidR="00000000" w:rsidRPr="00EC7AEB" w:rsidP="00EC7AEB">
      <w:pPr>
        <w:pStyle w:val="Heading1"/>
      </w:pPr>
      <w:bookmarkStart w:id="2" w:name="O_463789"/>
      <w:bookmarkEnd w:id="2"/>
      <w:r w:rsidRPr="00EC7AEB">
        <w:t>Unit Descriptor</w:t>
      </w:r>
    </w:p>
    <w:tbl>
      <w:tblPr>
        <w:tblW w:w="0" w:type="auto"/>
        <w:tblLayout w:type="fixed"/>
        <w:tblCellMar>
          <w:left w:w="62" w:type="dxa"/>
          <w:right w:w="62" w:type="dxa"/>
        </w:tblCellMar>
        <w:tblLook w:val="0000"/>
      </w:tblPr>
      <w:tblGrid>
        <w:gridCol w:w="2700"/>
        <w:gridCol w:w="5760"/>
      </w:tblGrid>
      <w:tr w:rsidTr="00EE57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1)</w:t>
            </w:r>
            <w:r w:rsidRPr="00EC7AEB">
              <w:t xml:space="preserve"> </w:t>
            </w:r>
            <w:r w:rsidRPr="00EC7AEB">
              <w:rPr>
                <w:rStyle w:val="SpecialBold"/>
              </w:rPr>
              <w:t>Scope:</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A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1.1) Descriptor</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This Competency Standard Unit covers the maintenance of network protection and control in interdependent situations and includes isolation, inspection, monitoring, testing, adjustment, and repair, refurbishment and or overhaul and functional checks of inte</w:t>
            </w:r>
            <w:r w:rsidRPr="00EC7AEB">
              <w:t>rdependent network protection and control systems. It includes the requirements to prove the functionality of interdependent and discrete schemes such as, CB Fail, master controlled Earth Fault, inter-tripping, blocking, synchronising, pilot wire, phase co</w:t>
            </w:r>
            <w:r w:rsidRPr="00EC7AEB">
              <w:t>mparison, load shedding, voltage control, parallel operation and load rejection.</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3" w:name="O_463768"/>
      <w:bookmarkEnd w:id="3"/>
      <w:r w:rsidRPr="00EC7AEB">
        <w:t>Application of the Unit</w:t>
      </w:r>
    </w:p>
    <w:tbl>
      <w:tblPr>
        <w:tblW w:w="0" w:type="auto"/>
        <w:tblLayout w:type="fixed"/>
        <w:tblCellMar>
          <w:left w:w="62" w:type="dxa"/>
          <w:right w:w="62" w:type="dxa"/>
        </w:tblCellMar>
        <w:tblLook w:val="0000"/>
      </w:tblPr>
      <w:tblGrid>
        <w:gridCol w:w="2672"/>
        <w:gridCol w:w="5699"/>
      </w:tblGrid>
      <w:tr w:rsidTr="00EE57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2)</w:t>
            </w:r>
          </w:p>
        </w:tc>
      </w:tr>
      <w:tr w:rsidTr="00EE57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This competency standards unit is intended to apply to any recognised development program that leads to the acquisition of a formal award at AQF level 5 or higher.</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4" w:name="O_463780"/>
      <w:bookmarkEnd w:id="4"/>
      <w:r w:rsidRPr="00EC7AEB">
        <w:t>Licensing/Regulatory Information</w:t>
      </w:r>
    </w:p>
    <w:tbl>
      <w:tblPr>
        <w:tblW w:w="0" w:type="auto"/>
        <w:tblLayout w:type="fixed"/>
        <w:tblCellMar>
          <w:left w:w="62" w:type="dxa"/>
          <w:right w:w="62" w:type="dxa"/>
        </w:tblCellMar>
        <w:tblLook w:val="0000"/>
      </w:tblPr>
      <w:tblGrid>
        <w:gridCol w:w="2700"/>
        <w:gridCol w:w="5760"/>
      </w:tblGrid>
      <w:tr w:rsidTr="00EE57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 xml:space="preserve">3) </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The skills and</w:t>
            </w:r>
            <w:r w:rsidRPr="00EC7AEB">
              <w:t xml:space="preserve"> knowledge described in this unit may require a licence/registration to practice in the work place subject to regulations for undertaking of electrical work. Practice in workplace and during training is also subject to </w:t>
            </w:r>
            <w:r w:rsidRPr="00EC7AEB">
              <w:t>regulations directly related to Occup</w:t>
            </w:r>
            <w:r w:rsidRPr="00EC7AEB">
              <w:t>ational Health and Safety, electricity/telecommunications/gas/water industry safety and compliance, industrial relations, environmental protection, anti discrimination and training. Commonwealth, State/Territory or Local Government legislation and regulati</w:t>
            </w:r>
            <w:r w:rsidRPr="00EC7AEB">
              <w:t>ons may exist that limits the age of operating certain equipment.</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5" w:name="O_463782"/>
      <w:bookmarkEnd w:id="5"/>
      <w:r w:rsidRPr="00EC7AEB">
        <w:t>Pre-Requisites</w:t>
      </w:r>
    </w:p>
    <w:tbl>
      <w:tblPr>
        <w:tblW w:w="0" w:type="auto"/>
        <w:tblLayout w:type="fixed"/>
        <w:tblCellMar>
          <w:left w:w="62" w:type="dxa"/>
          <w:right w:w="62" w:type="dxa"/>
        </w:tblCellMar>
        <w:tblLook w:val="0000"/>
      </w:tblPr>
      <w:tblGrid>
        <w:gridCol w:w="2700"/>
        <w:gridCol w:w="1980"/>
        <w:gridCol w:w="3780"/>
      </w:tblGrid>
      <w:tr w:rsidTr="00EE57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 xml:space="preserve">4) </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4.1)</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Granting of competency in this unit shall be made only after competency in the following unit(s) has/have been confirmed.</w:t>
            </w:r>
          </w:p>
          <w:p w:rsidR="00000000" w:rsidRPr="00EC7AEB" w:rsidP="00EC7AEB">
            <w:pPr>
              <w:pStyle w:val="BodyText"/>
            </w:pPr>
            <w:r w:rsidRPr="00EC7AEB">
              <w:t xml:space="preserve">Where pre-requisite pathways have been identified. All competencies in the Common Unit Group must be have been completed plus all the </w:t>
            </w:r>
            <w:r w:rsidRPr="00EC7AEB">
              <w:t>competencies in one (1) of the identified Pathway Unit Group(s):</w:t>
            </w:r>
          </w:p>
          <w:p w:rsidR="00000000" w:rsidP="00EC7AEB">
            <w:pPr>
              <w:pStyle w:val="BodyText"/>
              <w:rPr>
                <w:lang w:val="en-NZ"/>
              </w:rPr>
            </w:pPr>
            <w:r w:rsidRPr="00EC7AEB">
              <w:t>Common Unit Group</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Unit Code</w:t>
            </w:r>
            <w:r w:rsidRPr="00EC7AEB">
              <w:tab/>
            </w:r>
          </w:p>
        </w:tc>
        <w:tc>
          <w:tcPr>
            <w:tcW w:w="3780" w:type="dxa"/>
            <w:tcBorders>
              <w:top w:val="nil"/>
              <w:left w:val="nil"/>
              <w:bottom w:val="nil"/>
              <w:right w:val="nil"/>
            </w:tcBorders>
            <w:tcMar>
              <w:top w:w="0" w:type="dxa"/>
              <w:left w:w="62" w:type="dxa"/>
              <w:bottom w:w="0" w:type="dxa"/>
              <w:right w:w="62" w:type="dxa"/>
            </w:tcMar>
            <w:vAlign w:val="bottom"/>
          </w:tcPr>
          <w:p w:rsidR="00000000" w:rsidP="00EC7AEB">
            <w:pPr>
              <w:pStyle w:val="BodyText"/>
              <w:rPr>
                <w:lang w:val="en-NZ"/>
              </w:rPr>
            </w:pPr>
            <w:r w:rsidRPr="00EC7AEB">
              <w:t>Unit Title</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EC7AEB">
            <w:pPr>
              <w:pStyle w:val="BodyText"/>
              <w:rPr>
                <w:lang w:val="en-NZ"/>
              </w:rPr>
            </w:pPr>
            <w:r w:rsidRPr="00EC7AEB">
              <w:t>Use engineering applications software on personal computers</w:t>
            </w:r>
          </w:p>
        </w:tc>
      </w:tr>
      <w:tr w:rsidTr="00EE5720">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Apply Occupational Health and Safety regulations, codes and practices in the workplace</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Fabricate, assemble and dismantle utilities industry components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Solve problems in d.c. Circuits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Use drawings, diagrams, schedules, standards, codes and specifications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UEENEEE124A</w:t>
            </w:r>
          </w:p>
        </w:tc>
        <w:tc>
          <w:tcPr>
            <w:tcW w:w="378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Compile and produce an energy sector detailed report</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 xml:space="preserve">Provide engineering solutions for </w:t>
            </w:r>
            <w:r w:rsidRPr="00EC7AEB">
              <w:t>problems in complex multiple path circuits problems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Provide solutions to basic engineering computational problems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Solve problems in electromagnetic devices and related circuits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Solve problems in electromagnetic devices and related circuits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Provide engineering soluti</w:t>
            </w:r>
            <w:r w:rsidRPr="00EC7AEB">
              <w:t>ons to problems in complex polyphase power circuits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Apply sustainable energy and environmental procedures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 xml:space="preserve">Working safely near live electrical apparatus </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Implement and monitor the power system organisational OHS policies, procedures and programs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Implement and monitor the power system environmental and sustainable energy management policies and procedures</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C7AEB">
            <w:pPr>
              <w:pStyle w:val="BodyText"/>
              <w:rPr>
                <w:lang w:val="en-NZ"/>
              </w:rPr>
            </w:pPr>
            <w:r w:rsidRPr="00EC7AEB">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RPr="00EC7AEB" w:rsidP="00EC7AEB">
            <w:pPr>
              <w:pStyle w:val="BodyText"/>
            </w:pPr>
            <w:r w:rsidRPr="00EC7AEB">
              <w:t>Develop power systems sec</w:t>
            </w:r>
            <w:r w:rsidRPr="00EC7AEB">
              <w:t>ondary isolation instructional documents</w:t>
            </w:r>
          </w:p>
        </w:tc>
      </w:tr>
    </w:tbl>
    <w:p w:rsidR="00000000" w:rsidRPr="00EC7AEB" w:rsidP="00EC7A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E572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 xml:space="preserve">4.2) </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 xml:space="preserve">Participants are best equipped to achieve this unit if they have reading, writing and numeracy skills indicated by the following scales. Description </w:t>
            </w:r>
            <w:r w:rsidRPr="00EC7AEB">
              <w:t>of each scale is given in Volume 2, Part 3 “Literacy and Numeracy”</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Reading</w:t>
            </w:r>
          </w:p>
        </w:tc>
        <w:tc>
          <w:tcPr>
            <w:tcW w:w="81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5</w:t>
            </w:r>
          </w:p>
        </w:tc>
        <w:tc>
          <w:tcPr>
            <w:tcW w:w="99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Writing</w:t>
            </w:r>
          </w:p>
        </w:tc>
        <w:tc>
          <w:tcPr>
            <w:tcW w:w="90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5</w:t>
            </w:r>
          </w:p>
        </w:tc>
        <w:tc>
          <w:tcPr>
            <w:tcW w:w="12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Numeracy</w:t>
            </w:r>
          </w:p>
        </w:tc>
        <w:tc>
          <w:tcPr>
            <w:tcW w:w="72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5</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6" w:name="O_463774"/>
      <w:bookmarkEnd w:id="6"/>
      <w:r w:rsidRPr="00EC7AEB">
        <w:t>Employability Skills Information</w:t>
      </w:r>
    </w:p>
    <w:tbl>
      <w:tblPr>
        <w:tblW w:w="0" w:type="auto"/>
        <w:tblLayout w:type="fixed"/>
        <w:tblCellMar>
          <w:left w:w="62" w:type="dxa"/>
          <w:right w:w="62" w:type="dxa"/>
        </w:tblCellMar>
        <w:tblLook w:val="0000"/>
      </w:tblPr>
      <w:tblGrid>
        <w:gridCol w:w="2700"/>
        <w:gridCol w:w="5760"/>
      </w:tblGrid>
      <w:tr w:rsidTr="00EE57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 xml:space="preserve">5) </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C7AEB">
              <w:t>requirements.</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7" w:name="O_463772"/>
      <w:bookmarkEnd w:id="7"/>
      <w:r w:rsidRPr="00EC7AEB">
        <w:t>Elements and Performance Criteria Pre-Content</w:t>
      </w:r>
    </w:p>
    <w:tbl>
      <w:tblPr>
        <w:tblW w:w="0" w:type="auto"/>
        <w:tblLayout w:type="fixed"/>
        <w:tblCellMar>
          <w:left w:w="62" w:type="dxa"/>
          <w:right w:w="62" w:type="dxa"/>
        </w:tblCellMar>
        <w:tblLook w:val="0000"/>
      </w:tblPr>
      <w:tblGrid>
        <w:gridCol w:w="2700"/>
        <w:gridCol w:w="5760"/>
      </w:tblGrid>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6)</w:t>
            </w:r>
            <w:r w:rsidRPr="00EC7A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Performance Criteria describe the required performance needed to demonstrate achievement of the element. Assessment of performance is to be consistent with the Evidence Guide.</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8" w:name="O_463770"/>
      <w:bookmarkEnd w:id="8"/>
      <w:r w:rsidRPr="00EC7AEB">
        <w:t>Elements and Performance Criteria</w:t>
      </w:r>
    </w:p>
    <w:tbl>
      <w:tblPr>
        <w:tblW w:w="0" w:type="auto"/>
        <w:tblLayout w:type="fixed"/>
        <w:tblCellMar>
          <w:left w:w="62" w:type="dxa"/>
          <w:right w:w="62" w:type="dxa"/>
        </w:tblCellMar>
        <w:tblLook w:val="0000"/>
      </w:tblPr>
      <w:tblGrid>
        <w:gridCol w:w="411"/>
        <w:gridCol w:w="2271"/>
        <w:gridCol w:w="18"/>
        <w:gridCol w:w="953"/>
        <w:gridCol w:w="4807"/>
      </w:tblGrid>
      <w:tr w:rsidTr="00EE5720">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PERFORMANCE CRITER</w:t>
            </w:r>
            <w:r w:rsidRPr="00EC7AEB">
              <w:rPr>
                <w:rStyle w:val="SpecialBold"/>
              </w:rPr>
              <w:t>IA</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w:t>
            </w:r>
          </w:p>
        </w:tc>
        <w:tc>
          <w:tcPr>
            <w:tcW w:w="2271"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Plan for the maintenance of network protection and control systems (interdependent)</w:t>
            </w: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1.1</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 xml:space="preserve">OHS practices/procedures and Environmental and sustainable energy procedures, which may influence the maintenance of, network protection and </w:t>
            </w:r>
            <w:r w:rsidRPr="00EC7AEB">
              <w:t>control systems (interdependent) are reviewed and determined.</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1.2</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Purpose of the maintenance of network protection and control systems (interdependent) is established after data is analysed and expected outcomes of the work are confirmed with the approp</w:t>
            </w:r>
            <w:r w:rsidRPr="00EC7AEB">
              <w:t>riate personnel.</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1.3</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Organisational established procedures on policies and specifications for the maintenance of network protection and control systems (interdependent) are obtained or established with the appropriate personnel.</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1.4</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Testing procedures are discussed with/directed to the appropriate personnel in order to ascertain the project brief.</w:t>
            </w:r>
          </w:p>
        </w:tc>
      </w:tr>
      <w:tr w:rsidTr="00EE5720">
        <w:tblPrEx>
          <w:tblW w:w="0" w:type="auto"/>
          <w:tblLayout w:type="fixed"/>
          <w:tblCellMar>
            <w:left w:w="62" w:type="dxa"/>
            <w:right w:w="62" w:type="dxa"/>
          </w:tblCellMar>
          <w:tblLook w:val="0000"/>
        </w:tblPrEx>
        <w:trPr>
          <w:trHeight w:val="843"/>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1.5</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Testing parameters are established from organisational established procedures on policies and specifications.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1.6</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Equipment/tools</w:t>
            </w:r>
            <w:r w:rsidRPr="00EC7AEB">
              <w:t xml:space="preserve"> and personal protective equipment are selected based on specified Performance Criteria and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1.7</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Work roles and tasks are allocated according to requirements and individuals’ competencies.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1.8</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Work is prioritised and sequenced for the most efficient/effective outcome, completed within an acceptable timeframe to a quality standard and in accordance with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1.9</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Liaison and communication issues with other/authorised personne</w:t>
            </w:r>
            <w:r w:rsidRPr="00EC7AEB">
              <w:t>l, authorities, clients and land owners are resolved and activities coordinated to carry out work.</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1.10</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Risk control measures are identified, prioritised and evaluated against the work schedule.</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1.11</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Relevant work permits are secured to coordinate the performance of work according to requirements and/or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w:t>
            </w:r>
          </w:p>
        </w:tc>
        <w:tc>
          <w:tcPr>
            <w:tcW w:w="2271" w:type="dxa"/>
            <w:vMerge w:val="restart"/>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Carry out the maintenance of network protection and control systems (interdependent)</w:t>
            </w: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2.1</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Circuit/systems modelling is used t</w:t>
            </w:r>
            <w:r w:rsidRPr="00EC7AEB">
              <w:t>o evaluate alternative proposals as per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2.2</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OHS and sustainable energy principles, functionality and practices to reduce the incidents of accidents and minimise waste are incorporated into the project in accordance with requireme</w:t>
            </w:r>
            <w:r w:rsidRPr="00EC7AEB">
              <w:t>nts and/or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2.3</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Maintenance of network protection and control systems (interdependent) decisions are made on the basis of safety and effective outcomes according to requirements and/or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2.4</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Mathematical and/or engineering models of the scheme are used to analyse the effectiveness of the finished project as per requirements and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2.5</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Technical advice is given regarding potential hazards, safety risks and control measur</w:t>
            </w:r>
            <w:r w:rsidRPr="00EC7AEB">
              <w:t>es so that monitoring and preventative action can be undertaken and/or appropriate authorities consulted, where necessary, in accordance with requirements and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2.6</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Essential knowledge and associated skills are applied to analyse specific data and compare it with compliance specifications to ensure completion of the project within an agreed timeframe according to requirements.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2.7</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 xml:space="preserve">Testing of network protection and </w:t>
            </w:r>
            <w:r w:rsidRPr="00EC7AEB">
              <w:t>control systems (interdependent) is undertaken according to requirements and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2.8</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Work teams/groups are arranged/coordinated/evaluated to ensure planned goals are met according to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2.9</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Solutions to non-ro</w:t>
            </w:r>
            <w:r w:rsidRPr="00EC7AEB">
              <w:t>utine problems are identified and actioned, using acquired essential knowledge and associated skills, according to requirements.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2.10</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Quality of work is monitored against personal performance agreement and/or established organisational and professional standards.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2.11</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Strategic plans are developed incorporating organisation initiatives as per established procedures.</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3</w:t>
            </w:r>
          </w:p>
        </w:tc>
        <w:tc>
          <w:tcPr>
            <w:tcW w:w="2271"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Complete the ma</w:t>
            </w:r>
            <w:r w:rsidRPr="00EC7AEB">
              <w:t>intenance of network protection and control systems (interdependent)</w:t>
            </w: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3.1</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Final inspections of the network protection and control systems (interdependent) are undertaken to ensure they comply with all requirements and include all specifications and document</w:t>
            </w:r>
            <w:r w:rsidRPr="00EC7AEB">
              <w:t>ations needed to complete the project.</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3.2</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Appropriate personnel are notified of completion and reports and/or completion documents are finalised/commissioned.</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3.3</w:t>
            </w:r>
          </w:p>
        </w:tc>
        <w:tc>
          <w:tcPr>
            <w:tcW w:w="4807"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 xml:space="preserve">Reports and/or completion documents are submitted to relevant personnel/organisations </w:t>
            </w:r>
            <w:r w:rsidRPr="00EC7AEB">
              <w:t>for approval and, where applicable, statutory or regulatory approval.</w:t>
            </w:r>
          </w:p>
        </w:tc>
      </w:tr>
      <w:tr w:rsidTr="00EE5720">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t>3.4</w:t>
            </w:r>
          </w:p>
        </w:tc>
        <w:tc>
          <w:tcPr>
            <w:tcW w:w="4807"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Approved copies of the maintenance of network protection and control systems (interdependent) documents are issues and records are updated in accordance with es</w:t>
            </w:r>
            <w:r w:rsidRPr="00EC7AEB">
              <w:t>tablished procedures.</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9" w:name="O_463786"/>
      <w:bookmarkEnd w:id="9"/>
      <w:r w:rsidRPr="00EC7AEB">
        <w:t>Required Skills and Knowledge</w:t>
      </w:r>
    </w:p>
    <w:tbl>
      <w:tblPr>
        <w:tblW w:w="0" w:type="auto"/>
        <w:tblLayout w:type="fixed"/>
        <w:tblCellMar>
          <w:left w:w="62" w:type="dxa"/>
          <w:right w:w="62" w:type="dxa"/>
        </w:tblCellMar>
        <w:tblLook w:val="0000"/>
      </w:tblPr>
      <w:tblGrid>
        <w:gridCol w:w="8460"/>
      </w:tblGrid>
      <w:tr w:rsidTr="00EE57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REQUIRED SKILLS AND KNOWLEDGE</w:t>
            </w:r>
          </w:p>
        </w:tc>
      </w:tr>
      <w:tr w:rsidTr="00EE572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8)</w:t>
            </w:r>
            <w:r w:rsidRPr="00EC7AEB">
              <w:t xml:space="preserve"> Essential Knowledge and Associated Skills (EKAS): This describes the essential skills and knowledge and their level, required for this unit.</w:t>
            </w:r>
          </w:p>
          <w:p w:rsidR="00000000" w:rsidRPr="00EC7AEB" w:rsidP="00EC7AEB">
            <w:pPr>
              <w:pStyle w:val="BodyText"/>
            </w:pPr>
            <w:r w:rsidRPr="00EC7AEB">
              <w:t>Evidence s</w:t>
            </w:r>
            <w:r w:rsidRPr="00EC7AEB">
              <w:t xml:space="preserve">hall show that knowledge has been acquired of maintaining network protection and control systems (interdependent). </w:t>
            </w:r>
          </w:p>
          <w:p w:rsidR="00000000" w:rsidRPr="00EC7AEB" w:rsidP="00EC7AEB">
            <w:pPr>
              <w:pStyle w:val="BodyText"/>
            </w:pPr>
            <w:r w:rsidRPr="00EC7AEB">
              <w:t>All knowledge and skills detailed in this unit should be contextualised to current industry practices and technologies.</w:t>
            </w:r>
          </w:p>
          <w:p w:rsidR="00000000" w:rsidRPr="00EC7AEB" w:rsidP="00EC7AEB">
            <w:pPr>
              <w:pStyle w:val="BodyText"/>
            </w:pPr>
            <w:r w:rsidRPr="00EC7AEB">
              <w:t xml:space="preserve">KS01-TTS21A </w:t>
            </w:r>
            <w:r w:rsidRPr="00EC7AEB">
              <w:tab/>
              <w:t>Interde</w:t>
            </w:r>
            <w:r w:rsidRPr="00EC7AEB">
              <w:t>pendent network protection and control systems</w:t>
            </w:r>
          </w:p>
          <w:p w:rsidR="00000000" w:rsidRPr="00EC7AEB" w:rsidP="00EC7AEB">
            <w:pPr>
              <w:pStyle w:val="BodyText"/>
            </w:pPr>
            <w:r w:rsidRPr="00EC7AEB">
              <w:t>Evidence shall show an understanding of the interdependent network protection and control systems to an extent indicated by the following aspects:</w:t>
            </w:r>
          </w:p>
          <w:p w:rsidR="00000000" w:rsidRPr="00EC7AEB" w:rsidP="00EC7AEB">
            <w:pPr>
              <w:pStyle w:val="BodyText"/>
            </w:pPr>
            <w:r w:rsidRPr="00EC7AEB">
              <w:t>T1</w:t>
            </w:r>
            <w:r w:rsidRPr="00EC7AEB">
              <w:tab/>
            </w:r>
            <w:r w:rsidRPr="00EC7AEB">
              <w:t>Principles of Statutory and safety considerations encompassing:</w:t>
            </w:r>
          </w:p>
          <w:p w:rsidR="00000000" w:rsidRPr="00EC7AEB" w:rsidP="00EC7AEB">
            <w:pPr>
              <w:pStyle w:val="ListBullet"/>
            </w:pPr>
            <w:r w:rsidRPr="00EC7AEB">
              <w:t>Commonwealth/State/Territory legislation, standards, codes, supply authority regulations and or enterprise requirements associated with working on High Voltage</w:t>
            </w:r>
          </w:p>
          <w:p w:rsidR="00000000" w:rsidRPr="00EC7AEB" w:rsidP="00EC7AEB">
            <w:pPr>
              <w:pStyle w:val="ListBullet"/>
            </w:pPr>
            <w:r w:rsidRPr="00EC7AEB">
              <w:t>Particular reference to State a</w:t>
            </w:r>
            <w:r w:rsidRPr="00EC7AEB">
              <w:t>nd Territory regulations regarding - working near energised conductors, electrical access, heights, confined space, testing procedures, licensing rules.</w:t>
            </w:r>
          </w:p>
          <w:p w:rsidR="00000000" w:rsidRPr="00EC7AEB" w:rsidP="00EC7AEB">
            <w:pPr>
              <w:pStyle w:val="BodyText"/>
            </w:pPr>
            <w:r w:rsidRPr="00EC7AEB">
              <w:t>T2</w:t>
            </w:r>
            <w:r w:rsidRPr="00EC7AEB">
              <w:tab/>
              <w:t>Electrical equipment associated with protection and control schemes encompassing:</w:t>
            </w:r>
          </w:p>
          <w:p w:rsidR="00000000" w:rsidRPr="00EC7AEB" w:rsidP="00EC7AEB">
            <w:pPr>
              <w:pStyle w:val="ListBullet"/>
            </w:pPr>
            <w:r w:rsidRPr="00EC7AEB">
              <w:t>Types and applica</w:t>
            </w:r>
            <w:r w:rsidRPr="00EC7AEB">
              <w:t>tions of electrical equipment – characteristics, capabilities (schemes: overcurrent, frame leakage, cooling, buchholz, DC supplies, restricted earth, sensitive earth fault, CB fail, reclose, DC frame leakage, CEL Fail, under frequency load shed and earth f</w:t>
            </w:r>
            <w:r w:rsidRPr="00EC7AEB">
              <w:t>ault)</w:t>
            </w:r>
          </w:p>
          <w:p w:rsidR="00000000" w:rsidRPr="00EC7AEB" w:rsidP="00EC7AEB">
            <w:pPr>
              <w:pStyle w:val="BodyText"/>
            </w:pPr>
            <w:r w:rsidRPr="00EC7AEB">
              <w:t>T3</w:t>
            </w:r>
            <w:r w:rsidRPr="00EC7AEB">
              <w:tab/>
              <w:t>Principles of isolation and tagging procedures associated with protection testing encompassing:</w:t>
            </w:r>
          </w:p>
          <w:p w:rsidR="00000000" w:rsidRPr="00EC7AEB" w:rsidP="00EC7AEB">
            <w:pPr>
              <w:pStyle w:val="ListBullet"/>
            </w:pPr>
            <w:r w:rsidRPr="00EC7AEB">
              <w:t>Standards, codes, Commonwealth/State/Territory legislation, supply authority regulations and or enterprise requirements associated with the installati</w:t>
            </w:r>
            <w:r w:rsidRPr="00EC7AEB">
              <w:t>on, maintenance, isolation and tagging procedures</w:t>
            </w:r>
          </w:p>
          <w:p w:rsidR="00000000" w:rsidRPr="00EC7AEB" w:rsidP="00EC7AEB">
            <w:pPr>
              <w:pStyle w:val="ListBullet"/>
            </w:pPr>
            <w:r w:rsidRPr="00EC7AEB">
              <w:t>Requirements for the use of, isolation and tagging, manuals, system diagrams/plans and drawings</w:t>
            </w:r>
          </w:p>
          <w:p w:rsidR="00000000" w:rsidRPr="00EC7AEB" w:rsidP="00EC7AEB">
            <w:pPr>
              <w:pStyle w:val="ListBullet"/>
            </w:pPr>
            <w:r w:rsidRPr="00EC7AEB">
              <w:t>Techniques in documenting isolations</w:t>
            </w:r>
          </w:p>
          <w:p w:rsidR="00000000" w:rsidRPr="00EC7AEB" w:rsidP="00EC7AEB">
            <w:pPr>
              <w:pStyle w:val="ListBullet"/>
            </w:pPr>
            <w:r w:rsidRPr="00EC7AEB">
              <w:t>Techniques in appropriate isolation and tagging procedures as per Commonw</w:t>
            </w:r>
            <w:r w:rsidRPr="00EC7AEB">
              <w:t>ealth/State/Territory legislation, supply authority regulations and enterprise standards</w:t>
            </w:r>
          </w:p>
          <w:p w:rsidR="00000000" w:rsidRPr="00EC7AEB" w:rsidP="00EC7AEB">
            <w:pPr>
              <w:pStyle w:val="ListBullet"/>
            </w:pPr>
            <w:r w:rsidRPr="00EC7AEB">
              <w:t>Techniques in the installation and maintenance procedures protection devices as per Commonwealth/State/Territory legislation, supply authority regulations and enterpri</w:t>
            </w:r>
            <w:r w:rsidRPr="00EC7AEB">
              <w:t>se standards</w:t>
            </w:r>
          </w:p>
          <w:p w:rsidR="00000000" w:rsidRPr="00EC7AEB" w:rsidP="00EC7AEB">
            <w:pPr>
              <w:pStyle w:val="BodyText"/>
            </w:pPr>
            <w:r w:rsidRPr="00EC7AEB">
              <w:t>T4</w:t>
            </w:r>
            <w:r w:rsidRPr="00EC7AEB">
              <w:tab/>
              <w:t>Maintenance and commissioning procedures associated with discrete protection schemes encompassing:</w:t>
            </w:r>
          </w:p>
          <w:p w:rsidR="00000000" w:rsidRPr="00EC7AEB" w:rsidP="00EC7AEB">
            <w:pPr>
              <w:pStyle w:val="ListBullet"/>
            </w:pPr>
            <w:r w:rsidRPr="00EC7AEB">
              <w:t xml:space="preserve">Standards, codes, Commonwealth/State/Territory legislation, supply authority regulations and or enterprise requirements associated with the </w:t>
            </w:r>
            <w:r w:rsidRPr="00EC7AEB">
              <w:t>maintenance and commissioning procedures</w:t>
            </w:r>
          </w:p>
          <w:p w:rsidR="00000000" w:rsidRPr="00EC7AEB" w:rsidP="00EC7AEB">
            <w:pPr>
              <w:pStyle w:val="ListBullet"/>
            </w:pPr>
            <w:r w:rsidRPr="00EC7AEB">
              <w:t>Requirements for the use of maintenance and commissioning manuals, system diagrams/plans and drawings</w:t>
            </w:r>
          </w:p>
          <w:p w:rsidR="00000000" w:rsidRPr="00EC7AEB" w:rsidP="00EC7AEB">
            <w:pPr>
              <w:pStyle w:val="ListBullet"/>
            </w:pPr>
            <w:r w:rsidRPr="00EC7AEB">
              <w:t>Techniques in maintenance and commissioning procedures – planning, policy, testing techniques</w:t>
            </w:r>
          </w:p>
          <w:p w:rsidR="00000000" w:rsidRPr="00EC7AEB" w:rsidP="00EC7AEB">
            <w:pPr>
              <w:pStyle w:val="ListBullet"/>
            </w:pPr>
            <w:r w:rsidRPr="00EC7AEB">
              <w:t>Close out requireme</w:t>
            </w:r>
            <w:r w:rsidRPr="00EC7AEB">
              <w:t>nts</w:t>
            </w:r>
          </w:p>
          <w:p w:rsidR="00000000" w:rsidRPr="00EC7AEB" w:rsidP="00EC7AEB">
            <w:pPr>
              <w:pStyle w:val="BodyText"/>
            </w:pPr>
            <w:r w:rsidRPr="00EC7AEB">
              <w:t>T5</w:t>
            </w:r>
            <w:r w:rsidRPr="00EC7AEB">
              <w:tab/>
              <w:t>Relay manufacturer specifications encompassing:</w:t>
            </w:r>
          </w:p>
          <w:p w:rsidR="00000000" w:rsidRPr="00EC7AEB" w:rsidP="00EC7AEB">
            <w:pPr>
              <w:pStyle w:val="ListBullet"/>
            </w:pPr>
            <w:r w:rsidRPr="00EC7AEB">
              <w:t>Standards, codes, Commonwealth, State/Territory and local government legislation, supply authority regulations and or enterprise requirements applicable to the use and application of relay manufacture</w:t>
            </w:r>
            <w:r w:rsidRPr="00EC7AEB">
              <w:t>r specifications</w:t>
            </w:r>
          </w:p>
          <w:p w:rsidR="00000000" w:rsidRPr="00EC7AEB" w:rsidP="00EC7AEB">
            <w:pPr>
              <w:pStyle w:val="ListBullet"/>
            </w:pPr>
            <w:r w:rsidRPr="00EC7AEB">
              <w:t>Requirements for the use of relay manufacturer manuals, system diagrams/plans and drawings</w:t>
            </w:r>
          </w:p>
          <w:p w:rsidR="00000000" w:rsidRPr="00EC7AEB" w:rsidP="00EC7AEB">
            <w:pPr>
              <w:pStyle w:val="ListBullet"/>
            </w:pPr>
            <w:r w:rsidRPr="00EC7AEB">
              <w:t>Types, function and characteristics of specific relays - differences between specific relays used for the same functionality</w:t>
            </w:r>
          </w:p>
          <w:p w:rsidR="00000000" w:rsidRPr="00EC7AEB" w:rsidP="00EC7AEB">
            <w:pPr>
              <w:pStyle w:val="BodyText"/>
            </w:pPr>
            <w:r w:rsidRPr="00EC7AEB">
              <w:t>T6</w:t>
            </w:r>
            <w:r w:rsidRPr="00EC7AEB">
              <w:tab/>
            </w:r>
            <w:r w:rsidRPr="00EC7AEB">
              <w:t>Safe handling and/or disposing of insulation materials used in power distribution devices, which are potential environmental pollutants encompassing:</w:t>
            </w:r>
          </w:p>
          <w:p w:rsidR="00000000" w:rsidRPr="00EC7AEB" w:rsidP="00EC7AEB">
            <w:pPr>
              <w:pStyle w:val="ListBullet"/>
            </w:pPr>
            <w:r w:rsidRPr="00EC7AEB">
              <w:t>Standards, codes, Commonwealth, State/Territory and local government legislation, supply authority regula</w:t>
            </w:r>
            <w:r w:rsidRPr="00EC7AEB">
              <w:t>tions and or enterprise requirements applicable to the handling and disposing of insulation or heat dissipation materials used in power distribution devices</w:t>
            </w:r>
          </w:p>
          <w:p w:rsidR="00000000" w:rsidRPr="00EC7AEB" w:rsidP="00EC7AEB">
            <w:pPr>
              <w:pStyle w:val="ListBullet"/>
            </w:pPr>
            <w:r w:rsidRPr="00EC7AEB">
              <w:t>Identification of environmental issues associated with the handling and disposing of insulation mat</w:t>
            </w:r>
            <w:r w:rsidRPr="00EC7AEB">
              <w:t>erials</w:t>
            </w:r>
          </w:p>
          <w:p w:rsidR="00000000" w:rsidRPr="00EC7AEB" w:rsidP="00EC7AEB">
            <w:pPr>
              <w:pStyle w:val="ListBullet"/>
            </w:pPr>
            <w:r w:rsidRPr="00EC7AEB">
              <w:t xml:space="preserve">Safety precautions when handling and disposing of heat dissipation materials - safe working practices, Occupational Health and Safety hazards and precautions, identification of hazards, assessing and controlling risks, types, selection, maintenance </w:t>
            </w:r>
            <w:r w:rsidRPr="00EC7AEB">
              <w:t>and uses of personnel protective equipment, permit to work systems and isolation procedures, types and function of specialised equipment, safe working practices when using specialised equipment, emergency response and rescue including First Aid etc.</w:t>
            </w:r>
          </w:p>
          <w:p w:rsidR="00000000" w:rsidRPr="00EC7AEB" w:rsidP="00EC7AEB">
            <w:pPr>
              <w:pStyle w:val="ListBullet"/>
            </w:pPr>
            <w:r w:rsidRPr="00EC7AEB">
              <w:t>Techni</w:t>
            </w:r>
            <w:r w:rsidRPr="00EC7AEB">
              <w:t>ques in the handling and disposing of insulation materials - Polychlorinated Bi-Phenyls (PCB’s), asbestos, insulating Oil, SF6 gas.</w:t>
            </w:r>
          </w:p>
          <w:p w:rsidR="00000000" w:rsidRPr="00EC7AEB" w:rsidP="00EC7AEB">
            <w:pPr>
              <w:pStyle w:val="BodyText"/>
            </w:pPr>
            <w:r w:rsidRPr="00EC7AEB">
              <w:t>T7</w:t>
            </w:r>
            <w:r w:rsidRPr="00EC7AEB">
              <w:tab/>
              <w:t>Procedure to undertake a visual inspection of a scheme encompassing:</w:t>
            </w:r>
          </w:p>
          <w:p w:rsidR="00000000" w:rsidRPr="00EC7AEB" w:rsidP="00EC7AEB">
            <w:pPr>
              <w:pStyle w:val="ListBullet"/>
            </w:pPr>
            <w:r w:rsidRPr="00EC7AEB">
              <w:t>Standards, codes, Commonwealth/State/Territory legi</w:t>
            </w:r>
            <w:r w:rsidRPr="00EC7AEB">
              <w:t>slation, supply authority regulations and or enterprise requirements associated with visual inspection procedures of a scheme</w:t>
            </w:r>
          </w:p>
          <w:p w:rsidR="00000000" w:rsidRPr="00EC7AEB" w:rsidP="00EC7AEB">
            <w:pPr>
              <w:pStyle w:val="ListBullet"/>
            </w:pPr>
            <w:r w:rsidRPr="00EC7AEB">
              <w:t>Requirements for the use of manuals, system diagrams/plans and drawings</w:t>
            </w:r>
          </w:p>
          <w:p w:rsidR="00000000" w:rsidRPr="00EC7AEB" w:rsidP="00EC7AEB">
            <w:pPr>
              <w:pStyle w:val="ListBullet"/>
            </w:pPr>
            <w:r w:rsidRPr="00EC7AEB">
              <w:t>Identify obvious deficiencies in operating to the standard</w:t>
            </w:r>
            <w:r w:rsidRPr="00EC7AEB">
              <w:t xml:space="preserve"> functionality</w:t>
            </w:r>
          </w:p>
          <w:p w:rsidR="00000000" w:rsidRPr="00EC7AEB" w:rsidP="00EC7AEB">
            <w:pPr>
              <w:pStyle w:val="ListBullet"/>
            </w:pPr>
            <w:r w:rsidRPr="00EC7AEB">
              <w:t>Techniques in determining relay malfunction - targeting</w:t>
            </w:r>
          </w:p>
          <w:p w:rsidR="00000000" w:rsidRPr="00EC7AEB" w:rsidP="00EC7AEB">
            <w:pPr>
              <w:pStyle w:val="ListBullet"/>
            </w:pPr>
            <w:r w:rsidRPr="00EC7AEB">
              <w:t>Techniques in determining wiring defects</w:t>
            </w:r>
          </w:p>
          <w:p w:rsidR="00000000" w:rsidRPr="00EC7AEB" w:rsidP="00EC7AEB">
            <w:pPr>
              <w:pStyle w:val="BodyText"/>
            </w:pPr>
            <w:r w:rsidRPr="00EC7AEB">
              <w:t>T8</w:t>
            </w:r>
            <w:r w:rsidRPr="00EC7AEB">
              <w:tab/>
              <w:t>Operation and maintenance procedures associated with discrete protection and control systems encompassing:</w:t>
            </w:r>
          </w:p>
          <w:p w:rsidR="00000000" w:rsidRPr="00EC7AEB" w:rsidP="00EC7AEB">
            <w:pPr>
              <w:pStyle w:val="ListBullet"/>
            </w:pPr>
            <w:r w:rsidRPr="00EC7AEB">
              <w:t>Standards, codes, Commonwealth/St</w:t>
            </w:r>
            <w:r w:rsidRPr="00EC7AEB">
              <w:t>ate/Territory legislation, supply authority regulations and or enterprise requirements associated with operating procedures</w:t>
            </w:r>
          </w:p>
          <w:p w:rsidR="00000000" w:rsidRPr="00EC7AEB" w:rsidP="00EC7AEB">
            <w:pPr>
              <w:pStyle w:val="ListBullet"/>
            </w:pPr>
            <w:r w:rsidRPr="00EC7AEB">
              <w:t>Requirements for the use of operating manuals, system diagrams/plans and drawings</w:t>
            </w:r>
          </w:p>
          <w:p w:rsidR="00000000" w:rsidRPr="00EC7AEB" w:rsidP="00EC7AEB">
            <w:pPr>
              <w:pStyle w:val="ListBullet"/>
            </w:pPr>
            <w:r w:rsidRPr="00EC7AEB">
              <w:t>Techniques - gas collection and analysis, bleeding</w:t>
            </w:r>
            <w:r w:rsidRPr="00EC7AEB">
              <w:t xml:space="preserve"> and resetting, calibration, operational and sensitivity checks, trip and alarm checks</w:t>
            </w:r>
          </w:p>
          <w:p w:rsidR="00000000" w:rsidRPr="00EC7AEB" w:rsidP="00EC7AEB">
            <w:pPr>
              <w:pStyle w:val="ListBullet"/>
            </w:pPr>
            <w:r w:rsidRPr="00EC7AEB">
              <w:t>Surge relay types and uses, including transformer main tanks, diverter switch chambers</w:t>
            </w:r>
          </w:p>
          <w:p w:rsidR="00000000" w:rsidRPr="00EC7AEB" w:rsidP="00EC7AEB">
            <w:pPr>
              <w:pStyle w:val="BodyText"/>
            </w:pPr>
            <w:r w:rsidRPr="00EC7AEB">
              <w:t>T9</w:t>
            </w:r>
            <w:r w:rsidRPr="00EC7AEB">
              <w:tab/>
              <w:t xml:space="preserve">Measurements and the interpretation and analysis of those measurements related </w:t>
            </w:r>
            <w:r w:rsidRPr="00EC7AEB">
              <w:t>to the plant and/or equipment type encompassing:</w:t>
            </w:r>
          </w:p>
          <w:p w:rsidR="00000000" w:rsidRPr="00EC7AEB" w:rsidP="00EC7AEB">
            <w:pPr>
              <w:pStyle w:val="ListBullet"/>
            </w:pPr>
            <w:r w:rsidRPr="00EC7AEB">
              <w:t xml:space="preserve">Type of measurements - timing, current, voltage, capacitance, inductance, impedance, phase angle, phase shift, resistance, dielectric dissipation factor, frequency, polarisation index, ratio, vector group, </w:t>
            </w:r>
            <w:r w:rsidRPr="00EC7AEB">
              <w:t>temperature</w:t>
            </w:r>
          </w:p>
          <w:p w:rsidR="00000000" w:rsidRPr="00EC7AEB" w:rsidP="00EC7AEB">
            <w:pPr>
              <w:pStyle w:val="ListBullet"/>
            </w:pPr>
            <w:r w:rsidRPr="00EC7AEB">
              <w:t>Interpretation and analysis the use of techniques - digital comparison of data, extrapolation, use of graphs and charts, statistics and tables, mathematical calculation of expected values and comparison with manufacturers data and measurements</w:t>
            </w:r>
          </w:p>
          <w:p w:rsidR="00000000" w:rsidRPr="00EC7AEB" w:rsidP="00EC7AEB">
            <w:pPr>
              <w:pStyle w:val="ListBullet"/>
            </w:pPr>
            <w:r w:rsidRPr="00EC7AEB">
              <w:t>Techniques in the processes involved in follow-up actions and recommendations resulting from analysis and interpretation of results and measurements.</w:t>
            </w:r>
          </w:p>
          <w:p w:rsidR="00000000" w:rsidRPr="00EC7AEB" w:rsidP="00EC7AEB">
            <w:pPr>
              <w:pStyle w:val="BodyText"/>
            </w:pPr>
            <w:r w:rsidRPr="00EC7AEB">
              <w:t>T10</w:t>
            </w:r>
            <w:r w:rsidRPr="00EC7AEB">
              <w:tab/>
              <w:t>Infrared imaging principles encompassing:</w:t>
            </w:r>
          </w:p>
          <w:p w:rsidR="00000000" w:rsidRPr="00EC7AEB" w:rsidP="00EC7AEB">
            <w:pPr>
              <w:pStyle w:val="ListBullet"/>
            </w:pPr>
            <w:r w:rsidRPr="00EC7AEB">
              <w:t>Standards, codes, legislation, supply authority regulations</w:t>
            </w:r>
            <w:r w:rsidRPr="00EC7AEB">
              <w:t xml:space="preserve"> and or enterprise requirements applicable to Infrared Imaging</w:t>
            </w:r>
          </w:p>
          <w:p w:rsidR="00000000" w:rsidRPr="00EC7AEB" w:rsidP="00EC7AEB">
            <w:pPr>
              <w:pStyle w:val="ListBullet"/>
            </w:pPr>
            <w:r w:rsidRPr="00EC7AEB">
              <w:t>Requirements for the use of manuals, substation diagrams/plans and drawings</w:t>
            </w:r>
          </w:p>
          <w:p w:rsidR="00000000" w:rsidRPr="00EC7AEB" w:rsidP="00EC7AEB">
            <w:pPr>
              <w:pStyle w:val="ListBullet"/>
            </w:pPr>
            <w:r w:rsidRPr="00EC7AEB">
              <w:t>Types of enterprise specific computer software</w:t>
            </w:r>
          </w:p>
          <w:p w:rsidR="00000000" w:rsidRPr="00EC7AEB" w:rsidP="00EC7AEB">
            <w:pPr>
              <w:pStyle w:val="ListBullet"/>
            </w:pPr>
            <w:r w:rsidRPr="00EC7AEB">
              <w:t>Techniques in storing and retrieving data and reports from the compute</w:t>
            </w:r>
            <w:r w:rsidRPr="00EC7AEB">
              <w:t>r</w:t>
            </w:r>
          </w:p>
          <w:p w:rsidR="00000000" w:rsidRPr="00EC7AEB" w:rsidP="00EC7AEB">
            <w:pPr>
              <w:pStyle w:val="ListBullet"/>
            </w:pPr>
            <w:r w:rsidRPr="00EC7AEB">
              <w:t>Use, characteristics and capabilities of specialised tools and equipment</w:t>
            </w:r>
          </w:p>
          <w:p w:rsidR="00000000" w:rsidRPr="00EC7AEB" w:rsidP="00EC7AEB">
            <w:pPr>
              <w:pStyle w:val="ListBullet"/>
            </w:pPr>
            <w:r w:rsidRPr="00EC7AEB">
              <w:t>Enterprise Specific Policies and Procedures for Infrared Imaging reporting</w:t>
            </w:r>
          </w:p>
          <w:p w:rsidR="00000000" w:rsidRPr="00EC7AEB" w:rsidP="00EC7AEB">
            <w:pPr>
              <w:pStyle w:val="ListBullet"/>
            </w:pPr>
            <w:r w:rsidRPr="00EC7AEB">
              <w:t>Techniques in evaluating serviceability of circuit breaker operation</w:t>
            </w:r>
          </w:p>
          <w:p w:rsidR="00000000" w:rsidRPr="00EC7AEB" w:rsidP="00EC7AEB">
            <w:pPr>
              <w:pStyle w:val="ListBullet"/>
            </w:pPr>
            <w:r w:rsidRPr="00EC7AEB">
              <w:t>Procedures for obtaining correct HV s</w:t>
            </w:r>
            <w:r w:rsidRPr="00EC7AEB">
              <w:t>witchyard arrangements - identification of hazards and controlling risks, safety procedures and precautions, responsibilities and protocols, identifying switching resources</w:t>
            </w:r>
          </w:p>
          <w:p w:rsidR="00000000" w:rsidRPr="00EC7AEB" w:rsidP="00EC7AEB">
            <w:pPr>
              <w:pStyle w:val="ListBullet"/>
            </w:pPr>
            <w:r w:rsidRPr="00EC7AEB">
              <w:t>Safety precautions when testing and measuring equipment with Infrared Imaging - saf</w:t>
            </w:r>
            <w:r w:rsidRPr="00EC7AEB">
              <w:t>e working practices and procedures, identification of hazards, assessment and control of OHS risks, types, selection, maintenance and use of personal protective equipment, responsibilities and protocols.</w:t>
            </w:r>
          </w:p>
          <w:p w:rsidR="00000000" w:rsidRPr="00EC7AEB" w:rsidP="00EC7AEB">
            <w:pPr>
              <w:pStyle w:val="BodyText"/>
            </w:pPr>
            <w:r w:rsidRPr="00EC7AEB">
              <w:t>T11</w:t>
            </w:r>
            <w:r w:rsidRPr="00EC7AEB">
              <w:tab/>
              <w:t>Commissioning procedures associated with distrib</w:t>
            </w:r>
            <w:r w:rsidRPr="00EC7AEB">
              <w:t>ution protection and control systems encompassing:</w:t>
            </w:r>
          </w:p>
          <w:p w:rsidR="00000000" w:rsidRPr="00EC7AEB" w:rsidP="00EC7AEB">
            <w:pPr>
              <w:pStyle w:val="ListBullet"/>
            </w:pPr>
            <w:r w:rsidRPr="00EC7AEB">
              <w:t>Standards, codes, Commonwealth/State/Territory legislation, supply authority regulations and or enterprise requirements associated with the commissioning procedures</w:t>
            </w:r>
          </w:p>
          <w:p w:rsidR="00000000" w:rsidRPr="00EC7AEB" w:rsidP="00EC7AEB">
            <w:pPr>
              <w:pStyle w:val="ListBullet"/>
            </w:pPr>
            <w:r w:rsidRPr="00EC7AEB">
              <w:t>Requirements for the use of commissioni</w:t>
            </w:r>
            <w:r w:rsidRPr="00EC7AEB">
              <w:t>ng manuals, system diagrams/plans and drawings</w:t>
            </w:r>
          </w:p>
          <w:p w:rsidR="00000000" w:rsidRPr="00EC7AEB" w:rsidP="00EC7AEB">
            <w:pPr>
              <w:pStyle w:val="ListBullet"/>
            </w:pPr>
            <w:r w:rsidRPr="00EC7AEB">
              <w:t>Techniques in commissioning procedures – planning, policy, testing techniques</w:t>
            </w:r>
          </w:p>
          <w:p w:rsidR="00000000" w:rsidRPr="00EC7AEB" w:rsidP="00EC7AEB">
            <w:pPr>
              <w:pStyle w:val="ListBullet"/>
            </w:pPr>
            <w:r w:rsidRPr="00EC7AEB">
              <w:t>Close out requirements</w:t>
            </w:r>
          </w:p>
          <w:p w:rsidR="00000000" w:rsidRPr="00EC7AEB" w:rsidP="00EC7AEB">
            <w:pPr>
              <w:pStyle w:val="BodyText"/>
            </w:pPr>
            <w:r w:rsidRPr="00EC7AEB">
              <w:t>T12</w:t>
            </w:r>
            <w:r w:rsidRPr="00EC7AEB">
              <w:tab/>
              <w:t>Operation and maintenance procedures associated with voltage regulation schemes encompassing:</w:t>
            </w:r>
          </w:p>
          <w:p w:rsidR="00000000" w:rsidRPr="00EC7AEB" w:rsidP="00EC7AEB">
            <w:pPr>
              <w:pStyle w:val="ListBullet"/>
            </w:pPr>
            <w:r w:rsidRPr="00EC7AEB">
              <w:t>Standards</w:t>
            </w:r>
            <w:r w:rsidRPr="00EC7AEB">
              <w:t>, codes, Commonwealth/State/Territory legislation, supply authority regulations and or enterprise requirements associated with the operating procedures</w:t>
            </w:r>
          </w:p>
          <w:p w:rsidR="00000000" w:rsidRPr="00EC7AEB" w:rsidP="00EC7AEB">
            <w:pPr>
              <w:pStyle w:val="ListBullet"/>
            </w:pPr>
            <w:r w:rsidRPr="00EC7AEB">
              <w:t>Requirements for the use of operating manuals, system diagrams/plans and drawings</w:t>
            </w:r>
          </w:p>
          <w:p w:rsidR="00000000" w:rsidRPr="00EC7AEB" w:rsidP="00EC7AEB">
            <w:pPr>
              <w:pStyle w:val="ListBullet"/>
            </w:pPr>
            <w:r w:rsidRPr="00EC7AEB">
              <w:t>Principles of operatio</w:t>
            </w:r>
            <w:r w:rsidRPr="00EC7AEB">
              <w:t xml:space="preserve">n and operating sequences - voltage control, VAR control, Live Bus/Dead Bus synchronising checks, tap changer principles, requirements for parallel operations, settings, grading </w:t>
            </w:r>
          </w:p>
          <w:p w:rsidR="00000000" w:rsidRPr="00EC7AEB" w:rsidP="00EC7AEB">
            <w:pPr>
              <w:pStyle w:val="ListBullet"/>
            </w:pPr>
            <w:r w:rsidRPr="00EC7AEB">
              <w:t>Techniques associated with - isolation requirements, enterprise maintenance requirements, setting checks, LV injections, electrical measurements</w:t>
            </w:r>
          </w:p>
          <w:p w:rsidR="00000000" w:rsidRPr="00EC7AEB" w:rsidP="00EC7AEB">
            <w:pPr>
              <w:pStyle w:val="ListBullet"/>
            </w:pPr>
            <w:r w:rsidRPr="00EC7AEB">
              <w:t>Ancillary equipment which may include transducers, Buswire schemes, tap position indicators, local/remote contr</w:t>
            </w:r>
            <w:r w:rsidRPr="00EC7AEB">
              <w:t>ol systems, alarm systems</w:t>
            </w:r>
          </w:p>
          <w:p w:rsidR="00000000" w:rsidRPr="00EC7AEB" w:rsidP="00EC7AEB">
            <w:pPr>
              <w:pStyle w:val="ListBullet"/>
            </w:pPr>
            <w:r w:rsidRPr="00EC7AEB">
              <w:t>Voltage regulation scheme types which may include electro mechanical, micro-processor or combinations of both.</w:t>
            </w:r>
          </w:p>
          <w:p w:rsidR="00000000" w:rsidRPr="00EC7AEB" w:rsidP="00EC7AEB">
            <w:pPr>
              <w:pStyle w:val="BodyText"/>
            </w:pPr>
            <w:r w:rsidRPr="00EC7AEB">
              <w:t>T13</w:t>
            </w:r>
            <w:r w:rsidRPr="00EC7AEB">
              <w:tab/>
              <w:t>Types and applications of test equipment encompassing:</w:t>
            </w:r>
          </w:p>
          <w:p w:rsidR="00000000" w:rsidRPr="00EC7AEB" w:rsidP="00EC7AEB">
            <w:pPr>
              <w:pStyle w:val="ListBullet"/>
            </w:pPr>
            <w:r w:rsidRPr="00EC7AEB">
              <w:t>Standards, codes, Commonwealth, State/Territory and local g</w:t>
            </w:r>
            <w:r w:rsidRPr="00EC7AEB">
              <w:t>overnment legislation, supply authority regulations and or enterprise requirements applicable to the use and application of electrical and/or electronic test equipment</w:t>
            </w:r>
          </w:p>
          <w:p w:rsidR="00000000" w:rsidRPr="00EC7AEB" w:rsidP="00EC7AEB">
            <w:pPr>
              <w:pStyle w:val="ListBullet"/>
            </w:pPr>
            <w:r w:rsidRPr="00EC7AEB">
              <w:t>Types and applications of test equipment used on discrete protection scheme</w:t>
            </w:r>
          </w:p>
          <w:p w:rsidR="00000000" w:rsidRPr="00EC7AEB" w:rsidP="00EC7AEB">
            <w:pPr>
              <w:pStyle w:val="ListBullet"/>
            </w:pPr>
            <w:r w:rsidRPr="00EC7AEB">
              <w:t>Techniques i</w:t>
            </w:r>
            <w:r w:rsidRPr="00EC7AEB">
              <w:t>n the use of test equipment - electronic test equipment (Doble, Ohmnicrome), gas injection equipment, manufactures test equipment, multimeters, phase angle meters, meggers.</w:t>
            </w:r>
          </w:p>
          <w:p w:rsidR="00000000" w:rsidRPr="00EC7AEB" w:rsidP="00EC7AEB">
            <w:pPr>
              <w:pStyle w:val="BodyText"/>
            </w:pPr>
            <w:r w:rsidRPr="00EC7AEB">
              <w:t>T14</w:t>
            </w:r>
            <w:r w:rsidRPr="00EC7AEB">
              <w:tab/>
              <w:t>Electrical equipment associated with distribution field device protection and c</w:t>
            </w:r>
            <w:r w:rsidRPr="00EC7AEB">
              <w:t>ontrol schemes encompassing:</w:t>
            </w:r>
          </w:p>
          <w:p w:rsidR="00000000" w:rsidRPr="00EC7AEB" w:rsidP="00EC7AEB">
            <w:pPr>
              <w:pStyle w:val="ListBullet"/>
            </w:pPr>
            <w:r w:rsidRPr="00EC7AEB">
              <w:t>Types and applications of electrical equipment – characteristics, capabilities (schemes:  automatic circuit reclosers (ACR’s), gas switches, secondary injection tests, primary injection tests, TMR Radio’s, SCADA, remote contro</w:t>
            </w:r>
            <w:r w:rsidRPr="00EC7AEB">
              <w:t>l, overcurrent, earth fault, sensitive earth fault, inverse time curves, definite time curves, tripping, reclose, DC supplies, AC supplies and alarms)</w:t>
            </w:r>
          </w:p>
          <w:p w:rsidR="00000000" w:rsidRPr="00EC7AEB" w:rsidP="00EC7AEB">
            <w:pPr>
              <w:pStyle w:val="BodyText"/>
            </w:pPr>
            <w:r w:rsidRPr="00EC7AEB">
              <w:t>T15</w:t>
            </w:r>
            <w:r w:rsidRPr="00EC7AEB">
              <w:tab/>
              <w:t>Circuit breaker auxiliary systems encompassing:</w:t>
            </w:r>
          </w:p>
          <w:p w:rsidR="00000000" w:rsidRPr="00EC7AEB" w:rsidP="00EC7AEB">
            <w:pPr>
              <w:pStyle w:val="ListBullet"/>
            </w:pPr>
            <w:r w:rsidRPr="00EC7AEB">
              <w:t>Types and characteristics of high pressure air syste</w:t>
            </w:r>
            <w:r w:rsidRPr="00EC7AEB">
              <w:t>ms including air storage and air handling processes</w:t>
            </w:r>
          </w:p>
          <w:p w:rsidR="00000000" w:rsidRPr="00EC7AEB" w:rsidP="00EC7AEB">
            <w:pPr>
              <w:pStyle w:val="ListBullet"/>
            </w:pPr>
            <w:r w:rsidRPr="00EC7AEB">
              <w:t>Types and characteristics of DC systems including battery types, charging systems, protection systems</w:t>
            </w:r>
          </w:p>
          <w:p w:rsidR="00000000" w:rsidRPr="00EC7AEB" w:rsidP="00EC7AEB">
            <w:pPr>
              <w:pStyle w:val="ListBullet"/>
            </w:pPr>
            <w:r w:rsidRPr="00EC7AEB">
              <w:t>Types and characteristics of special ambient gases (SF6) systems including gas conditioning, storage a</w:t>
            </w:r>
            <w:r w:rsidRPr="00EC7AEB">
              <w:t>nd handling systems</w:t>
            </w:r>
          </w:p>
          <w:p w:rsidR="00000000" w:rsidRPr="00EC7AEB" w:rsidP="00EC7AEB">
            <w:pPr>
              <w:pStyle w:val="ListBullet"/>
            </w:pPr>
            <w:r w:rsidRPr="00EC7AEB">
              <w:t>Types and characteristics of vacuum interrupters</w:t>
            </w:r>
          </w:p>
          <w:p w:rsidR="00000000" w:rsidRPr="00EC7AEB" w:rsidP="00EC7AEB">
            <w:pPr>
              <w:pStyle w:val="ListBullet"/>
            </w:pPr>
            <w:r w:rsidRPr="00EC7AEB">
              <w:t>Types and characteristics of oil filled and oil handling</w:t>
            </w:r>
          </w:p>
          <w:p w:rsidR="00000000" w:rsidRPr="00EC7AEB" w:rsidP="00EC7AEB">
            <w:pPr>
              <w:pStyle w:val="BodyText"/>
            </w:pPr>
            <w:r w:rsidRPr="00EC7AEB">
              <w:t>T16</w:t>
            </w:r>
            <w:r w:rsidRPr="00EC7AEB">
              <w:tab/>
              <w:t>Detailed operation and setting of discrete protection systems encompassing:</w:t>
            </w:r>
          </w:p>
          <w:p w:rsidR="00000000" w:rsidRPr="00EC7AEB" w:rsidP="00EC7AEB">
            <w:pPr>
              <w:pStyle w:val="ListBullet"/>
            </w:pPr>
            <w:r w:rsidRPr="00EC7AEB">
              <w:t>Earth fault protection - master earth leakage sch</w:t>
            </w:r>
            <w:r w:rsidRPr="00EC7AEB">
              <w:t>emes, sensitive earth fault relays and schemes, residual earth fault scheme, core balance earth fault scheme, frame/structure earth leakage scheme, time graded discrimination, backup protection</w:t>
            </w:r>
          </w:p>
          <w:p w:rsidR="00000000" w:rsidRPr="00EC7AEB" w:rsidP="00EC7AEB">
            <w:pPr>
              <w:pStyle w:val="ListBullet"/>
            </w:pPr>
            <w:r w:rsidRPr="00EC7AEB">
              <w:t>Overcurrent protection - feeder overcurrent protection, instan</w:t>
            </w:r>
            <w:r w:rsidRPr="00EC7AEB">
              <w:t>taneous overcurrent schemes, inverse timed overcurrent schemes, types and location of components of an overcurrent scheme, CT summation, time graded discrimination, backup protection</w:t>
            </w:r>
          </w:p>
          <w:p w:rsidR="00000000" w:rsidRPr="00EC7AEB" w:rsidP="00EC7AEB">
            <w:pPr>
              <w:pStyle w:val="ListBullet"/>
            </w:pPr>
            <w:r w:rsidRPr="00EC7AEB">
              <w:t>Alarms and controls - auxiliary relays, voltage regulating relays, line d</w:t>
            </w:r>
            <w:r w:rsidRPr="00EC7AEB">
              <w:t>rop compensation, gas relay types, gas relay scheme operation and setting, over temperature schemes</w:t>
            </w:r>
          </w:p>
          <w:p w:rsidR="00000000" w:rsidRPr="00EC7AEB" w:rsidP="00EC7AEB">
            <w:pPr>
              <w:pStyle w:val="BodyText"/>
            </w:pPr>
            <w:r w:rsidRPr="00EC7AEB">
              <w:t>T17</w:t>
            </w:r>
            <w:r w:rsidRPr="00EC7AEB">
              <w:tab/>
              <w:t>Detailed operation of interdependent protection systems encompassing:</w:t>
            </w:r>
          </w:p>
          <w:p w:rsidR="00000000" w:rsidRPr="00EC7AEB" w:rsidP="00EC7AEB">
            <w:pPr>
              <w:pStyle w:val="ListBullet"/>
            </w:pPr>
            <w:r w:rsidRPr="00EC7AEB">
              <w:t xml:space="preserve">Overcurrent and earth leakage schemes including intertripping, interlocking and </w:t>
            </w:r>
            <w:r w:rsidRPr="00EC7AEB">
              <w:t>blocking - logic mapping, master control, electromechanical, electronic, shading coils</w:t>
            </w:r>
          </w:p>
          <w:p w:rsidR="00000000" w:rsidRPr="00EC7AEB" w:rsidP="00EC7AEB">
            <w:pPr>
              <w:pStyle w:val="ListBullet"/>
            </w:pPr>
            <w:r w:rsidRPr="00EC7AEB">
              <w:t xml:space="preserve">Pilot wire, phase comparison - opposed voltage schemes, circulating current schemes, location of components of a scheme, pilot supervisory techniques, </w:t>
            </w:r>
          </w:p>
          <w:p w:rsidR="00000000" w:rsidRPr="00EC7AEB" w:rsidP="00EC7AEB">
            <w:pPr>
              <w:pStyle w:val="ListBullet"/>
            </w:pPr>
            <w:r w:rsidRPr="00EC7AEB">
              <w:t>Load shedding, vo</w:t>
            </w:r>
            <w:r w:rsidRPr="00EC7AEB">
              <w:t>ltage control, parallel operation, load rejection</w:t>
            </w:r>
          </w:p>
          <w:p w:rsidR="00000000" w:rsidRPr="00EC7AEB" w:rsidP="00EC7AEB">
            <w:pPr>
              <w:pStyle w:val="ListBullet"/>
            </w:pPr>
            <w:r w:rsidRPr="00EC7AEB">
              <w:t>Busbar Protection and CB failure protection</w:t>
            </w:r>
          </w:p>
          <w:p w:rsidR="00000000" w:rsidRPr="00EC7AEB" w:rsidP="00EC7AEB">
            <w:pPr>
              <w:pStyle w:val="ListBullet"/>
            </w:pPr>
            <w:r w:rsidRPr="00EC7AEB">
              <w:t>Reclose systems - applications, single shot, multishot, blocking schemes, synchronisation checking.</w:t>
            </w:r>
          </w:p>
          <w:p w:rsidR="00000000" w:rsidRPr="00EC7AEB" w:rsidP="00EC7AEB">
            <w:pPr>
              <w:pStyle w:val="BodyText"/>
            </w:pPr>
            <w:r w:rsidRPr="00EC7AEB">
              <w:t>T18</w:t>
            </w:r>
            <w:r w:rsidRPr="00EC7AEB">
              <w:tab/>
              <w:t>Procedures for the location and rectification of faults in</w:t>
            </w:r>
            <w:r w:rsidRPr="00EC7AEB">
              <w:t xml:space="preserve"> electrical equipment up to 1000 volts AC and or 1500 volts DC, encompassing:</w:t>
            </w:r>
          </w:p>
          <w:p w:rsidR="00000000" w:rsidRPr="00EC7AEB" w:rsidP="00EC7AEB">
            <w:pPr>
              <w:pStyle w:val="ListBullet"/>
            </w:pPr>
            <w:r w:rsidRPr="00EC7AEB">
              <w:t>Relationship of Occupational Health and Safety to the location and rectification of faults in electrical equipment - Act and regulations, identification of personal safety, work</w:t>
            </w:r>
            <w:r w:rsidRPr="00EC7AEB">
              <w:t>place hazards, working with electrically operated tools and equipment, emergency First Aid/resuscitation, rescue from a live electrical situation, enterprise policies and procedures.</w:t>
            </w:r>
          </w:p>
          <w:p w:rsidR="00000000" w:rsidRPr="00EC7AEB" w:rsidP="00EC7AEB">
            <w:pPr>
              <w:pStyle w:val="ListBullet"/>
            </w:pPr>
            <w:r w:rsidRPr="00EC7AEB">
              <w:t>Types of drawings - differentiation between symptoms, faults and causes i</w:t>
            </w:r>
            <w:r w:rsidRPr="00EC7AEB">
              <w:t>n malfunctioning equipment, fault-finding techniques and procedures</w:t>
            </w:r>
          </w:p>
          <w:p w:rsidR="00000000" w:rsidRPr="00EC7AEB" w:rsidP="00EC7AEB">
            <w:pPr>
              <w:pStyle w:val="ListBullet"/>
            </w:pPr>
            <w:r w:rsidRPr="00EC7AEB">
              <w:t>Fundamental electrical concepts - effects of current, practical resistors, sources of EMF, series, parallel and series-parallel circuits, electrical measurement, capacitors, inductors, mag</w:t>
            </w:r>
            <w:r w:rsidRPr="00EC7AEB">
              <w:t>netism.</w:t>
            </w:r>
          </w:p>
          <w:p w:rsidR="00000000" w:rsidRPr="00EC7AEB" w:rsidP="00EC7AEB">
            <w:pPr>
              <w:pStyle w:val="ListBullet"/>
            </w:pPr>
            <w:r w:rsidRPr="00EC7AEB">
              <w:t>Fundamentals of general appliances - basic principles of appliances (non mathematical), appliance identification, appliance ratings, basic principles of operation of control equipment and protection devices, fault conditions and symptoms, safe isol</w:t>
            </w:r>
            <w:r w:rsidRPr="00EC7AEB">
              <w:t>ation procedures, test equipment, safe testing procedures, including continuity, fault types in appliances, fault-finding procedures (prescriptive)</w:t>
            </w:r>
          </w:p>
          <w:p w:rsidR="00000000" w:rsidRPr="00EC7AEB" w:rsidP="00EC7AEB">
            <w:pPr>
              <w:pStyle w:val="ListBullet"/>
            </w:pPr>
            <w:r w:rsidRPr="00EC7AEB">
              <w:t>Fundamentals of single phase induction motors - basic principles of operation (non mathematical), motor iden</w:t>
            </w:r>
            <w:r w:rsidRPr="00EC7AEB">
              <w:t>tification, motor ratings, basic principles of operation of control equipment and protection devices, fault conditions and symptoms, safe isolation procedures, test equipment, safe testing procedure, including continuity, fault types in “phase splitting” a</w:t>
            </w:r>
            <w:r w:rsidRPr="00EC7AEB">
              <w:t>nd universal type motors, fault-finding procedures (prescriptive).</w:t>
            </w:r>
          </w:p>
          <w:p w:rsidR="00000000" w:rsidRPr="00EC7AEB" w:rsidP="00EC7AEB">
            <w:pPr>
              <w:pStyle w:val="ListBullet"/>
            </w:pPr>
            <w:r w:rsidRPr="00EC7AEB">
              <w:t>Fundamentals of three phase induction motors - basic principles of operation (non mathematical), motor identification, motor ratings, motor starter principles, basic principles of operation</w:t>
            </w:r>
            <w:r w:rsidRPr="00EC7AEB">
              <w:t xml:space="preserve"> of control equipment and protection devices, fault conditions and symptoms, safe isolation procedures, safe testing procedure, fault-finding procedures (prescriptive)</w:t>
            </w:r>
          </w:p>
          <w:p w:rsidR="00000000" w:rsidRPr="00EC7AEB" w:rsidP="00EC7AEB">
            <w:pPr>
              <w:pStyle w:val="ListBullet"/>
            </w:pPr>
            <w:r w:rsidRPr="00EC7AEB">
              <w:t>Fundamentals of single and three phase electrical heaters - basic principles of operatio</w:t>
            </w:r>
            <w:r w:rsidRPr="00EC7AEB">
              <w:t>n, types of electrical heaters, electrical heater identification, electrical heater ratings, basic principles of operation of control and protection devices, fault conditions and symptoms, safe testing procedure, fault-finding procedures (prescriptive).</w:t>
            </w:r>
          </w:p>
          <w:p w:rsidR="00000000" w:rsidRPr="00EC7AEB" w:rsidP="00EC7AEB">
            <w:pPr>
              <w:pStyle w:val="BodyText"/>
            </w:pPr>
            <w:r w:rsidRPr="00EC7AEB">
              <w:t>T1</w:t>
            </w:r>
            <w:r w:rsidRPr="00EC7AEB">
              <w:t>9</w:t>
            </w:r>
            <w:r w:rsidRPr="00EC7AEB">
              <w:tab/>
              <w:t>Disconnection and reconnection procedures for fixed wiring electrical equipment up to 1000 volts AC and or 1500 volts DC, encompassing:</w:t>
            </w:r>
          </w:p>
          <w:p w:rsidR="00000000" w:rsidRPr="00EC7AEB" w:rsidP="00EC7AEB">
            <w:pPr>
              <w:pStyle w:val="ListBullet"/>
            </w:pPr>
            <w:r w:rsidRPr="00EC7AEB">
              <w:t>Safe electrical work practices and procedures according to standards such as AS/NZ 4836:2001 or equivalent</w:t>
            </w:r>
          </w:p>
          <w:p w:rsidR="00000000" w:rsidRPr="00EC7AEB" w:rsidP="00EC7AEB">
            <w:pPr>
              <w:pStyle w:val="ListBullet"/>
            </w:pPr>
            <w:r w:rsidRPr="00EC7AEB">
              <w:t>Safe use o</w:t>
            </w:r>
            <w:r w:rsidRPr="00EC7AEB">
              <w:t>f tools and plant</w:t>
            </w:r>
          </w:p>
          <w:p w:rsidR="00000000" w:rsidRPr="00EC7AEB" w:rsidP="00EC7AEB">
            <w:pPr>
              <w:pStyle w:val="ListBullet"/>
            </w:pPr>
            <w:r w:rsidRPr="00EC7AEB">
              <w:t>Safe use of ladders and elevated work platforms</w:t>
            </w:r>
          </w:p>
          <w:p w:rsidR="00000000" w:rsidRPr="00EC7AEB" w:rsidP="00EC7AEB">
            <w:pPr>
              <w:pStyle w:val="ListBullet"/>
            </w:pPr>
            <w:r w:rsidRPr="00EC7AEB">
              <w:t>Safe use of protective clothing</w:t>
            </w:r>
          </w:p>
          <w:p w:rsidR="00000000" w:rsidRPr="00EC7AEB" w:rsidP="00EC7AEB">
            <w:pPr>
              <w:pStyle w:val="ListBullet"/>
            </w:pPr>
            <w:r w:rsidRPr="00EC7AEB">
              <w:t>Hazards in the (electrical) work environment - shock hazards, fire hazards, chemical hazards, other hazardous areas</w:t>
            </w:r>
          </w:p>
          <w:p w:rsidR="00000000" w:rsidRPr="00EC7AEB" w:rsidP="00EC7AEB">
            <w:pPr>
              <w:pStyle w:val="ListBullet"/>
            </w:pPr>
            <w:r w:rsidRPr="00EC7AEB">
              <w:t>Special situations</w:t>
            </w:r>
          </w:p>
          <w:p w:rsidR="00000000" w:rsidRPr="00EC7AEB" w:rsidP="00EC7AEB">
            <w:pPr>
              <w:pStyle w:val="ListBullet"/>
            </w:pPr>
            <w:r w:rsidRPr="00EC7AEB">
              <w:t>Procedures for dealing with fires associated with electrical equipment</w:t>
            </w:r>
          </w:p>
          <w:p w:rsidR="00000000" w:rsidRPr="00EC7AEB" w:rsidP="00EC7AEB">
            <w:pPr>
              <w:pStyle w:val="ListBullet"/>
            </w:pPr>
            <w:r w:rsidRPr="00EC7AEB">
              <w:t>Procedures for dealing with PCBs</w:t>
            </w:r>
          </w:p>
          <w:p w:rsidR="00000000" w:rsidRPr="00EC7AEB" w:rsidP="00EC7AEB">
            <w:pPr>
              <w:pStyle w:val="ListBullet"/>
            </w:pPr>
            <w:r w:rsidRPr="00EC7AEB">
              <w:t>Electric shock victim rescue methods and procedures - basic First Aid treatment for shock, burns and bleeding.</w:t>
            </w:r>
          </w:p>
          <w:p w:rsidR="00000000" w:rsidRPr="00EC7AEB" w:rsidP="00EC7AEB">
            <w:pPr>
              <w:pStyle w:val="ListBullet"/>
            </w:pPr>
            <w:r w:rsidRPr="00EC7AEB">
              <w:t>Purpose of each procedure and application</w:t>
            </w:r>
            <w:r w:rsidRPr="00EC7AEB">
              <w:t xml:space="preserve"> - expired air resuscitation (EAR), external cardiac-compression (ECC), cardio-pulmonary resuscitation (CPR), combined application of EAR and ECC (purpose of each procedure and application).</w:t>
            </w:r>
          </w:p>
          <w:p w:rsidR="00000000" w:rsidRPr="00EC7AEB" w:rsidP="00EC7AEB">
            <w:pPr>
              <w:pStyle w:val="ListBullet"/>
            </w:pPr>
            <w:r w:rsidRPr="00EC7AEB">
              <w:t>Components of a basic electrical circuit(s) – source, control, pr</w:t>
            </w:r>
            <w:r w:rsidRPr="00EC7AEB">
              <w:t>otection, load</w:t>
            </w:r>
          </w:p>
          <w:p w:rsidR="00000000" w:rsidRPr="00EC7AEB" w:rsidP="00EC7AEB">
            <w:pPr>
              <w:pStyle w:val="ListBullet"/>
            </w:pPr>
            <w:r w:rsidRPr="00EC7AEB">
              <w:t>Types of circuit diagrams – symbols, conventions, interpretations, free sketches</w:t>
            </w:r>
          </w:p>
          <w:p w:rsidR="00000000" w:rsidRPr="00EC7AEB" w:rsidP="00EC7AEB">
            <w:pPr>
              <w:pStyle w:val="ListBullet"/>
            </w:pPr>
            <w:r w:rsidRPr="00EC7AEB">
              <w:t>Types of circuit connections and functions - open circuit, closed circuit, short circuit</w:t>
            </w:r>
          </w:p>
          <w:p w:rsidR="00000000" w:rsidRPr="00EC7AEB" w:rsidP="00EC7AEB">
            <w:pPr>
              <w:pStyle w:val="ListBullet"/>
            </w:pPr>
            <w:r w:rsidRPr="00EC7AEB">
              <w:t>Techniques in basic electrical measurement - use of multimeters; use of</w:t>
            </w:r>
            <w:r w:rsidRPr="00EC7AEB">
              <w:t xml:space="preserve"> ammeter; use of voltage measuring and indicating devices; testing of measuring instruments; care of measuring instruments; voltage, current and resistance measurement; estimating values of voltage, current and resistance; using ohms law</w:t>
            </w:r>
          </w:p>
          <w:p w:rsidR="00000000" w:rsidRPr="00EC7AEB" w:rsidP="00EC7AEB">
            <w:pPr>
              <w:pStyle w:val="ListBullet"/>
            </w:pPr>
            <w:r w:rsidRPr="00EC7AEB">
              <w:t>Fundamental princi</w:t>
            </w:r>
            <w:r w:rsidRPr="00EC7AEB">
              <w:t>ples of electrical concepts - effects of current; practical resistors; sources of EMF; simple practical circuit; series, parallel and series-parallel circuits; electrical measurement; capacitors; inductors; magnetism</w:t>
            </w:r>
          </w:p>
          <w:p w:rsidR="00000000" w:rsidRPr="00EC7AEB" w:rsidP="00EC7AEB">
            <w:pPr>
              <w:pStyle w:val="ListBullet"/>
            </w:pPr>
            <w:r w:rsidRPr="00EC7AEB">
              <w:t>Techniques in insulation resistance mea</w:t>
            </w:r>
            <w:r w:rsidRPr="00EC7AEB">
              <w:t>surement and requirements</w:t>
            </w:r>
          </w:p>
          <w:p w:rsidR="00000000" w:rsidRPr="00EC7AEB" w:rsidP="00EC7AEB">
            <w:pPr>
              <w:pStyle w:val="ListBullet"/>
            </w:pPr>
            <w:r w:rsidRPr="00EC7AEB">
              <w:t>Earthing principles and systems.</w:t>
            </w:r>
          </w:p>
          <w:p w:rsidR="00000000" w:rsidRPr="00EC7AEB" w:rsidP="00EC7AEB">
            <w:pPr>
              <w:pStyle w:val="BodyText"/>
            </w:pPr>
            <w:r w:rsidRPr="00EC7AEB">
              <w:t>T20</w:t>
            </w:r>
            <w:r w:rsidRPr="00EC7AEB">
              <w:tab/>
              <w:t>Disconnection and reconnection procedures for fixed wiring electrical equipment up to 1000 volts AC and or 1500 volts DC, encompassing:</w:t>
            </w:r>
          </w:p>
          <w:p w:rsidR="00000000" w:rsidRPr="00EC7AEB" w:rsidP="00EC7AEB">
            <w:pPr>
              <w:pStyle w:val="ListBullet"/>
            </w:pPr>
            <w:r w:rsidRPr="00EC7AEB">
              <w:t>Methods for testing insulation resistance - continuity o</w:t>
            </w:r>
            <w:r w:rsidRPr="00EC7AEB">
              <w:t>f prospective earthing conductor, continuity between exposed conductive parts and the earthing system</w:t>
            </w:r>
          </w:p>
          <w:p w:rsidR="00000000" w:rsidRPr="00EC7AEB" w:rsidP="00EC7AEB">
            <w:pPr>
              <w:pStyle w:val="ListBullet"/>
            </w:pPr>
            <w:r w:rsidRPr="00EC7AEB">
              <w:t>Methods of recognising acceptable test results for compliance with safety requirements</w:t>
            </w:r>
          </w:p>
          <w:p w:rsidR="00000000" w:rsidRPr="00EC7AEB" w:rsidP="00EC7AEB">
            <w:pPr>
              <w:pStyle w:val="ListBullet"/>
            </w:pPr>
            <w:r w:rsidRPr="00EC7AEB">
              <w:t>Methods of recognising unacceptable test results and require an app</w:t>
            </w:r>
            <w:r w:rsidRPr="00EC7AEB">
              <w:t>ropriate qualified person to further investigation</w:t>
            </w:r>
          </w:p>
          <w:p w:rsidR="00000000" w:rsidRPr="00EC7AEB" w:rsidP="00EC7AEB">
            <w:pPr>
              <w:pStyle w:val="ListBullet"/>
            </w:pPr>
            <w:r w:rsidRPr="00EC7AEB">
              <w:t>Cable types and conductor termination methods and techniques - conductors solid, stranded and flexible, colour codes</w:t>
            </w:r>
          </w:p>
          <w:p w:rsidR="00000000" w:rsidRPr="00EC7AEB" w:rsidP="00EC7AEB">
            <w:pPr>
              <w:pStyle w:val="ListBullet"/>
            </w:pPr>
            <w:r w:rsidRPr="00EC7AEB">
              <w:t>Single and three phase systems and loads - number of active and live conductors required</w:t>
            </w:r>
            <w:r w:rsidRPr="00EC7AEB">
              <w:t>, line and phase voltage, typical loads</w:t>
            </w:r>
          </w:p>
          <w:p w:rsidR="00000000" w:rsidRPr="00EC7AEB" w:rsidP="00EC7AEB">
            <w:pPr>
              <w:pStyle w:val="ListBullet"/>
            </w:pPr>
            <w:r w:rsidRPr="00EC7AEB">
              <w:t>Identification and rating of general appliances</w:t>
            </w:r>
          </w:p>
          <w:p w:rsidR="00000000" w:rsidRPr="00EC7AEB" w:rsidP="00EC7AEB">
            <w:pPr>
              <w:pStyle w:val="ListBullet"/>
            </w:pPr>
            <w:r w:rsidRPr="00EC7AEB">
              <w:t>Single phase induction motors - motor identification, motor ratings, direction of rotation</w:t>
            </w:r>
          </w:p>
          <w:p w:rsidR="00000000" w:rsidRPr="00EC7AEB" w:rsidP="00EC7AEB">
            <w:pPr>
              <w:pStyle w:val="ListBullet"/>
            </w:pPr>
            <w:r w:rsidRPr="00EC7AEB">
              <w:t>Three phase induction motors - motor identification, motor ratings, direction</w:t>
            </w:r>
            <w:r w:rsidRPr="00EC7AEB">
              <w:t xml:space="preserve"> of rotation</w:t>
            </w:r>
          </w:p>
          <w:p w:rsidR="00000000" w:rsidRPr="00EC7AEB" w:rsidP="00EC7AEB">
            <w:pPr>
              <w:pStyle w:val="ListBullet"/>
            </w:pPr>
            <w:r w:rsidRPr="00EC7AEB">
              <w:t>Single and three phase heaters - types of heaters, heater identification, heater ratings</w:t>
            </w:r>
          </w:p>
          <w:p w:rsidR="00000000" w:rsidRPr="00EC7AEB" w:rsidP="00EC7AEB">
            <w:pPr>
              <w:pStyle w:val="ListBullet"/>
            </w:pPr>
            <w:r w:rsidRPr="00EC7AEB">
              <w:t>Electrical distribution arrangement - power systems within premises, purpose of switchboards/distribution boards (residual current devices and ELCBs)</w:t>
            </w:r>
          </w:p>
          <w:p w:rsidR="00000000" w:rsidRPr="00EC7AEB" w:rsidP="00EC7AEB">
            <w:pPr>
              <w:pStyle w:val="ListBullet"/>
            </w:pPr>
            <w:r w:rsidRPr="00EC7AEB">
              <w:t>Circuit isolation and protection devices</w:t>
            </w:r>
          </w:p>
          <w:p w:rsidR="00000000" w:rsidRPr="00EC7AEB" w:rsidP="00EC7AEB">
            <w:pPr>
              <w:pStyle w:val="ListBullet"/>
            </w:pPr>
            <w:r w:rsidRPr="00EC7AEB">
              <w:t>Isolation procedures - work clearance, testing for voltage, lock-off and tagging, techniques in isolation and tagging, regulation, codes of practice and procedures</w:t>
            </w:r>
          </w:p>
          <w:p w:rsidR="00000000" w:rsidRPr="00EC7AEB" w:rsidP="00EC7AEB">
            <w:pPr>
              <w:pStyle w:val="ListBullet"/>
            </w:pPr>
            <w:r w:rsidRPr="00EC7AEB">
              <w:t>Disconnection procedures, practices and requirement</w:t>
            </w:r>
            <w:r w:rsidRPr="00EC7AEB">
              <w:t>s</w:t>
            </w:r>
          </w:p>
          <w:p w:rsidR="00000000" w:rsidRPr="00EC7AEB" w:rsidP="00EC7AEB">
            <w:pPr>
              <w:pStyle w:val="ListBullet"/>
            </w:pPr>
            <w:r w:rsidRPr="00EC7AEB">
              <w:t>Types of replacement equipment</w:t>
            </w:r>
          </w:p>
          <w:p w:rsidR="00000000" w:rsidRPr="00EC7AEB" w:rsidP="00EC7AEB">
            <w:pPr>
              <w:pStyle w:val="ListBullet"/>
            </w:pPr>
            <w:r w:rsidRPr="00EC7AEB">
              <w:t>Methods of ensuring equipment is safe to connect to supply</w:t>
            </w:r>
          </w:p>
          <w:p w:rsidR="00000000" w:rsidRPr="00EC7AEB" w:rsidP="00EC7AEB">
            <w:pPr>
              <w:pStyle w:val="ListBullet"/>
            </w:pPr>
            <w:r w:rsidRPr="00EC7AEB">
              <w:t>Methods of reconnection procedures, practices and requirements</w:t>
            </w:r>
          </w:p>
          <w:p w:rsidR="00000000" w:rsidRPr="00EC7AEB" w:rsidP="00EC7AEB">
            <w:pPr>
              <w:pStyle w:val="ListBullet"/>
            </w:pPr>
            <w:r w:rsidRPr="00EC7AEB">
              <w:t>Methods of return equipment to service</w:t>
            </w:r>
          </w:p>
          <w:p w:rsidR="00000000" w:rsidRPr="00EC7AEB" w:rsidP="00EC7AEB">
            <w:pPr>
              <w:pStyle w:val="BodyText"/>
            </w:pPr>
            <w:r w:rsidRPr="00EC7AEB">
              <w:t>T21</w:t>
            </w:r>
            <w:r w:rsidRPr="00EC7AEB">
              <w:tab/>
              <w:t>Effects of harmonics encompassing:</w:t>
            </w:r>
          </w:p>
          <w:p w:rsidR="00000000" w:rsidRPr="00EC7AEB" w:rsidP="00EC7AEB">
            <w:pPr>
              <w:pStyle w:val="ListBullet"/>
            </w:pPr>
            <w:r w:rsidRPr="00EC7AEB">
              <w:t>Characteristics and ef</w:t>
            </w:r>
            <w:r w:rsidRPr="00EC7AEB">
              <w:t>fects of harmonics on protection device functions/malfunction</w:t>
            </w:r>
          </w:p>
          <w:p w:rsidR="00000000" w:rsidRPr="00EC7AEB" w:rsidP="00EC7AEB">
            <w:pPr>
              <w:pStyle w:val="ListBullet"/>
            </w:pPr>
            <w:r w:rsidRPr="00EC7AEB">
              <w:t>Effects of harmonics on transformers, generators, motors, quality of supply.</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10" w:name="O_463776"/>
      <w:bookmarkEnd w:id="10"/>
      <w:r w:rsidRPr="00EC7AEB">
        <w:t>Evidence Guide</w:t>
      </w:r>
    </w:p>
    <w:tbl>
      <w:tblPr>
        <w:tblW w:w="0" w:type="auto"/>
        <w:tblLayout w:type="fixed"/>
        <w:tblCellMar>
          <w:left w:w="62" w:type="dxa"/>
          <w:right w:w="62" w:type="dxa"/>
        </w:tblCellMar>
        <w:tblLook w:val="0000"/>
      </w:tblPr>
      <w:tblGrid>
        <w:gridCol w:w="8460"/>
      </w:tblGrid>
      <w:tr w:rsidTr="00EE57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EVIDENCE GUIDE</w:t>
            </w:r>
          </w:p>
        </w:tc>
      </w:tr>
      <w:tr w:rsidTr="00EE57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9)</w:t>
            </w:r>
            <w:r w:rsidRPr="00EC7AEB">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C7AEB" w:rsidP="00EC7AEB">
            <w:pPr>
              <w:pStyle w:val="BodyText"/>
            </w:pPr>
            <w:r w:rsidRPr="00EC7AEB">
              <w:t>The Evidence Guide form</w:t>
            </w:r>
            <w:r w:rsidRPr="00EC7AEB">
              <w:t>s an integral part of this Competency Standard Unit and shall be used in conjunction with all component parts of this unit and, performed in accordance with the Assessment Guidelines of this Training Package.</w:t>
            </w:r>
          </w:p>
        </w:tc>
      </w:tr>
    </w:tbl>
    <w:p w:rsidR="00000000" w:rsidRPr="00EC7AEB" w:rsidP="00EC7AEB">
      <w:pPr>
        <w:pStyle w:val="BodyText"/>
      </w:pPr>
    </w:p>
    <w:tbl>
      <w:tblPr>
        <w:tblW w:w="0" w:type="auto"/>
        <w:tblLayout w:type="fixed"/>
        <w:tblCellMar>
          <w:left w:w="62" w:type="dxa"/>
          <w:right w:w="62" w:type="dxa"/>
        </w:tblCellMar>
        <w:tblLook w:val="0000"/>
      </w:tblPr>
      <w:tblGrid>
        <w:gridCol w:w="1890"/>
        <w:gridCol w:w="6570"/>
      </w:tblGrid>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9.1)</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Longitudinal competency development approaches to assessment, such as Profiling, require data to be reliably gathered in a form that can be consistently interpreted over time. This approach is best utilised in Apprenticeship programs and reduces assessment</w:t>
            </w:r>
            <w:r w:rsidRPr="00EC7AE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C7AEB">
              <w:t>tency in a realistically simulated work environment. It is recognised that, in some circumstances, assessment in part or full can occur outside the workplace. However, it must be in accord with Industry and, Regulatory policy in this regard.</w:t>
            </w:r>
          </w:p>
          <w:p w:rsidR="00000000" w:rsidRPr="00EC7AEB" w:rsidP="00EC7AEB">
            <w:pPr>
              <w:pStyle w:val="BodyText"/>
            </w:pPr>
            <w:r w:rsidRPr="00EC7AEB">
              <w:t>Methods chosen</w:t>
            </w:r>
            <w:r w:rsidRPr="00EC7AE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C7AEB">
              <w:t>equired and the critical nature of the competencies being assessed.</w:t>
            </w:r>
          </w:p>
          <w:p w:rsidR="00000000" w:rsidRPr="00EC7AEB" w:rsidP="00EC7AEB">
            <w:pPr>
              <w:pStyle w:val="BodyText"/>
            </w:pPr>
            <w:r w:rsidRPr="00EC7AEB">
              <w:t>The critical safety nature of working with electricity, electrical equipment, gas or any other hazardous substance/material carries risk in deeming a person competent. Hence, sources of ev</w:t>
            </w:r>
            <w:r w:rsidRPr="00EC7AEB">
              <w:t>idence need to be ‘rich’ in nature so as to minimise error in judgment.</w:t>
            </w:r>
          </w:p>
          <w:p w:rsidR="00000000" w:rsidRPr="00EC7AEB" w:rsidP="00EC7AEB">
            <w:pPr>
              <w:pStyle w:val="BodyText"/>
            </w:pPr>
            <w:r w:rsidRPr="00EC7AEB">
              <w:t>Activities associated with normal every day work have a bearing on the decision as to how much and how detailed the data gathered will contribute to its ‘richness’. Some skills are mor</w:t>
            </w:r>
            <w:r w:rsidRPr="00EC7AEB">
              <w:t>e critical to safety and operational requirements while the same skills may be more or less frequently practiced. These points are raised for the assessors to consider when choosing an assessment method and developing assessment instruments. Sample assessm</w:t>
            </w:r>
            <w:r w:rsidRPr="00EC7AEB">
              <w:t>ent instruments are included for Assessors in the Assessment Guidelines of this Training Package.</w:t>
            </w:r>
          </w:p>
        </w:tc>
      </w:tr>
    </w:tbl>
    <w:p w:rsidR="00000000" w:rsidRPr="00EC7AEB" w:rsidP="00EC7AEB">
      <w:pPr>
        <w:pStyle w:val="BodyText"/>
      </w:pPr>
    </w:p>
    <w:tbl>
      <w:tblPr>
        <w:tblW w:w="0" w:type="auto"/>
        <w:tblLayout w:type="fixed"/>
        <w:tblCellMar>
          <w:left w:w="62" w:type="dxa"/>
          <w:right w:w="62" w:type="dxa"/>
        </w:tblCellMar>
        <w:tblLook w:val="0000"/>
      </w:tblPr>
      <w:tblGrid>
        <w:gridCol w:w="1890"/>
        <w:gridCol w:w="715"/>
        <w:gridCol w:w="1265"/>
        <w:gridCol w:w="2160"/>
        <w:gridCol w:w="2430"/>
      </w:tblGrid>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9.2)</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Before the critical aspects of evidence are considered all prerequisi</w:t>
            </w:r>
            <w:r w:rsidRPr="00EC7AEB">
              <w:t>tes shall be met.</w:t>
            </w:r>
          </w:p>
          <w:p w:rsidR="00000000" w:rsidRPr="00EC7AEB" w:rsidP="00EC7AEB">
            <w:pPr>
              <w:pStyle w:val="BodyText"/>
            </w:pPr>
            <w:r w:rsidRPr="00EC7AEB">
              <w:t>Evidence for competence in this unit shall be considered holistically. Each element and associated Performance Criteria shall be demonstrated on at least two occasions in accordance with the “Assessment Guidelines – UET12”. Evidence shall</w:t>
            </w:r>
            <w:r w:rsidRPr="00EC7AEB">
              <w:t xml:space="preserve"> also comprise:</w:t>
            </w:r>
          </w:p>
          <w:p w:rsidR="00000000" w:rsidRPr="00EC7AEB" w:rsidP="00EC7AEB">
            <w:pPr>
              <w:pStyle w:val="ListBullet"/>
            </w:pPr>
            <w:r w:rsidRPr="00EC7AEB">
              <w:t xml:space="preserve">A representative body of Performance Criteria demonstrated within the timeframes </w:t>
            </w:r>
            <w:r w:rsidRPr="00EC7AEB">
              <w:t>typically expected of the discipline, work function and industrial environment. In particular this shall incorporate evidence that shows a candidate is able to:</w:t>
            </w:r>
          </w:p>
          <w:p w:rsidR="00000000" w:rsidRPr="00EC7AEB" w:rsidP="00EC7AEB">
            <w:pPr>
              <w:pStyle w:val="ListBullet2"/>
            </w:pPr>
            <w:r w:rsidRPr="00EC7AEB">
              <w:t xml:space="preserve">Implement Occupational Health and Safety workplace procedures and practices including the use </w:t>
            </w:r>
            <w:r w:rsidRPr="00EC7AEB">
              <w:t>of risk control measures as specified in the Performance Criteria and range; and</w:t>
            </w:r>
          </w:p>
          <w:p w:rsidR="00000000" w:rsidRPr="00EC7AEB" w:rsidP="00EC7AEB">
            <w:pPr>
              <w:pStyle w:val="ListBullet2"/>
            </w:pPr>
            <w:r w:rsidRPr="00EC7AEB">
              <w:t>Apply sustainable energy principles and practices as specified in the Performance Criteria and range; and</w:t>
            </w:r>
          </w:p>
          <w:p w:rsidR="00000000" w:rsidRPr="00EC7AEB" w:rsidP="00EC7AEB">
            <w:pPr>
              <w:pStyle w:val="ListBullet2"/>
            </w:pPr>
            <w:r w:rsidRPr="00EC7AEB">
              <w:t>Demonstrate an understanding of the essential knowledge and associate</w:t>
            </w:r>
            <w:r w:rsidRPr="00EC7AEB">
              <w:t>d skills as described in this unit to such an extent that the learner’s performance outcome is reported in accordance with the preferred approach; namely a percentile graded result, where required by the regulated environment; and</w:t>
            </w:r>
          </w:p>
          <w:p w:rsidR="00000000" w:rsidRPr="00EC7AEB" w:rsidP="00EC7AEB">
            <w:pPr>
              <w:pStyle w:val="ListBullet2"/>
            </w:pPr>
            <w:r w:rsidRPr="00EC7AEB">
              <w:t>Demonstrate an appropriat</w:t>
            </w:r>
            <w:r w:rsidRPr="00EC7AEB">
              <w:t>e level of employability skills; and</w:t>
            </w:r>
          </w:p>
          <w:p w:rsidR="00000000" w:rsidRPr="00EC7AEB" w:rsidP="00EC7AEB">
            <w:pPr>
              <w:pStyle w:val="ListBullet"/>
            </w:pPr>
            <w:r w:rsidRPr="00EC7AEB">
              <w:t>Conduct work observing the relevant Anti discrimination legislation, regulations, policies and workplace procedures; and</w:t>
            </w:r>
          </w:p>
          <w:p w:rsidR="00000000" w:rsidP="00EC7AEB">
            <w:pPr>
              <w:pStyle w:val="ListBullet2"/>
              <w:rPr>
                <w:lang w:val="en-NZ"/>
              </w:rPr>
            </w:pPr>
            <w:r w:rsidRPr="00EC7AEB">
              <w:t>Demonstrated performance across a representative range of contexts from the prescribed items bel</w:t>
            </w:r>
            <w:r w:rsidRPr="00EC7AEB">
              <w:t>ow:</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6" w:space="0" w:color="auto"/>
            </w:tcBorders>
            <w:tcMar>
              <w:top w:w="0" w:type="dxa"/>
              <w:left w:w="62" w:type="dxa"/>
              <w:bottom w:w="0" w:type="dxa"/>
              <w:right w:w="62" w:type="dxa"/>
            </w:tcMar>
          </w:tcPr>
          <w:p w:rsidR="00000000" w:rsidRPr="00EC7AEB">
            <w:pPr>
              <w:pStyle w:val="BodyText"/>
              <w:keepNext w:val="0"/>
              <w:keepLines w:val="0"/>
              <w:contextualSpacing w:val="0"/>
            </w:pPr>
          </w:p>
        </w:tc>
        <w:tc>
          <w:tcPr>
            <w:tcW w:w="585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EB">
            <w:pPr>
              <w:pStyle w:val="BodyText"/>
              <w:rPr>
                <w:lang w:val="en-NZ"/>
              </w:rPr>
            </w:pPr>
            <w:r w:rsidRPr="00EC7AEB">
              <w:rPr>
                <w:rStyle w:val="SpecialBold"/>
              </w:rPr>
              <w:t>Range of tools/equipment/materials/procedures/workplaces/other variables</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6" w:space="0" w:color="auto"/>
            </w:tcBorders>
            <w:tcMar>
              <w:top w:w="0" w:type="dxa"/>
              <w:left w:w="62" w:type="dxa"/>
              <w:bottom w:w="0" w:type="dxa"/>
              <w:right w:w="62" w:type="dxa"/>
            </w:tcMar>
          </w:tcPr>
          <w:p w:rsidR="00000000" w:rsidRPr="00EC7AEB">
            <w:pPr>
              <w:pStyle w:val="BodyText"/>
              <w:keepNext w:val="0"/>
              <w:keepLines w:val="0"/>
              <w:contextualSpacing w:val="0"/>
            </w:pPr>
          </w:p>
        </w:tc>
        <w:tc>
          <w:tcPr>
            <w:tcW w:w="1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EB" w:rsidP="00EC7AEB">
            <w:pPr>
              <w:pStyle w:val="BodyText"/>
            </w:pPr>
            <w:r w:rsidRPr="00EC7AEB">
              <w:rPr>
                <w:rStyle w:val="SpecialBold"/>
              </w:rPr>
              <w:t>Group No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EB" w:rsidP="00EC7AEB">
            <w:pPr>
              <w:pStyle w:val="BodyText"/>
            </w:pPr>
            <w:r w:rsidRPr="00EC7AEB">
              <w:rPr>
                <w:rStyle w:val="SpecialBold"/>
              </w:rPr>
              <w:t>The minimum number of items on which skill is to be demonstrated</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EB">
            <w:pPr>
              <w:pStyle w:val="BodyText"/>
              <w:rPr>
                <w:lang w:val="en-NZ"/>
              </w:rPr>
            </w:pPr>
            <w:r w:rsidRPr="00EC7AEB">
              <w:rPr>
                <w:rStyle w:val="SpecialBold"/>
              </w:rPr>
              <w:t>Item List</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EB">
            <w:pPr>
              <w:pStyle w:val="BodyText"/>
              <w:rPr>
                <w:lang w:val="en-NZ"/>
              </w:rPr>
            </w:pPr>
            <w:r w:rsidRPr="00EC7AEB">
              <w:t>A</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EB">
            <w:pPr>
              <w:pStyle w:val="BodyText"/>
              <w:rPr>
                <w:lang w:val="en-NZ"/>
              </w:rPr>
            </w:pPr>
            <w:r w:rsidRPr="00EC7AEB">
              <w:t>Demonstrate five (5) times each of the following activities:</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EB" w:rsidP="00EC7AEB">
            <w:pPr>
              <w:pStyle w:val="BodyText"/>
            </w:pPr>
            <w:r w:rsidRPr="00EC7AEB">
              <w:t>Isolate protection, control and alarms associated with interdependent protection and control schemes. Five of the protection groups as stated in the Range Statement of this unit must be included.</w:t>
            </w:r>
          </w:p>
          <w:p w:rsidR="00000000" w:rsidRPr="00EC7AEB" w:rsidP="00EC7AEB">
            <w:pPr>
              <w:pStyle w:val="BodyText"/>
            </w:pPr>
            <w:r w:rsidRPr="00EC7AEB">
              <w:t xml:space="preserve">Calibrate interdependent protection and control relays from </w:t>
            </w:r>
            <w:r w:rsidRPr="00EC7AEB">
              <w:t>at least 5 of the protection groups as stated in the Range Statement of this unit;</w:t>
            </w:r>
          </w:p>
          <w:p w:rsidR="00000000" w:rsidRPr="00EC7AEB" w:rsidP="00EC7AEB">
            <w:pPr>
              <w:pStyle w:val="BodyText"/>
            </w:pPr>
            <w:r w:rsidRPr="00EC7AEB">
              <w:t xml:space="preserve">Carry out function tests (trips, alarms etc.) on interdependent protection and control schemes. Five of the protection groups as stated in the Range Statement of this unit </w:t>
            </w:r>
            <w:r w:rsidRPr="00EC7AEB">
              <w:t>m</w:t>
            </w:r>
            <w:r w:rsidRPr="00EC7AEB">
              <w:t>ust be included.</w:t>
            </w:r>
          </w:p>
          <w:p w:rsidR="00000000" w:rsidRPr="00EC7AEB" w:rsidP="00EC7AEB">
            <w:pPr>
              <w:pStyle w:val="BodyText"/>
            </w:pPr>
            <w:r w:rsidRPr="00EC7AEB">
              <w:t xml:space="preserve">Write reports on performance of interdependent protection and control schemes. Five of the protection groups as stated in the Range Statement of this unit must be included </w:t>
            </w:r>
          </w:p>
          <w:p w:rsidR="00000000" w:rsidP="00EC7AEB">
            <w:pPr>
              <w:pStyle w:val="BodyText"/>
              <w:rPr>
                <w:lang w:val="en-NZ"/>
              </w:rPr>
            </w:pPr>
            <w:r w:rsidRPr="00EC7AEB">
              <w:t>Isolate ‘in service’ current transformers</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EB">
            <w:pPr>
              <w:pStyle w:val="BodyText"/>
              <w:rPr>
                <w:lang w:val="en-NZ"/>
              </w:rPr>
            </w:pPr>
            <w:r w:rsidRPr="00EC7AEB">
              <w:t>B</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EB">
            <w:pPr>
              <w:pStyle w:val="BodyText"/>
              <w:rPr>
                <w:lang w:val="en-NZ"/>
              </w:rPr>
            </w:pPr>
            <w:r w:rsidRPr="00EC7AEB">
              <w:t>At least one occasi</w:t>
            </w:r>
            <w:r w:rsidRPr="00EC7AEB">
              <w:t>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EB" w:rsidP="00EC7AEB">
            <w:pPr>
              <w:pStyle w:val="BodyText"/>
            </w:pPr>
            <w:r w:rsidRPr="00EC7AEB">
              <w:t>Dealing with an unplanned event by drawing on essential knowledge and associated skills to provide appropriate solutions incorporated in the holistic assessment with the above listed items.</w:t>
            </w:r>
          </w:p>
        </w:tc>
      </w:tr>
    </w:tbl>
    <w:p w:rsidR="00000000" w:rsidRPr="00EC7AEB" w:rsidP="00EC7AEB">
      <w:pPr>
        <w:pStyle w:val="BodyText"/>
      </w:pPr>
    </w:p>
    <w:tbl>
      <w:tblPr>
        <w:tblW w:w="0" w:type="auto"/>
        <w:tblLayout w:type="fixed"/>
        <w:tblCellMar>
          <w:left w:w="62" w:type="dxa"/>
          <w:right w:w="62" w:type="dxa"/>
        </w:tblCellMar>
        <w:tblLook w:val="0000"/>
      </w:tblPr>
      <w:tblGrid>
        <w:gridCol w:w="1890"/>
        <w:gridCol w:w="6570"/>
      </w:tblGrid>
      <w:tr w:rsidTr="00EE572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9.3)</w:t>
            </w:r>
          </w:p>
        </w:tc>
      </w:tr>
      <w:tr w:rsidTr="00EE572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This unit should be assessed as it relates to normal work practice using procedures, information and resources typical of a workplace. This should include:</w:t>
            </w:r>
          </w:p>
          <w:p w:rsidR="00000000" w:rsidRPr="00EC7AEB" w:rsidP="00EC7AEB">
            <w:pPr>
              <w:pStyle w:val="ListBullet"/>
            </w:pPr>
            <w:r w:rsidRPr="00EC7AEB">
              <w:t>OHS policy and work procedures and instructions.</w:t>
            </w:r>
          </w:p>
          <w:p w:rsidR="00000000" w:rsidRPr="00EC7AEB" w:rsidP="00EC7AEB">
            <w:pPr>
              <w:pStyle w:val="ListBullet"/>
            </w:pPr>
            <w:r w:rsidRPr="00EC7AEB">
              <w:t>Suitable work environment, facilities, equipment a</w:t>
            </w:r>
            <w:r w:rsidRPr="00EC7AEB">
              <w:t>nd materials to undertake actual maintenance of network protection and control systems (interdependent).</w:t>
            </w:r>
          </w:p>
          <w:p w:rsidR="00000000" w:rsidRPr="00EC7AEB" w:rsidP="00EC7AEB">
            <w:pPr>
              <w:pStyle w:val="ListBullet"/>
            </w:pPr>
            <w:r w:rsidRPr="00EC7AEB">
              <w:t>Operational access to relevant plant, protection equipment, scheme drawings and specialised testing equipment</w:t>
            </w:r>
          </w:p>
          <w:p w:rsidR="00000000" w:rsidRPr="00EC7AEB" w:rsidP="00EC7AEB">
            <w:pPr>
              <w:pStyle w:val="BodyText"/>
            </w:pPr>
            <w:r w:rsidRPr="00EC7AEB">
              <w:t>In addition to the resources listed above</w:t>
            </w:r>
            <w:r w:rsidRPr="00EC7AEB">
              <w:t>, in Context of and specific resources for assessment, evidence should show demonstrated competency working at realistic heights above ground i.e. above 3 metres, in limited spaces, with different structural/construction types and method and in a variety o</w:t>
            </w:r>
            <w:r w:rsidRPr="00EC7AEB">
              <w:t>f environments.</w:t>
            </w:r>
          </w:p>
        </w:tc>
      </w:tr>
    </w:tbl>
    <w:p w:rsidR="00000000" w:rsidRPr="00EC7AEB" w:rsidP="00EC7AEB">
      <w:pPr>
        <w:pStyle w:val="BodyText"/>
      </w:pPr>
    </w:p>
    <w:tbl>
      <w:tblPr>
        <w:tblW w:w="0" w:type="auto"/>
        <w:tblLayout w:type="fixed"/>
        <w:tblCellMar>
          <w:left w:w="62" w:type="dxa"/>
          <w:right w:w="62" w:type="dxa"/>
        </w:tblCellMar>
        <w:tblLook w:val="0000"/>
      </w:tblPr>
      <w:tblGrid>
        <w:gridCol w:w="1890"/>
        <w:gridCol w:w="6570"/>
      </w:tblGrid>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9.4)</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This Competency Standard Unit shall be assessed by methods given in Volume 1, Part 3 “Assessment Guidelines”.</w:t>
            </w:r>
          </w:p>
          <w:p w:rsidR="00000000" w:rsidRPr="00EC7AEB" w:rsidP="00EC7AEB">
            <w:pPr>
              <w:pStyle w:val="BodyText"/>
            </w:pPr>
            <w:r w:rsidRPr="00EC7AEB">
              <w:t>Note:</w:t>
            </w:r>
          </w:p>
          <w:p w:rsidR="00000000" w:rsidRPr="00EC7AEB" w:rsidP="00EC7AEB">
            <w:pPr>
              <w:pStyle w:val="BodyText"/>
            </w:pPr>
            <w:r w:rsidRPr="00EC7AEB">
              <w:t>Competent performance with inherent safe working practices is expected in the Transmission, Distribution and Rail Traction Industry. This requires that the specified essential knowledge and associated skills are assessed in a structured environment which i</w:t>
            </w:r>
            <w:r w:rsidRPr="00EC7AEB">
              <w:t>s primarily intended for learning/assessment and incorporates all necessary equipment and facilities for learners to develop and demonstrate the essential knowledge and associated skills described in this unit.</w:t>
            </w:r>
          </w:p>
        </w:tc>
      </w:tr>
    </w:tbl>
    <w:p w:rsidR="00000000" w:rsidRPr="00EC7AEB" w:rsidP="00EC7AEB">
      <w:pPr>
        <w:pStyle w:val="BodyText"/>
      </w:pPr>
    </w:p>
    <w:tbl>
      <w:tblPr>
        <w:tblW w:w="0" w:type="auto"/>
        <w:tblLayout w:type="fixed"/>
        <w:tblCellMar>
          <w:left w:w="62" w:type="dxa"/>
          <w:right w:w="62" w:type="dxa"/>
        </w:tblCellMar>
        <w:tblLook w:val="0000"/>
      </w:tblPr>
      <w:tblGrid>
        <w:gridCol w:w="1890"/>
        <w:gridCol w:w="6570"/>
      </w:tblGrid>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Concurrent assessment and relationship with</w:t>
            </w:r>
            <w:r w:rsidRPr="00EC7AEB">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9.5)</w:t>
            </w:r>
          </w:p>
        </w:tc>
      </w:tr>
      <w:tr w:rsidTr="00EE57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There are no concurrent assessment recommendations for this unit.</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11" w:name="O_463785"/>
      <w:bookmarkEnd w:id="11"/>
      <w:r w:rsidRPr="00EC7AEB">
        <w:t>Range Statement</w:t>
      </w:r>
    </w:p>
    <w:tbl>
      <w:tblPr>
        <w:tblW w:w="0" w:type="auto"/>
        <w:tblLayout w:type="fixed"/>
        <w:tblCellMar>
          <w:left w:w="62" w:type="dxa"/>
          <w:right w:w="62" w:type="dxa"/>
        </w:tblCellMar>
        <w:tblLook w:val="0000"/>
      </w:tblPr>
      <w:tblGrid>
        <w:gridCol w:w="8460"/>
      </w:tblGrid>
      <w:tr w:rsidTr="00EE57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RANGE STATEMENT</w:t>
            </w:r>
          </w:p>
        </w:tc>
      </w:tr>
      <w:tr w:rsidTr="00EE57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10)</w:t>
            </w:r>
            <w:r w:rsidRPr="00EC7AEB">
              <w:t xml:space="preserve"> This relates to the unit of competency as a whole providing the range of contexts and conditions </w:t>
            </w:r>
            <w:r w:rsidRPr="00EC7AEB">
              <w:t>to which the Performance Criteria apply. It allows for different work environments and situations that will affect performance.</w:t>
            </w:r>
          </w:p>
          <w:p w:rsidR="00000000" w:rsidRPr="00EC7AEB" w:rsidP="00EC7AEB">
            <w:pPr>
              <w:pStyle w:val="BodyText"/>
            </w:pPr>
            <w:r w:rsidRPr="00EC7AEB">
              <w:t>This Competency Standard Unit shall be demonstrated in relation to the maintenance of network protection and control systems (in</w:t>
            </w:r>
            <w:r w:rsidRPr="00EC7AEB">
              <w:t>terdependent) and may include the following:</w:t>
            </w:r>
          </w:p>
          <w:p w:rsidR="00000000" w:rsidRPr="00EC7AEB" w:rsidP="00EC7AEB">
            <w:pPr>
              <w:pStyle w:val="BodyText"/>
            </w:pPr>
            <w:r w:rsidRPr="00EC7AEB">
              <w:t>Overcurrent, Frame leakage, Cooling, Buchholz, DC Supplies, Restricted Earth, Sensitive Earth Fault, CB Fail, Reclose, DC Frame leakage, CEL Fail, Under Frequency load shed</w:t>
            </w:r>
          </w:p>
          <w:p w:rsidR="00000000" w:rsidRPr="00EC7AEB" w:rsidP="00EC7AEB">
            <w:pPr>
              <w:pStyle w:val="BodyText"/>
            </w:pPr>
            <w:r w:rsidRPr="00EC7AEB">
              <w:t xml:space="preserve">Instrument Transformers, Trip/Control </w:t>
            </w:r>
            <w:r w:rsidRPr="00EC7AEB">
              <w:t>circuits, Alarms, DC Supplies, CB Fail protection, Master controlled Earth Fault, Intertripping, Blocking, Synchronising, Pilot Wire, Phase Comparison, Load Shedding, Voltage control, parallel operation, load rejection, circuit isolations and restorations,</w:t>
            </w:r>
            <w:r w:rsidRPr="00EC7AEB">
              <w:t xml:space="preserve"> mechanical adjustments, calibration, function tests, reporting, signals, thermals, contraphase, backup, reverse current</w:t>
            </w:r>
          </w:p>
          <w:p w:rsidR="00000000" w:rsidRPr="00EC7AEB" w:rsidP="00EC7AEB">
            <w:pPr>
              <w:pStyle w:val="BodyText"/>
            </w:pPr>
            <w:r w:rsidRPr="00EC7AEB">
              <w:t xml:space="preserve">The following constants and variables included in the element/Performance Criteria in this unit are fully described in the Definitions </w:t>
            </w:r>
            <w:r w:rsidRPr="00EC7AEB">
              <w:t>Section 1 of this volume and form an integral part of the Range Statement of this unit:</w:t>
            </w:r>
          </w:p>
          <w:p w:rsidR="00000000" w:rsidRPr="00EC7AEB" w:rsidP="00EC7AEB">
            <w:pPr>
              <w:pStyle w:val="ListBullet3"/>
            </w:pPr>
            <w:r w:rsidRPr="00EC7AEB">
              <w:t>Appropriate and relevant persons (see Personnel)</w:t>
            </w:r>
          </w:p>
          <w:p w:rsidR="00000000" w:rsidRPr="00EC7AEB" w:rsidP="00EC7AEB">
            <w:pPr>
              <w:pStyle w:val="ListBullet3"/>
            </w:pPr>
            <w:r w:rsidRPr="00EC7AEB">
              <w:t xml:space="preserve">Appropriate authorities </w:t>
            </w:r>
          </w:p>
          <w:p w:rsidR="00000000" w:rsidRPr="00EC7AEB" w:rsidP="00EC7AEB">
            <w:pPr>
              <w:pStyle w:val="ListBullet3"/>
            </w:pPr>
            <w:r w:rsidRPr="00EC7AEB">
              <w:t>Appropriate work platform</w:t>
            </w:r>
          </w:p>
          <w:p w:rsidR="00000000" w:rsidRPr="00EC7AEB" w:rsidP="00EC7AEB">
            <w:pPr>
              <w:pStyle w:val="ListBullet3"/>
            </w:pPr>
            <w:r w:rsidRPr="00EC7AEB">
              <w:t>Assessing risk</w:t>
            </w:r>
          </w:p>
          <w:p w:rsidR="00000000" w:rsidRPr="00EC7AEB" w:rsidP="00EC7AEB">
            <w:pPr>
              <w:pStyle w:val="ListBullet3"/>
            </w:pPr>
            <w:r w:rsidRPr="00EC7AEB">
              <w:t>Assessment</w:t>
            </w:r>
          </w:p>
          <w:p w:rsidR="00000000" w:rsidRPr="00EC7AEB" w:rsidP="00EC7AEB">
            <w:pPr>
              <w:pStyle w:val="ListBullet3"/>
            </w:pPr>
            <w:r w:rsidRPr="00EC7AEB">
              <w:t>Authorisation</w:t>
            </w:r>
          </w:p>
          <w:p w:rsidR="00000000" w:rsidRPr="00EC7AEB" w:rsidP="00EC7AEB">
            <w:pPr>
              <w:pStyle w:val="ListBullet3"/>
            </w:pPr>
            <w:r w:rsidRPr="00EC7AEB">
              <w:t>Confined space</w:t>
            </w:r>
          </w:p>
          <w:p w:rsidR="00000000" w:rsidRPr="00EC7AEB" w:rsidP="00EC7AEB">
            <w:pPr>
              <w:pStyle w:val="ListBullet3"/>
            </w:pPr>
            <w:r w:rsidRPr="00EC7AEB">
              <w:t xml:space="preserve">Diagnostic, </w:t>
            </w:r>
            <w:r w:rsidRPr="00EC7AEB">
              <w:t>testing and restoration</w:t>
            </w:r>
          </w:p>
          <w:p w:rsidR="00000000" w:rsidRPr="00EC7AEB" w:rsidP="00EC7AEB">
            <w:pPr>
              <w:pStyle w:val="ListBullet3"/>
            </w:pPr>
            <w:r w:rsidRPr="00EC7AEB">
              <w:t>Documenting detail work events, record keeping and or storage of information</w:t>
            </w:r>
          </w:p>
          <w:p w:rsidR="00000000" w:rsidRPr="00EC7AEB" w:rsidP="00EC7AEB">
            <w:pPr>
              <w:pStyle w:val="ListBullet3"/>
            </w:pPr>
            <w:r w:rsidRPr="00EC7AEB">
              <w:t>Drawings and specifications</w:t>
            </w:r>
          </w:p>
          <w:p w:rsidR="00000000" w:rsidRPr="00EC7AEB" w:rsidP="00EC7AEB">
            <w:pPr>
              <w:pStyle w:val="ListBullet3"/>
            </w:pPr>
            <w:r w:rsidRPr="00EC7AEB">
              <w:t>Emergency</w:t>
            </w:r>
          </w:p>
          <w:p w:rsidR="00000000" w:rsidRPr="00EC7AEB" w:rsidP="00EC7AEB">
            <w:pPr>
              <w:pStyle w:val="ListBullet3"/>
            </w:pPr>
            <w:r w:rsidRPr="00EC7AEB">
              <w:t>Environmental and sustainable energy procedures</w:t>
            </w:r>
          </w:p>
          <w:p w:rsidR="00000000" w:rsidRPr="00EC7AEB" w:rsidP="00EC7AEB">
            <w:pPr>
              <w:pStyle w:val="ListBullet3"/>
            </w:pPr>
            <w:r w:rsidRPr="00EC7AEB">
              <w:t>Environmental legislation</w:t>
            </w:r>
          </w:p>
          <w:p w:rsidR="00000000" w:rsidRPr="00EC7AEB" w:rsidP="00EC7AEB">
            <w:pPr>
              <w:pStyle w:val="ListBullet3"/>
            </w:pPr>
            <w:r w:rsidRPr="00EC7AEB">
              <w:t>Environmental management documentation</w:t>
            </w:r>
          </w:p>
          <w:p w:rsidR="00000000" w:rsidRPr="00EC7AEB" w:rsidP="00EC7AEB">
            <w:pPr>
              <w:pStyle w:val="ListBullet3"/>
            </w:pPr>
            <w:r w:rsidRPr="00EC7AEB">
              <w:t>Established procedures</w:t>
            </w:r>
          </w:p>
          <w:p w:rsidR="00000000" w:rsidRPr="00EC7AEB" w:rsidP="00EC7AEB">
            <w:pPr>
              <w:pStyle w:val="ListBullet3"/>
            </w:pPr>
            <w:r w:rsidRPr="00EC7AEB">
              <w:t>Fall prevention</w:t>
            </w:r>
          </w:p>
          <w:p w:rsidR="00000000" w:rsidRPr="00EC7AEB" w:rsidP="00EC7AEB">
            <w:pPr>
              <w:pStyle w:val="ListBullet3"/>
            </w:pPr>
            <w:r w:rsidRPr="00EC7AEB">
              <w:t>Hazards</w:t>
            </w:r>
          </w:p>
          <w:p w:rsidR="00000000" w:rsidRPr="00EC7AEB" w:rsidP="00EC7AEB">
            <w:pPr>
              <w:pStyle w:val="ListBullet3"/>
            </w:pPr>
            <w:r w:rsidRPr="00EC7AEB">
              <w:t>Identifying hazards</w:t>
            </w:r>
          </w:p>
          <w:p w:rsidR="00000000" w:rsidRPr="00EC7AEB" w:rsidP="00EC7AEB">
            <w:pPr>
              <w:pStyle w:val="ListBullet3"/>
            </w:pPr>
            <w:r w:rsidRPr="00EC7AEB">
              <w:t>Inspect</w:t>
            </w:r>
          </w:p>
          <w:p w:rsidR="00000000" w:rsidRPr="00EC7AEB" w:rsidP="00EC7AEB">
            <w:pPr>
              <w:pStyle w:val="ListBullet3"/>
            </w:pPr>
            <w:r w:rsidRPr="00EC7AEB">
              <w:t>Legislation</w:t>
            </w:r>
          </w:p>
          <w:p w:rsidR="00000000" w:rsidRPr="00EC7AEB" w:rsidP="00EC7AEB">
            <w:pPr>
              <w:pStyle w:val="ListBullet3"/>
            </w:pPr>
            <w:r w:rsidRPr="00EC7AEB">
              <w:t>MSDS</w:t>
            </w:r>
          </w:p>
          <w:p w:rsidR="00000000" w:rsidRPr="00EC7AEB" w:rsidP="00EC7AEB">
            <w:pPr>
              <w:pStyle w:val="ListBullet3"/>
            </w:pPr>
            <w:r w:rsidRPr="00EC7AEB">
              <w:t>Notification</w:t>
            </w:r>
          </w:p>
          <w:p w:rsidR="00000000" w:rsidRPr="00EC7AEB" w:rsidP="00EC7AEB">
            <w:pPr>
              <w:pStyle w:val="ListBullet3"/>
            </w:pPr>
            <w:r w:rsidRPr="00EC7AEB">
              <w:t>OHS practices</w:t>
            </w:r>
          </w:p>
          <w:p w:rsidR="00000000" w:rsidRPr="00EC7AEB" w:rsidP="00EC7AEB">
            <w:pPr>
              <w:pStyle w:val="ListBullet3"/>
            </w:pPr>
            <w:r w:rsidRPr="00EC7AEB">
              <w:t>OHS issues</w:t>
            </w:r>
          </w:p>
          <w:p w:rsidR="00000000" w:rsidRPr="00EC7AEB" w:rsidP="00EC7AEB">
            <w:pPr>
              <w:pStyle w:val="ListBullet3"/>
            </w:pPr>
            <w:r w:rsidRPr="00EC7AEB">
              <w:t>Permits and/or permits to work</w:t>
            </w:r>
          </w:p>
          <w:p w:rsidR="00000000" w:rsidRPr="00EC7AEB" w:rsidP="00EC7AEB">
            <w:pPr>
              <w:pStyle w:val="ListBullet3"/>
            </w:pPr>
            <w:r w:rsidRPr="00EC7AEB">
              <w:t>Personnel</w:t>
            </w:r>
          </w:p>
          <w:p w:rsidR="00000000" w:rsidRPr="00EC7AEB" w:rsidP="00EC7AEB">
            <w:pPr>
              <w:pStyle w:val="ListBullet3"/>
            </w:pPr>
            <w:r w:rsidRPr="00EC7AEB">
              <w:t>Quality assurance systems.</w:t>
            </w:r>
          </w:p>
          <w:p w:rsidR="00000000" w:rsidRPr="00EC7AEB" w:rsidP="00EC7AEB">
            <w:pPr>
              <w:pStyle w:val="ListBullet3"/>
            </w:pPr>
            <w:r w:rsidRPr="00EC7AEB">
              <w:t>Requirements</w:t>
            </w:r>
          </w:p>
          <w:p w:rsidR="00000000" w:rsidRPr="00EC7AEB" w:rsidP="00EC7AEB">
            <w:pPr>
              <w:pStyle w:val="ListBullet3"/>
            </w:pPr>
            <w:r w:rsidRPr="00EC7AEB">
              <w:t>Testing procedures</w:t>
            </w:r>
          </w:p>
          <w:p w:rsidR="00000000" w:rsidRPr="00EC7AEB" w:rsidP="00EC7AEB">
            <w:pPr>
              <w:pStyle w:val="ListBullet3"/>
            </w:pPr>
            <w:r w:rsidRPr="00EC7AEB">
              <w:t>Work clearance systems</w:t>
            </w:r>
          </w:p>
        </w:tc>
      </w:tr>
    </w:tbl>
    <w:p w:rsidR="00000000" w:rsidRPr="00EC7AEB" w:rsidP="00EC7AEB">
      <w:pPr>
        <w:pStyle w:val="BodyText"/>
      </w:pPr>
    </w:p>
    <w:p w:rsidR="00000000" w:rsidRPr="00EC7AEB" w:rsidP="00EC7AEB">
      <w:pPr>
        <w:pStyle w:val="AllowPageBreak"/>
      </w:pPr>
    </w:p>
    <w:p w:rsidR="00000000" w:rsidRPr="00EC7AEB" w:rsidP="00EC7AEB">
      <w:pPr>
        <w:pStyle w:val="Heading1"/>
      </w:pPr>
      <w:bookmarkStart w:id="12" w:name="O_463791"/>
      <w:bookmarkEnd w:id="12"/>
      <w:r w:rsidRPr="00EC7AEB">
        <w:t>Unit Sector(s)</w:t>
      </w:r>
    </w:p>
    <w:p w:rsidR="00000000" w:rsidRPr="00EC7AEB" w:rsidP="00EC7AEB">
      <w:pPr>
        <w:pStyle w:val="BodyText"/>
      </w:pPr>
      <w:r w:rsidRPr="00EC7AEB">
        <w:t>Not applicable.</w:t>
      </w:r>
    </w:p>
    <w:p w:rsidR="00000000" w:rsidRPr="00EC7AEB" w:rsidP="00EC7AEB">
      <w:pPr>
        <w:pStyle w:val="AllowPageBreak"/>
      </w:pPr>
    </w:p>
    <w:p w:rsidR="00000000" w:rsidRPr="00EC7AEB" w:rsidP="00EC7AEB">
      <w:pPr>
        <w:pStyle w:val="Heading1"/>
      </w:pPr>
      <w:bookmarkStart w:id="13" w:name="O_463769"/>
      <w:bookmarkEnd w:id="13"/>
      <w:r w:rsidRPr="00EC7AEB">
        <w:t>Competency Field</w:t>
      </w:r>
    </w:p>
    <w:tbl>
      <w:tblPr>
        <w:tblW w:w="0" w:type="auto"/>
        <w:tblLayout w:type="fixed"/>
        <w:tblCellMar>
          <w:left w:w="62" w:type="dxa"/>
          <w:right w:w="62" w:type="dxa"/>
        </w:tblCellMar>
        <w:tblLook w:val="0000"/>
      </w:tblPr>
      <w:tblGrid>
        <w:gridCol w:w="2700"/>
        <w:gridCol w:w="5760"/>
      </w:tblGrid>
      <w:tr w:rsidTr="00EE57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7AEB">
            <w:pPr>
              <w:pStyle w:val="BodyText"/>
              <w:rPr>
                <w:lang w:val="en-NZ"/>
              </w:rPr>
            </w:pPr>
            <w:r w:rsidRPr="00EC7AEB">
              <w:rPr>
                <w:rStyle w:val="SpecialBold"/>
              </w:rPr>
              <w:t xml:space="preserve">11) </w:t>
            </w:r>
          </w:p>
        </w:tc>
      </w:tr>
      <w:tr w:rsidTr="00EE57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AEB" w:rsidP="00EC7AEB">
            <w:pPr>
              <w:pStyle w:val="BodyText"/>
            </w:pPr>
            <w:r w:rsidRPr="00EC7AEB">
              <w:t>Testing Units</w:t>
            </w:r>
          </w:p>
        </w:tc>
      </w:tr>
    </w:tbl>
    <w:p w:rsidR="00000000" w:rsidRPr="00EC7AEB" w:rsidP="00EC7AEB">
      <w:pPr>
        <w:pStyle w:val="BodyText"/>
      </w:pPr>
    </w:p>
    <w:p w:rsidR="00000000" w:rsidRPr="00EC7AEB" w:rsidP="00EC7AEB"/>
    <w:sectPr w:rsidSect="00EC7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720" w:rsidP="00EE5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20" w:rsidP="00EC7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E5720" w:rsidP="00EC7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E5720" w:rsidP="00EC7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720" w:rsidP="00EE57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20" w:rsidP="00EC7AEB">
    <w:pPr>
      <w:pStyle w:val="Header"/>
      <w:framePr w:wrap="around"/>
    </w:pPr>
    <w:r>
      <w:fldChar w:fldCharType="begin"/>
    </w:r>
    <w:r>
      <w:instrText xml:space="preserve"> TITLE   \* MERGEFORMAT </w:instrText>
    </w:r>
    <w:r>
      <w:fldChar w:fldCharType="separate"/>
    </w:r>
    <w:r>
      <w:t>UETTDRTS21A Maintain interdependent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5720" w:rsidP="00EC7A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8C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8C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86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AEB"/>
    <w:pPr>
      <w:spacing w:before="360" w:after="60"/>
      <w:outlineLvl w:val="0"/>
    </w:pPr>
    <w:rPr>
      <w:sz w:val="32"/>
    </w:rPr>
  </w:style>
  <w:style w:type="paragraph" w:styleId="Heading2">
    <w:name w:val="heading 2"/>
    <w:basedOn w:val="HeadingBase"/>
    <w:next w:val="BodyText"/>
    <w:link w:val="Heading2Char"/>
    <w:qFormat/>
    <w:rsid w:val="00EC7AEB"/>
    <w:pPr>
      <w:keepLines/>
      <w:spacing w:before="240" w:after="120"/>
      <w:outlineLvl w:val="1"/>
    </w:pPr>
    <w:rPr>
      <w:sz w:val="28"/>
      <w:szCs w:val="40"/>
    </w:rPr>
  </w:style>
  <w:style w:type="paragraph" w:styleId="Heading3">
    <w:name w:val="heading 3"/>
    <w:basedOn w:val="HeadingBase"/>
    <w:next w:val="BodyText"/>
    <w:link w:val="Heading3Char"/>
    <w:qFormat/>
    <w:rsid w:val="00EC7AEB"/>
    <w:pPr>
      <w:spacing w:before="180" w:after="120"/>
      <w:outlineLvl w:val="2"/>
    </w:pPr>
    <w:rPr>
      <w:spacing w:val="-10"/>
      <w:kern w:val="32"/>
    </w:rPr>
  </w:style>
  <w:style w:type="paragraph" w:styleId="Heading4">
    <w:name w:val="heading 4"/>
    <w:basedOn w:val="HeadingBase"/>
    <w:next w:val="BodyText"/>
    <w:link w:val="Heading4Char"/>
    <w:qFormat/>
    <w:rsid w:val="00EC7AEB"/>
    <w:pPr>
      <w:spacing w:before="160" w:after="120"/>
      <w:outlineLvl w:val="3"/>
    </w:pPr>
    <w:rPr>
      <w:sz w:val="22"/>
    </w:rPr>
  </w:style>
  <w:style w:type="paragraph" w:styleId="Heading5">
    <w:name w:val="heading 5"/>
    <w:basedOn w:val="HeadingBase"/>
    <w:next w:val="Normal"/>
    <w:link w:val="Heading5Char"/>
    <w:qFormat/>
    <w:rsid w:val="00EC7AEB"/>
    <w:pPr>
      <w:spacing w:before="80"/>
      <w:outlineLvl w:val="4"/>
    </w:pPr>
    <w:rPr>
      <w:color w:val="918585"/>
      <w:sz w:val="20"/>
    </w:rPr>
  </w:style>
  <w:style w:type="paragraph" w:styleId="Heading6">
    <w:name w:val="heading 6"/>
    <w:basedOn w:val="HeadingBase"/>
    <w:next w:val="Normal"/>
    <w:link w:val="Heading6Char"/>
    <w:qFormat/>
    <w:rsid w:val="00EC7AEB"/>
    <w:pPr>
      <w:spacing w:before="60"/>
      <w:outlineLvl w:val="5"/>
    </w:pPr>
    <w:rPr>
      <w:color w:val="918585"/>
      <w:sz w:val="20"/>
    </w:rPr>
  </w:style>
  <w:style w:type="paragraph" w:styleId="Heading7">
    <w:name w:val="heading 7"/>
    <w:basedOn w:val="Normal"/>
    <w:next w:val="Normal"/>
    <w:link w:val="Heading7Char"/>
    <w:qFormat/>
    <w:rsid w:val="00EC7AEB"/>
    <w:pPr>
      <w:ind w:left="720"/>
      <w:outlineLvl w:val="6"/>
    </w:pPr>
    <w:rPr>
      <w:i/>
    </w:rPr>
  </w:style>
  <w:style w:type="paragraph" w:styleId="Heading8">
    <w:name w:val="heading 8"/>
    <w:basedOn w:val="Normal"/>
    <w:next w:val="Normal"/>
    <w:link w:val="Heading8Char"/>
    <w:qFormat/>
    <w:rsid w:val="00EC7AEB"/>
    <w:pPr>
      <w:ind w:left="720"/>
      <w:outlineLvl w:val="7"/>
    </w:pPr>
    <w:rPr>
      <w:i/>
    </w:rPr>
  </w:style>
  <w:style w:type="paragraph" w:styleId="Heading9">
    <w:name w:val="heading 9"/>
    <w:basedOn w:val="Normal"/>
    <w:next w:val="Normal"/>
    <w:link w:val="Heading9Char"/>
    <w:qFormat/>
    <w:rsid w:val="00EC7AEB"/>
    <w:pPr>
      <w:ind w:left="720"/>
      <w:outlineLvl w:val="8"/>
    </w:pPr>
    <w:rPr>
      <w:i/>
    </w:rPr>
  </w:style>
  <w:style w:type="character" w:default="1" w:styleId="DefaultParagraphFont">
    <w:name w:val="Default Paragraph Font"/>
    <w:uiPriority w:val="1"/>
    <w:unhideWhenUsed/>
    <w:rsid w:val="00EC7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AEB"/>
  </w:style>
  <w:style w:type="character" w:customStyle="1" w:styleId="Heading1Char">
    <w:name w:val="Heading 1 Char"/>
    <w:basedOn w:val="DefaultParagraphFont"/>
    <w:link w:val="Heading1"/>
    <w:rsid w:val="00EC7AEB"/>
    <w:rPr>
      <w:rFonts w:ascii="Times New Roman" w:eastAsia="Times New Roman" w:hAnsi="Times New Roman" w:cs="Times New Roman"/>
      <w:b/>
      <w:sz w:val="32"/>
      <w:szCs w:val="20"/>
      <w:lang w:eastAsia="en-US"/>
    </w:rPr>
  </w:style>
  <w:style w:type="paragraph" w:styleId="BodyText">
    <w:name w:val="Body Text"/>
    <w:basedOn w:val="Normal"/>
    <w:link w:val="BodyTextChar"/>
    <w:rsid w:val="00EC7A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AEB"/>
    <w:rPr>
      <w:rFonts w:ascii="Times New Roman" w:eastAsia="Times New Roman" w:hAnsi="Times New Roman" w:cs="Times New Roman"/>
      <w:sz w:val="24"/>
      <w:lang w:val="en-US" w:eastAsia="en-US"/>
    </w:rPr>
  </w:style>
  <w:style w:type="paragraph" w:styleId="Footer">
    <w:name w:val="footer"/>
    <w:basedOn w:val="Normal"/>
    <w:link w:val="FooterChar"/>
    <w:rsid w:val="00EC7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AEB"/>
    <w:rPr>
      <w:rFonts w:ascii="Times New Roman" w:eastAsia="Times New Roman" w:hAnsi="Times New Roman" w:cs="Times New Roman"/>
      <w:sz w:val="16"/>
      <w:lang w:val="en-US" w:eastAsia="en-US"/>
    </w:rPr>
  </w:style>
  <w:style w:type="paragraph" w:styleId="ListBullet">
    <w:name w:val="List Bullet"/>
    <w:basedOn w:val="List"/>
    <w:rsid w:val="00EC7AEB"/>
    <w:pPr>
      <w:numPr>
        <w:numId w:val="14"/>
      </w:numPr>
      <w:tabs>
        <w:tab w:val="clear" w:pos="340"/>
      </w:tabs>
      <w:spacing w:before="40" w:after="40"/>
    </w:pPr>
  </w:style>
  <w:style w:type="character" w:customStyle="1" w:styleId="SpecialBold">
    <w:name w:val="Special Bold"/>
    <w:basedOn w:val="DefaultParagraphFont"/>
    <w:rsid w:val="00EC7AEB"/>
    <w:rPr>
      <w:b/>
      <w:spacing w:val="0"/>
    </w:rPr>
  </w:style>
  <w:style w:type="paragraph" w:styleId="ListBullet2">
    <w:name w:val="List Bullet 2"/>
    <w:basedOn w:val="List2"/>
    <w:rsid w:val="00EC7AEB"/>
    <w:pPr>
      <w:numPr>
        <w:numId w:val="15"/>
      </w:numPr>
      <w:tabs>
        <w:tab w:val="clear" w:pos="680"/>
      </w:tabs>
    </w:pPr>
  </w:style>
  <w:style w:type="paragraph" w:styleId="Header">
    <w:name w:val="header"/>
    <w:basedOn w:val="Normal"/>
    <w:link w:val="HeaderChar"/>
    <w:rsid w:val="00EC7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A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7AEB"/>
    <w:pPr>
      <w:spacing w:before="240" w:after="120"/>
      <w:outlineLvl w:val="0"/>
    </w:pPr>
    <w:rPr>
      <w:rFonts w:ascii="Times New Roman" w:hAnsi="Times New Roman"/>
      <w:b/>
      <w:sz w:val="28"/>
    </w:rPr>
  </w:style>
  <w:style w:type="paragraph" w:customStyle="1" w:styleId="AllowPageBreak">
    <w:name w:val="AllowPageBreak"/>
    <w:rsid w:val="00EC7A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7AEB"/>
    <w:pPr>
      <w:numPr>
        <w:numId w:val="3"/>
      </w:numPr>
      <w:tabs>
        <w:tab w:val="clear" w:pos="1021"/>
      </w:tabs>
      <w:ind w:left="1037" w:hanging="357"/>
    </w:pPr>
  </w:style>
  <w:style w:type="character" w:customStyle="1" w:styleId="Heading2Char">
    <w:name w:val="Heading 2 Char"/>
    <w:basedOn w:val="DefaultParagraphFont"/>
    <w:link w:val="Heading2"/>
    <w:rsid w:val="00EC7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A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A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AEB"/>
    <w:rPr>
      <w:rFonts w:ascii="Courier New" w:eastAsia="Times New Roman" w:hAnsi="Courier New" w:cs="Times New Roman"/>
      <w:i/>
      <w:szCs w:val="20"/>
      <w:lang w:val="en-US" w:eastAsia="en-US"/>
    </w:rPr>
  </w:style>
  <w:style w:type="paragraph" w:customStyle="1" w:styleId="HeadingBase">
    <w:name w:val="Heading Base"/>
    <w:rsid w:val="00EC7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AEB"/>
    <w:pPr>
      <w:tabs>
        <w:tab w:val="right" w:leader="dot" w:pos="9072"/>
      </w:tabs>
      <w:ind w:left="567"/>
    </w:pPr>
    <w:rPr>
      <w:szCs w:val="22"/>
    </w:rPr>
  </w:style>
  <w:style w:type="paragraph" w:customStyle="1" w:styleId="TOCBase">
    <w:name w:val="TOC Base"/>
    <w:rsid w:val="00EC7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AEB"/>
    <w:pPr>
      <w:tabs>
        <w:tab w:val="right" w:leader="dot" w:pos="9072"/>
      </w:tabs>
      <w:spacing w:before="40" w:after="40"/>
      <w:ind w:left="284"/>
    </w:pPr>
    <w:rPr>
      <w:rFonts w:ascii="Times New Roman" w:hAnsi="Times New Roman"/>
    </w:rPr>
  </w:style>
  <w:style w:type="paragraph" w:styleId="TOC1">
    <w:name w:val="toc 1"/>
    <w:basedOn w:val="TOCBase"/>
    <w:next w:val="Normal"/>
    <w:rsid w:val="00EC7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AEB"/>
    <w:pPr>
      <w:spacing w:before="5040"/>
      <w:jc w:val="center"/>
    </w:pPr>
    <w:rPr>
      <w:sz w:val="48"/>
      <w:szCs w:val="72"/>
      <w:lang w:val="en-US"/>
    </w:rPr>
  </w:style>
  <w:style w:type="character" w:customStyle="1" w:styleId="TitleChar">
    <w:name w:val="Title Char"/>
    <w:basedOn w:val="DefaultParagraphFont"/>
    <w:link w:val="Title"/>
    <w:rsid w:val="00EC7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AEB"/>
    <w:pPr>
      <w:tabs>
        <w:tab w:val="left" w:pos="3600"/>
        <w:tab w:val="left" w:pos="3958"/>
      </w:tabs>
    </w:pPr>
  </w:style>
  <w:style w:type="paragraph" w:styleId="List">
    <w:name w:val="List"/>
    <w:basedOn w:val="BodyText"/>
    <w:next w:val="BodyText"/>
    <w:rsid w:val="00EC7AEB"/>
    <w:pPr>
      <w:tabs>
        <w:tab w:val="left" w:pos="340"/>
      </w:tabs>
      <w:spacing w:before="60" w:after="60"/>
      <w:ind w:left="340" w:hanging="340"/>
    </w:pPr>
  </w:style>
  <w:style w:type="paragraph" w:customStyle="1" w:styleId="Note">
    <w:name w:val="Note"/>
    <w:basedOn w:val="BodyText"/>
    <w:rsid w:val="00EC7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AEB"/>
    <w:pPr>
      <w:framePr w:wrap="auto" w:hAnchor="text" w:y="6049"/>
    </w:pPr>
    <w:rPr>
      <w:color w:val="000000"/>
      <w:sz w:val="40"/>
    </w:rPr>
  </w:style>
  <w:style w:type="paragraph" w:customStyle="1" w:styleId="TOCTitle">
    <w:name w:val="TOCTitle"/>
    <w:basedOn w:val="Heading1"/>
    <w:rsid w:val="00EC7AEB"/>
    <w:pPr>
      <w:spacing w:after="240"/>
      <w:jc w:val="center"/>
      <w:outlineLvl w:val="9"/>
    </w:pPr>
    <w:rPr>
      <w:caps/>
    </w:rPr>
  </w:style>
  <w:style w:type="paragraph" w:customStyle="1" w:styleId="Version">
    <w:name w:val="Version"/>
    <w:rsid w:val="00EC7A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AEB"/>
    <w:pPr>
      <w:keepNext w:val="0"/>
      <w:tabs>
        <w:tab w:val="right" w:pos="4176"/>
      </w:tabs>
      <w:ind w:left="198" w:hanging="198"/>
    </w:pPr>
    <w:rPr>
      <w:rFonts w:ascii="Garamond" w:hAnsi="Garamond"/>
    </w:rPr>
  </w:style>
  <w:style w:type="paragraph" w:styleId="IndexHeading">
    <w:name w:val="index heading"/>
    <w:basedOn w:val="Normal"/>
    <w:next w:val="Index1"/>
    <w:semiHidden/>
    <w:rsid w:val="00EC7AEB"/>
    <w:pPr>
      <w:spacing w:before="120" w:after="120"/>
    </w:pPr>
    <w:rPr>
      <w:rFonts w:ascii="Arial" w:hAnsi="Arial"/>
      <w:b/>
      <w:color w:val="918585"/>
      <w:sz w:val="24"/>
    </w:rPr>
  </w:style>
  <w:style w:type="paragraph" w:customStyle="1" w:styleId="Chapter">
    <w:name w:val="Chapter"/>
    <w:basedOn w:val="Normal"/>
    <w:rsid w:val="00EC7AEB"/>
    <w:pPr>
      <w:spacing w:before="240"/>
    </w:pPr>
    <w:rPr>
      <w:rFonts w:ascii="Times New Roman" w:hAnsi="Times New Roman"/>
      <w:smallCaps/>
      <w:spacing w:val="80"/>
      <w:sz w:val="28"/>
    </w:rPr>
  </w:style>
  <w:style w:type="paragraph" w:customStyle="1" w:styleId="InChapter">
    <w:name w:val="InChapter"/>
    <w:basedOn w:val="Heading3"/>
    <w:rsid w:val="00EC7AEB"/>
    <w:pPr>
      <w:spacing w:after="240"/>
      <w:outlineLvl w:val="9"/>
    </w:pPr>
    <w:rPr>
      <w:noProof/>
    </w:rPr>
  </w:style>
  <w:style w:type="paragraph" w:styleId="Index2">
    <w:name w:val="index 2"/>
    <w:basedOn w:val="Normal"/>
    <w:next w:val="Normal"/>
    <w:semiHidden/>
    <w:rsid w:val="00EC7AEB"/>
    <w:pPr>
      <w:tabs>
        <w:tab w:val="right" w:pos="4176"/>
      </w:tabs>
      <w:ind w:left="568" w:hanging="284"/>
    </w:pPr>
    <w:rPr>
      <w:rFonts w:ascii="Garamond" w:hAnsi="Garamond"/>
    </w:rPr>
  </w:style>
  <w:style w:type="paragraph" w:customStyle="1" w:styleId="Byline">
    <w:name w:val="Byline"/>
    <w:rsid w:val="00EC7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AEB"/>
    <w:pPr>
      <w:tabs>
        <w:tab w:val="clear" w:pos="3600"/>
        <w:tab w:val="clear" w:pos="3958"/>
      </w:tabs>
      <w:jc w:val="right"/>
    </w:pPr>
  </w:style>
  <w:style w:type="character" w:styleId="Emphasis">
    <w:name w:val="Emphasis"/>
    <w:basedOn w:val="DefaultParagraphFont"/>
    <w:qFormat/>
    <w:rsid w:val="00EC7AEB"/>
    <w:rPr>
      <w:i/>
    </w:rPr>
  </w:style>
  <w:style w:type="paragraph" w:styleId="Caption">
    <w:name w:val="caption"/>
    <w:basedOn w:val="BodyText"/>
    <w:next w:val="Normal"/>
    <w:qFormat/>
    <w:rsid w:val="00EC7AEB"/>
    <w:pPr>
      <w:framePr w:w="2268" w:hSpace="181" w:vSpace="181" w:wrap="around" w:vAnchor="text" w:hAnchor="page" w:x="1135" w:y="285" w:anchorLock="1"/>
    </w:pPr>
    <w:rPr>
      <w:i/>
    </w:rPr>
  </w:style>
  <w:style w:type="paragraph" w:customStyle="1" w:styleId="MiniTOCTitle">
    <w:name w:val="MiniTOCTitle"/>
    <w:basedOn w:val="Heading4"/>
    <w:rsid w:val="00EC7AEB"/>
    <w:pPr>
      <w:spacing w:before="240"/>
      <w:outlineLvl w:val="9"/>
    </w:pPr>
    <w:rPr>
      <w:noProof/>
      <w:sz w:val="24"/>
    </w:rPr>
  </w:style>
  <w:style w:type="paragraph" w:customStyle="1" w:styleId="MiniTOCItem">
    <w:name w:val="MiniTOCItem"/>
    <w:basedOn w:val="ListBullet"/>
    <w:rsid w:val="00EC7AEB"/>
    <w:pPr>
      <w:numPr>
        <w:numId w:val="0"/>
      </w:numPr>
      <w:tabs>
        <w:tab w:val="right" w:leader="dot" w:pos="6521"/>
      </w:tabs>
      <w:spacing w:before="0" w:after="0"/>
    </w:pPr>
  </w:style>
  <w:style w:type="paragraph" w:customStyle="1" w:styleId="TOFTitle">
    <w:name w:val="TOFTitle"/>
    <w:basedOn w:val="TOCTitle"/>
    <w:rsid w:val="00EC7AEB"/>
  </w:style>
  <w:style w:type="paragraph" w:styleId="TableofFigures">
    <w:name w:val="table of figures"/>
    <w:basedOn w:val="Normal"/>
    <w:next w:val="Normal"/>
    <w:semiHidden/>
    <w:rsid w:val="00EC7AEB"/>
    <w:pPr>
      <w:tabs>
        <w:tab w:val="right" w:leader="dot" w:pos="9072"/>
      </w:tabs>
      <w:ind w:left="970" w:hanging="403"/>
    </w:pPr>
    <w:rPr>
      <w:rFonts w:ascii="Times New Roman" w:hAnsi="Times New Roman"/>
      <w:b/>
    </w:rPr>
  </w:style>
  <w:style w:type="paragraph" w:styleId="ListNumber">
    <w:name w:val="List Number"/>
    <w:basedOn w:val="List"/>
    <w:rsid w:val="00EC7AEB"/>
    <w:pPr>
      <w:numPr>
        <w:numId w:val="12"/>
      </w:numPr>
    </w:pPr>
  </w:style>
  <w:style w:type="character" w:customStyle="1" w:styleId="WingdingSymbols">
    <w:name w:val="Wingding Symbols"/>
    <w:rsid w:val="00EC7AEB"/>
    <w:rPr>
      <w:rFonts w:ascii="Wingdings" w:hAnsi="Wingdings"/>
    </w:rPr>
  </w:style>
  <w:style w:type="paragraph" w:customStyle="1" w:styleId="TableHeading">
    <w:name w:val="Table Heading"/>
    <w:basedOn w:val="HeadingBase"/>
    <w:rsid w:val="00EC7AEB"/>
    <w:pPr>
      <w:keepLines/>
      <w:pBdr>
        <w:bottom w:val="single" w:sz="6" w:space="1" w:color="918585"/>
      </w:pBdr>
      <w:spacing w:before="240"/>
    </w:pPr>
  </w:style>
  <w:style w:type="character" w:customStyle="1" w:styleId="HotSpot">
    <w:name w:val="HotSpot"/>
    <w:rsid w:val="00EC7AEB"/>
    <w:rPr>
      <w:color w:val="0033CC"/>
      <w:u w:val="none"/>
    </w:rPr>
  </w:style>
  <w:style w:type="paragraph" w:customStyle="1" w:styleId="BodyTextRight">
    <w:name w:val="Body Text Right"/>
    <w:basedOn w:val="BodyText"/>
    <w:rsid w:val="00EC7AEB"/>
    <w:pPr>
      <w:spacing w:before="0" w:after="0"/>
      <w:jc w:val="right"/>
    </w:pPr>
  </w:style>
  <w:style w:type="paragraph" w:styleId="Index3">
    <w:name w:val="index 3"/>
    <w:basedOn w:val="ListNumber2"/>
    <w:next w:val="Normal"/>
    <w:semiHidden/>
    <w:rsid w:val="00EC7AEB"/>
    <w:pPr>
      <w:numPr>
        <w:numId w:val="0"/>
      </w:numPr>
      <w:tabs>
        <w:tab w:val="right" w:leader="dot" w:pos="4176"/>
      </w:tabs>
    </w:pPr>
  </w:style>
  <w:style w:type="paragraph" w:styleId="ListNumber2">
    <w:name w:val="List Number 2"/>
    <w:basedOn w:val="List2"/>
    <w:rsid w:val="00EC7AEB"/>
    <w:pPr>
      <w:numPr>
        <w:numId w:val="11"/>
      </w:numPr>
      <w:tabs>
        <w:tab w:val="clear" w:pos="1060"/>
      </w:tabs>
    </w:pPr>
  </w:style>
  <w:style w:type="paragraph" w:customStyle="1" w:styleId="MarginNote">
    <w:name w:val="Margin Note"/>
    <w:basedOn w:val="BodyText"/>
    <w:rsid w:val="00EC7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A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AEB"/>
    <w:rPr>
      <w:sz w:val="32"/>
    </w:rPr>
  </w:style>
  <w:style w:type="paragraph" w:customStyle="1" w:styleId="HeadingProcedure">
    <w:name w:val="Heading Procedure"/>
    <w:basedOn w:val="HeadingBase"/>
    <w:next w:val="Normal"/>
    <w:rsid w:val="00EC7AEB"/>
    <w:pPr>
      <w:tabs>
        <w:tab w:val="left" w:pos="0"/>
      </w:tabs>
      <w:spacing w:before="120" w:after="60"/>
    </w:pPr>
    <w:rPr>
      <w:i/>
      <w:color w:val="918585"/>
      <w:sz w:val="22"/>
    </w:rPr>
  </w:style>
  <w:style w:type="paragraph" w:customStyle="1" w:styleId="TableBodyText">
    <w:name w:val="Table Body Text"/>
    <w:basedOn w:val="BodyText"/>
    <w:rsid w:val="00EC7AEB"/>
    <w:pPr>
      <w:spacing w:before="60" w:after="60"/>
    </w:pPr>
  </w:style>
  <w:style w:type="paragraph" w:styleId="ListContinue">
    <w:name w:val="List Continue"/>
    <w:basedOn w:val="List"/>
    <w:rsid w:val="00EC7AEB"/>
    <w:pPr>
      <w:ind w:firstLine="0"/>
    </w:pPr>
  </w:style>
  <w:style w:type="paragraph" w:customStyle="1" w:styleId="ListNote">
    <w:name w:val="List Note"/>
    <w:basedOn w:val="List"/>
    <w:rsid w:val="00EC7AEB"/>
    <w:pPr>
      <w:pBdr>
        <w:top w:val="single" w:sz="6" w:space="2" w:color="918585"/>
        <w:bottom w:val="single" w:sz="6" w:space="2" w:color="918585"/>
      </w:pBdr>
      <w:tabs>
        <w:tab w:val="left" w:pos="1021"/>
      </w:tabs>
      <w:ind w:firstLine="0"/>
    </w:pPr>
  </w:style>
  <w:style w:type="paragraph" w:customStyle="1" w:styleId="Warning">
    <w:name w:val="Warning"/>
    <w:basedOn w:val="BodyText"/>
    <w:rsid w:val="00EC7AEB"/>
    <w:pPr>
      <w:shd w:val="clear" w:color="auto" w:fill="D9D9D9"/>
      <w:tabs>
        <w:tab w:val="left" w:pos="992"/>
      </w:tabs>
      <w:ind w:left="119" w:right="119"/>
    </w:pPr>
    <w:rPr>
      <w:sz w:val="20"/>
    </w:rPr>
  </w:style>
  <w:style w:type="paragraph" w:customStyle="1" w:styleId="MarginIcons">
    <w:name w:val="Margin Icons"/>
    <w:basedOn w:val="BodyText"/>
    <w:rsid w:val="00EC7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AEB"/>
    <w:rPr>
      <w:rFonts w:ascii="Courier New" w:hAnsi="Courier New"/>
    </w:rPr>
  </w:style>
  <w:style w:type="paragraph" w:customStyle="1" w:styleId="NoteBullet">
    <w:name w:val="Note Bullet"/>
    <w:basedOn w:val="Note"/>
    <w:rsid w:val="00EC7AEB"/>
    <w:pPr>
      <w:tabs>
        <w:tab w:val="clear" w:pos="680"/>
      </w:tabs>
      <w:spacing w:before="60" w:after="60"/>
    </w:pPr>
  </w:style>
  <w:style w:type="paragraph" w:customStyle="1" w:styleId="SubHeading2">
    <w:name w:val="SubHeading2"/>
    <w:basedOn w:val="HeadingBase"/>
    <w:rsid w:val="00EC7AEB"/>
    <w:pPr>
      <w:spacing w:before="240" w:after="60"/>
    </w:pPr>
    <w:rPr>
      <w:sz w:val="20"/>
    </w:rPr>
  </w:style>
  <w:style w:type="paragraph" w:customStyle="1" w:styleId="SubHeading1">
    <w:name w:val="SubHeading1"/>
    <w:basedOn w:val="HeadingBase"/>
    <w:rsid w:val="00EC7AEB"/>
    <w:pPr>
      <w:spacing w:before="240" w:after="60"/>
    </w:pPr>
    <w:rPr>
      <w:color w:val="918585"/>
      <w:sz w:val="22"/>
    </w:rPr>
  </w:style>
  <w:style w:type="paragraph" w:customStyle="1" w:styleId="SideHeading">
    <w:name w:val="Side Heading"/>
    <w:basedOn w:val="HeadingBase"/>
    <w:rsid w:val="00EC7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AEB"/>
    <w:pPr>
      <w:numPr>
        <w:numId w:val="13"/>
      </w:numPr>
    </w:pPr>
  </w:style>
  <w:style w:type="paragraph" w:styleId="PlainText">
    <w:name w:val="Plain Text"/>
    <w:basedOn w:val="Normal"/>
    <w:link w:val="PlainTextChar"/>
    <w:rsid w:val="00EC7AEB"/>
    <w:rPr>
      <w:sz w:val="20"/>
    </w:rPr>
  </w:style>
  <w:style w:type="character" w:customStyle="1" w:styleId="PlainTextChar">
    <w:name w:val="Plain Text Char"/>
    <w:basedOn w:val="DefaultParagraphFont"/>
    <w:link w:val="PlainText"/>
    <w:rsid w:val="00EC7A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7AEB"/>
    <w:rPr>
      <w:b/>
      <w:smallCaps/>
    </w:rPr>
  </w:style>
  <w:style w:type="paragraph" w:customStyle="1" w:styleId="TableListNumber">
    <w:name w:val="Table List Number"/>
    <w:basedOn w:val="ListNumber"/>
    <w:rsid w:val="00EC7AEB"/>
    <w:pPr>
      <w:numPr>
        <w:numId w:val="0"/>
      </w:numPr>
    </w:pPr>
  </w:style>
  <w:style w:type="paragraph" w:styleId="TOC4">
    <w:name w:val="toc 4"/>
    <w:basedOn w:val="TOCBase"/>
    <w:next w:val="Normal"/>
    <w:semiHidden/>
    <w:rsid w:val="00EC7AEB"/>
    <w:pPr>
      <w:tabs>
        <w:tab w:val="right" w:leader="dot" w:pos="9071"/>
      </w:tabs>
      <w:ind w:left="1701"/>
    </w:pPr>
  </w:style>
  <w:style w:type="paragraph" w:customStyle="1" w:styleId="ListAlpha">
    <w:name w:val="List Alpha"/>
    <w:basedOn w:val="List"/>
    <w:rsid w:val="00EC7AEB"/>
    <w:pPr>
      <w:numPr>
        <w:numId w:val="10"/>
      </w:numPr>
    </w:pPr>
  </w:style>
  <w:style w:type="paragraph" w:customStyle="1" w:styleId="ListAlpha2">
    <w:name w:val="List Alpha 2"/>
    <w:basedOn w:val="List2"/>
    <w:rsid w:val="00EC7AEB"/>
    <w:pPr>
      <w:numPr>
        <w:numId w:val="9"/>
      </w:numPr>
    </w:pPr>
  </w:style>
  <w:style w:type="paragraph" w:styleId="List2">
    <w:name w:val="List 2"/>
    <w:basedOn w:val="BodyText"/>
    <w:rsid w:val="00EC7AEB"/>
    <w:pPr>
      <w:tabs>
        <w:tab w:val="left" w:pos="680"/>
      </w:tabs>
      <w:spacing w:before="60" w:after="60"/>
      <w:ind w:left="680" w:hanging="340"/>
    </w:pPr>
  </w:style>
  <w:style w:type="paragraph" w:styleId="List3">
    <w:name w:val="List 3"/>
    <w:basedOn w:val="BodyText"/>
    <w:rsid w:val="00EC7AEB"/>
    <w:pPr>
      <w:tabs>
        <w:tab w:val="left" w:pos="1021"/>
      </w:tabs>
      <w:spacing w:before="60" w:after="60"/>
      <w:ind w:left="1020" w:hanging="340"/>
    </w:pPr>
  </w:style>
  <w:style w:type="paragraph" w:styleId="List4">
    <w:name w:val="List 4"/>
    <w:basedOn w:val="BodyText"/>
    <w:rsid w:val="00EC7AEB"/>
    <w:pPr>
      <w:tabs>
        <w:tab w:val="left" w:pos="1361"/>
      </w:tabs>
      <w:spacing w:before="60" w:after="60"/>
      <w:ind w:left="1361" w:hanging="340"/>
    </w:pPr>
  </w:style>
  <w:style w:type="paragraph" w:styleId="List5">
    <w:name w:val="List 5"/>
    <w:basedOn w:val="BodyText"/>
    <w:rsid w:val="00EC7AEB"/>
    <w:pPr>
      <w:tabs>
        <w:tab w:val="left" w:pos="1701"/>
      </w:tabs>
      <w:spacing w:before="60" w:after="60"/>
      <w:ind w:left="1701" w:hanging="340"/>
    </w:pPr>
  </w:style>
  <w:style w:type="paragraph" w:styleId="ListBullet4">
    <w:name w:val="List Bullet 4"/>
    <w:basedOn w:val="List4"/>
    <w:rsid w:val="00EC7AEB"/>
    <w:pPr>
      <w:numPr>
        <w:numId w:val="4"/>
      </w:numPr>
    </w:pPr>
  </w:style>
  <w:style w:type="paragraph" w:styleId="ListBullet5">
    <w:name w:val="List Bullet 5"/>
    <w:basedOn w:val="List5"/>
    <w:rsid w:val="00EC7AEB"/>
    <w:pPr>
      <w:numPr>
        <w:numId w:val="5"/>
      </w:numPr>
    </w:pPr>
  </w:style>
  <w:style w:type="paragraph" w:styleId="ListContinue2">
    <w:name w:val="List Continue 2"/>
    <w:basedOn w:val="List2"/>
    <w:rsid w:val="00EC7AEB"/>
    <w:pPr>
      <w:ind w:firstLine="0"/>
    </w:pPr>
  </w:style>
  <w:style w:type="paragraph" w:styleId="ListContinue3">
    <w:name w:val="List Continue 3"/>
    <w:basedOn w:val="List3"/>
    <w:rsid w:val="00EC7AEB"/>
    <w:pPr>
      <w:ind w:left="1021" w:firstLine="0"/>
    </w:pPr>
  </w:style>
  <w:style w:type="paragraph" w:styleId="ListContinue4">
    <w:name w:val="List Continue 4"/>
    <w:basedOn w:val="List4"/>
    <w:rsid w:val="00EC7AEB"/>
    <w:pPr>
      <w:ind w:firstLine="0"/>
    </w:pPr>
  </w:style>
  <w:style w:type="paragraph" w:styleId="ListContinue5">
    <w:name w:val="List Continue 5"/>
    <w:basedOn w:val="List5"/>
    <w:rsid w:val="00EC7AEB"/>
    <w:pPr>
      <w:ind w:firstLine="0"/>
    </w:pPr>
  </w:style>
  <w:style w:type="paragraph" w:styleId="ListNumber3">
    <w:name w:val="List Number 3"/>
    <w:basedOn w:val="List3"/>
    <w:rsid w:val="00EC7AEB"/>
    <w:pPr>
      <w:numPr>
        <w:numId w:val="6"/>
      </w:numPr>
    </w:pPr>
  </w:style>
  <w:style w:type="paragraph" w:styleId="ListNumber4">
    <w:name w:val="List Number 4"/>
    <w:basedOn w:val="List4"/>
    <w:rsid w:val="00EC7AEB"/>
    <w:pPr>
      <w:numPr>
        <w:numId w:val="7"/>
      </w:numPr>
    </w:pPr>
  </w:style>
  <w:style w:type="paragraph" w:styleId="ListNumber5">
    <w:name w:val="List Number 5"/>
    <w:basedOn w:val="List5"/>
    <w:rsid w:val="00EC7AEB"/>
    <w:pPr>
      <w:numPr>
        <w:numId w:val="8"/>
      </w:numPr>
    </w:pPr>
  </w:style>
  <w:style w:type="paragraph" w:styleId="BlockText">
    <w:name w:val="Block Text"/>
    <w:basedOn w:val="Normal"/>
    <w:rsid w:val="00EC7AEB"/>
    <w:pPr>
      <w:spacing w:after="120"/>
      <w:ind w:left="1440" w:right="1440"/>
    </w:pPr>
  </w:style>
  <w:style w:type="character" w:customStyle="1" w:styleId="Subscript">
    <w:name w:val="Subscript"/>
    <w:basedOn w:val="DefaultParagraphFont"/>
    <w:rsid w:val="00EC7AEB"/>
    <w:rPr>
      <w:sz w:val="16"/>
      <w:vertAlign w:val="subscript"/>
    </w:rPr>
  </w:style>
  <w:style w:type="character" w:customStyle="1" w:styleId="Superscript">
    <w:name w:val="Superscript"/>
    <w:basedOn w:val="DefaultParagraphFont"/>
    <w:rsid w:val="00EC7AEB"/>
    <w:rPr>
      <w:sz w:val="16"/>
      <w:vertAlign w:val="superscript"/>
    </w:rPr>
  </w:style>
  <w:style w:type="character" w:customStyle="1" w:styleId="Symbols">
    <w:name w:val="Symbols"/>
    <w:basedOn w:val="DefaultParagraphFont"/>
    <w:rsid w:val="00EC7AEB"/>
    <w:rPr>
      <w:rFonts w:ascii="Symbol" w:hAnsi="Symbol"/>
    </w:rPr>
  </w:style>
  <w:style w:type="character" w:customStyle="1" w:styleId="MenuOptions">
    <w:name w:val="Menu Options"/>
    <w:basedOn w:val="DefaultParagraphFont"/>
    <w:rsid w:val="00EC7AEB"/>
    <w:rPr>
      <w:rFonts w:ascii="Arial Narrow" w:hAnsi="Arial Narrow"/>
      <w:smallCaps/>
    </w:rPr>
  </w:style>
  <w:style w:type="character" w:customStyle="1" w:styleId="Buttons">
    <w:name w:val="Buttons"/>
    <w:basedOn w:val="DefaultParagraphFont"/>
    <w:rsid w:val="00EC7AEB"/>
    <w:rPr>
      <w:b/>
    </w:rPr>
  </w:style>
  <w:style w:type="character" w:customStyle="1" w:styleId="Underlined">
    <w:name w:val="Underlined"/>
    <w:basedOn w:val="DefaultParagraphFont"/>
    <w:rsid w:val="00EC7AEB"/>
    <w:rPr>
      <w:u w:val="single"/>
    </w:rPr>
  </w:style>
  <w:style w:type="paragraph" w:customStyle="1" w:styleId="TableBodyTextRight">
    <w:name w:val="Table Body Text Right"/>
    <w:basedOn w:val="TableBodyText"/>
    <w:rsid w:val="00EC7AEB"/>
    <w:pPr>
      <w:widowControl w:val="0"/>
      <w:autoSpaceDE w:val="0"/>
      <w:autoSpaceDN w:val="0"/>
      <w:adjustRightInd w:val="0"/>
      <w:jc w:val="right"/>
    </w:pPr>
    <w:rPr>
      <w:rFonts w:cs="Arial"/>
      <w:szCs w:val="18"/>
    </w:rPr>
  </w:style>
  <w:style w:type="paragraph" w:customStyle="1" w:styleId="CopyrightText">
    <w:name w:val="Copyright Text"/>
    <w:basedOn w:val="BodyText"/>
    <w:rsid w:val="00EC7AEB"/>
    <w:rPr>
      <w:sz w:val="18"/>
    </w:rPr>
  </w:style>
  <w:style w:type="paragraph" w:customStyle="1" w:styleId="BodySmallRight">
    <w:name w:val="Body Small Right"/>
    <w:basedOn w:val="BodyTextRight"/>
    <w:rsid w:val="00EC7AEB"/>
    <w:rPr>
      <w:sz w:val="18"/>
      <w:szCs w:val="18"/>
    </w:rPr>
  </w:style>
  <w:style w:type="paragraph" w:customStyle="1" w:styleId="MarginEdition">
    <w:name w:val="Margin Edition"/>
    <w:basedOn w:val="MarginNote"/>
    <w:rsid w:val="00EC7AEB"/>
    <w:pPr>
      <w:spacing w:before="0" w:after="0"/>
    </w:pPr>
    <w:rPr>
      <w:rFonts w:ascii="Times New Roman" w:hAnsi="Times New Roman"/>
      <w:color w:val="999999"/>
    </w:rPr>
  </w:style>
  <w:style w:type="paragraph" w:customStyle="1" w:styleId="Spacer">
    <w:name w:val="Spacer"/>
    <w:basedOn w:val="Normal"/>
    <w:rsid w:val="00EC7AEB"/>
    <w:rPr>
      <w:sz w:val="2"/>
      <w:szCs w:val="2"/>
    </w:rPr>
  </w:style>
  <w:style w:type="character" w:customStyle="1" w:styleId="Small">
    <w:name w:val="Small"/>
    <w:basedOn w:val="DefaultParagraphFont"/>
    <w:rsid w:val="00EC7AEB"/>
    <w:rPr>
      <w:sz w:val="16"/>
    </w:rPr>
  </w:style>
  <w:style w:type="paragraph" w:customStyle="1" w:styleId="WideTable">
    <w:name w:val="Wide Table"/>
    <w:basedOn w:val="Normal"/>
    <w:rsid w:val="00EC7AEB"/>
    <w:pPr>
      <w:ind w:left="-1418"/>
    </w:pPr>
    <w:rPr>
      <w:sz w:val="2"/>
      <w:szCs w:val="2"/>
    </w:rPr>
  </w:style>
  <w:style w:type="character" w:styleId="PageNumber">
    <w:name w:val="page number"/>
    <w:basedOn w:val="DefaultParagraphFont"/>
    <w:rsid w:val="00EC7AEB"/>
  </w:style>
  <w:style w:type="paragraph" w:styleId="Quote">
    <w:name w:val="Quote"/>
    <w:basedOn w:val="Heading1"/>
    <w:link w:val="QuoteChar"/>
    <w:qFormat/>
    <w:rsid w:val="00EC7AEB"/>
    <w:rPr>
      <w:b w:val="0"/>
      <w:sz w:val="72"/>
      <w:szCs w:val="72"/>
      <w:lang w:val="en-NZ"/>
    </w:rPr>
  </w:style>
  <w:style w:type="character" w:customStyle="1" w:styleId="QuoteChar">
    <w:name w:val="Quote Char"/>
    <w:basedOn w:val="DefaultParagraphFont"/>
    <w:link w:val="Quote"/>
    <w:rsid w:val="00EC7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AEB"/>
    <w:pPr>
      <w:pageBreakBefore/>
    </w:pPr>
  </w:style>
  <w:style w:type="paragraph" w:customStyle="1" w:styleId="Border">
    <w:name w:val="Border"/>
    <w:basedOn w:val="Normal"/>
    <w:qFormat/>
    <w:rsid w:val="00EC7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AEB"/>
    <w:rPr>
      <w:b/>
      <w:bCs/>
      <w:i/>
      <w:iCs/>
      <w:color w:val="auto"/>
    </w:rPr>
  </w:style>
  <w:style w:type="paragraph" w:styleId="IntenseQuote">
    <w:name w:val="Intense Quote"/>
    <w:basedOn w:val="Normal"/>
    <w:next w:val="Normal"/>
    <w:link w:val="IntenseQuoteChar"/>
    <w:uiPriority w:val="30"/>
    <w:qFormat/>
    <w:rsid w:val="00EC7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A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7AEB"/>
    <w:rPr>
      <w:smallCaps/>
      <w:color w:val="auto"/>
      <w:u w:val="single"/>
    </w:rPr>
  </w:style>
  <w:style w:type="character" w:styleId="IntenseReference">
    <w:name w:val="Intense Reference"/>
    <w:basedOn w:val="DefaultParagraphFont"/>
    <w:uiPriority w:val="32"/>
    <w:qFormat/>
    <w:rsid w:val="00EC7AEB"/>
    <w:rPr>
      <w:b/>
      <w:bCs/>
      <w:smallCaps/>
      <w:color w:val="auto"/>
      <w:spacing w:val="5"/>
      <w:u w:val="single"/>
    </w:rPr>
  </w:style>
  <w:style w:type="paragraph" w:customStyle="1" w:styleId="2ColumnHeading">
    <w:name w:val="2Column Heading"/>
    <w:basedOn w:val="BodyText"/>
    <w:qFormat/>
    <w:rsid w:val="00EC7AEB"/>
    <w:pPr>
      <w:spacing w:after="60"/>
      <w:ind w:left="-2268"/>
    </w:pPr>
    <w:rPr>
      <w:b/>
    </w:rPr>
  </w:style>
  <w:style w:type="paragraph" w:customStyle="1" w:styleId="Heading1TOC">
    <w:name w:val="Heading1 TOC"/>
    <w:basedOn w:val="Normal"/>
    <w:qFormat/>
    <w:rsid w:val="00EC7AEB"/>
    <w:pPr>
      <w:spacing w:before="240" w:after="120"/>
    </w:pPr>
    <w:rPr>
      <w:rFonts w:ascii="Times New Roman" w:hAnsi="Times New Roman"/>
      <w:b/>
      <w:sz w:val="32"/>
    </w:rPr>
  </w:style>
  <w:style w:type="paragraph" w:customStyle="1" w:styleId="Heading2TOC">
    <w:name w:val="Heading2 TOC"/>
    <w:basedOn w:val="Normal"/>
    <w:qFormat/>
    <w:rsid w:val="00EC7AEB"/>
    <w:pPr>
      <w:spacing w:before="240" w:after="60"/>
    </w:pPr>
    <w:rPr>
      <w:rFonts w:ascii="Times New Roman" w:hAnsi="Times New Roman"/>
      <w:b/>
      <w:sz w:val="28"/>
    </w:rPr>
  </w:style>
  <w:style w:type="character" w:customStyle="1" w:styleId="Underline">
    <w:name w:val="Underline"/>
    <w:basedOn w:val="DefaultParagraphFont"/>
    <w:qFormat/>
    <w:rsid w:val="00EC7AEB"/>
    <w:rPr>
      <w:u w:val="single"/>
    </w:rPr>
  </w:style>
  <w:style w:type="character" w:customStyle="1" w:styleId="BoldandItalics">
    <w:name w:val="Bold and Italics"/>
    <w:qFormat/>
    <w:rsid w:val="00EC7AEB"/>
    <w:rPr>
      <w:b/>
      <w:i/>
      <w:u w:val="none"/>
    </w:rPr>
  </w:style>
  <w:style w:type="paragraph" w:styleId="BalloonText">
    <w:name w:val="Balloon Text"/>
    <w:basedOn w:val="Normal"/>
    <w:link w:val="BalloonTextChar"/>
    <w:rsid w:val="00EC7AEB"/>
    <w:rPr>
      <w:rFonts w:ascii="Tahoma" w:hAnsi="Tahoma" w:cs="Tahoma"/>
      <w:sz w:val="16"/>
      <w:szCs w:val="16"/>
    </w:rPr>
  </w:style>
  <w:style w:type="character" w:customStyle="1" w:styleId="BalloonTextChar">
    <w:name w:val="Balloon Text Char"/>
    <w:basedOn w:val="DefaultParagraphFont"/>
    <w:link w:val="BalloonText"/>
    <w:rsid w:val="00EC7A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A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A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4571</Words>
  <Characters>30663</Characters>
  <Application>Microsoft Office Word</Application>
  <DocSecurity>0</DocSecurity>
  <Lines>927</Lines>
  <Paragraphs>368</Paragraphs>
  <ScaleCrop>false</ScaleCrop>
  <Company>Author-it Software Corporation Ltd.</Company>
  <LinksUpToDate>false</LinksUpToDate>
  <CharactersWithSpaces>35036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UETTDRTS21A Maintain interdependent network protection and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