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694" w:rsidP="00A02694">
      <w:pPr>
        <w:pStyle w:val="Title"/>
      </w:pPr>
      <w:r>
        <w:fldChar w:fldCharType="begin"/>
      </w:r>
      <w:r>
        <w:instrText xml:space="preserve"> TITLE   \* MERGEFORMAT </w:instrText>
      </w:r>
      <w:r>
        <w:fldChar w:fldCharType="separate"/>
      </w:r>
      <w:r>
        <w:t>UETTDRTP99A Test and verify transmission overhead installations</w:t>
      </w:r>
      <w:r>
        <w:fldChar w:fldCharType="end"/>
      </w:r>
    </w:p>
    <w:p w:rsidR="00A02694" w:rsidP="00A02694">
      <w:pPr>
        <w:pStyle w:val="Version"/>
        <w:sectPr w:rsidSect="00B321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21AA" w:rsidP="00B321AA">
      <w:pPr>
        <w:pStyle w:val="SuperHeading"/>
      </w:pPr>
      <w:r w:rsidRPr="00B321AA">
        <w:t>UETTDRTP99A Test and verify transmission overhead installations</w:t>
      </w:r>
    </w:p>
    <w:p w:rsidR="00000000" w:rsidRPr="00B321AA" w:rsidP="00B321AA">
      <w:pPr>
        <w:pStyle w:val="Heading1"/>
      </w:pPr>
      <w:bookmarkStart w:id="1" w:name="O_461051"/>
      <w:bookmarkEnd w:id="1"/>
      <w:r w:rsidRPr="00B321AA">
        <w:t>Modification History</w:t>
      </w:r>
    </w:p>
    <w:p w:rsidR="00000000" w:rsidRPr="00B321AA" w:rsidP="00B321AA">
      <w:pPr>
        <w:pStyle w:val="BodyText"/>
      </w:pPr>
      <w:r w:rsidRPr="00B321AA">
        <w:t>Not applicable.</w:t>
      </w:r>
    </w:p>
    <w:p w:rsidR="00000000" w:rsidRPr="00B321AA" w:rsidP="00B321AA">
      <w:pPr>
        <w:pStyle w:val="AllowPageBreak"/>
      </w:pPr>
    </w:p>
    <w:p w:rsidR="00000000" w:rsidRPr="00B321AA" w:rsidP="00B321AA">
      <w:pPr>
        <w:pStyle w:val="Heading1"/>
      </w:pPr>
      <w:bookmarkStart w:id="2" w:name="O_461049"/>
      <w:bookmarkEnd w:id="2"/>
      <w:r w:rsidRPr="00B321AA">
        <w:t>Unit Descriptor</w:t>
      </w:r>
    </w:p>
    <w:tbl>
      <w:tblPr>
        <w:tblW w:w="0" w:type="auto"/>
        <w:tblLayout w:type="fixed"/>
        <w:tblCellMar>
          <w:left w:w="62" w:type="dxa"/>
          <w:right w:w="62" w:type="dxa"/>
        </w:tblCellMar>
        <w:tblLook w:val="0000"/>
      </w:tblPr>
      <w:tblGrid>
        <w:gridCol w:w="2700"/>
        <w:gridCol w:w="5760"/>
      </w:tblGrid>
      <w:tr w:rsidTr="00A0269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321AA" w:rsidP="00B321AA">
            <w:pPr>
              <w:pStyle w:val="BodyText"/>
            </w:pPr>
            <w:r w:rsidRPr="00B321A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rPr>
                <w:rStyle w:val="SpecialBold"/>
              </w:rPr>
              <w:t>1)</w:t>
            </w:r>
            <w:r w:rsidRPr="00B321AA">
              <w:t xml:space="preserve"> </w:t>
            </w:r>
            <w:r w:rsidRPr="00B321AA">
              <w:rPr>
                <w:rStyle w:val="SpecialBold"/>
              </w:rPr>
              <w:t>Scope:</w:t>
            </w:r>
          </w:p>
        </w:tc>
      </w:tr>
      <w:tr w:rsidTr="00A026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321A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rPr>
                <w:rStyle w:val="SpecialBold"/>
              </w:rPr>
              <w:t>1.1) Descriptor</w:t>
            </w:r>
          </w:p>
        </w:tc>
      </w:tr>
      <w:tr w:rsidTr="00A026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321AA" w:rsidP="00B321AA">
            <w:pPr>
              <w:pStyle w:val="BodyText"/>
            </w:pPr>
            <w:r w:rsidRPr="00B321AA">
              <w:t>This Competency Standard Unit covers the visual inspection and verification of maintenance requirements of nonenergised, pyramid, delta, Pi or enterprise specific transmission towers and associated hardware. It includes the repair, and or replacement of co</w:t>
            </w:r>
            <w:r w:rsidRPr="00B321AA">
              <w:t>mponents in accordance with construction plans, specifications, work orders and standing enterprise requirements. The updating of system data, records and or completion of relevant documentation in accordance with enterprise requirements also forms part of</w:t>
            </w:r>
            <w:r w:rsidRPr="00B321AA">
              <w:t xml:space="preserve"> this competency.</w:t>
            </w:r>
          </w:p>
        </w:tc>
      </w:tr>
    </w:tbl>
    <w:p w:rsidR="00000000" w:rsidRPr="00B321AA" w:rsidP="00B321AA">
      <w:pPr>
        <w:pStyle w:val="BodyText"/>
      </w:pPr>
    </w:p>
    <w:p w:rsidR="00000000" w:rsidRPr="00B321AA" w:rsidP="00B321AA">
      <w:pPr>
        <w:pStyle w:val="AllowPageBreak"/>
      </w:pPr>
    </w:p>
    <w:p w:rsidR="00000000" w:rsidRPr="00B321AA" w:rsidP="00B321AA">
      <w:pPr>
        <w:pStyle w:val="Heading1"/>
      </w:pPr>
      <w:bookmarkStart w:id="3" w:name="O_461038"/>
      <w:bookmarkEnd w:id="3"/>
      <w:r w:rsidRPr="00B321AA">
        <w:t>Application of the Unit</w:t>
      </w:r>
    </w:p>
    <w:tbl>
      <w:tblPr>
        <w:tblW w:w="0" w:type="auto"/>
        <w:tblLayout w:type="fixed"/>
        <w:tblCellMar>
          <w:left w:w="62" w:type="dxa"/>
          <w:right w:w="62" w:type="dxa"/>
        </w:tblCellMar>
        <w:tblLook w:val="0000"/>
      </w:tblPr>
      <w:tblGrid>
        <w:gridCol w:w="2672"/>
        <w:gridCol w:w="5699"/>
      </w:tblGrid>
      <w:tr w:rsidTr="00A0269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321AA" w:rsidP="00B321AA">
            <w:pPr>
              <w:pStyle w:val="BodyText"/>
            </w:pPr>
            <w:r w:rsidRPr="00B321A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rPr>
                <w:rStyle w:val="SpecialBold"/>
              </w:rPr>
              <w:t>2)</w:t>
            </w:r>
          </w:p>
        </w:tc>
      </w:tr>
      <w:tr w:rsidTr="00A0269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321AA" w:rsidP="00B321AA">
            <w:pPr>
              <w:pStyle w:val="BodyText"/>
            </w:pPr>
            <w:r w:rsidRPr="00B321AA">
              <w:t>This unit is intended to augment previously acquired competencies. It is suitable for employment-based programs under an approved contract of training.</w:t>
            </w:r>
          </w:p>
        </w:tc>
      </w:tr>
    </w:tbl>
    <w:p w:rsidR="00000000" w:rsidRPr="00B321AA" w:rsidP="00B321AA">
      <w:pPr>
        <w:pStyle w:val="BodyText"/>
      </w:pPr>
    </w:p>
    <w:p w:rsidR="00000000" w:rsidRPr="00B321AA" w:rsidP="00B321AA">
      <w:pPr>
        <w:pStyle w:val="AllowPageBreak"/>
      </w:pPr>
    </w:p>
    <w:p w:rsidR="00000000" w:rsidRPr="00B321AA" w:rsidP="00B321AA">
      <w:pPr>
        <w:pStyle w:val="Heading1"/>
      </w:pPr>
      <w:bookmarkStart w:id="4" w:name="O_461045"/>
      <w:bookmarkEnd w:id="4"/>
      <w:r w:rsidRPr="00B321AA">
        <w:t>Licensing/Regulatory Information</w:t>
      </w:r>
    </w:p>
    <w:tbl>
      <w:tblPr>
        <w:tblW w:w="0" w:type="auto"/>
        <w:tblLayout w:type="fixed"/>
        <w:tblCellMar>
          <w:left w:w="62" w:type="dxa"/>
          <w:right w:w="62" w:type="dxa"/>
        </w:tblCellMar>
        <w:tblLook w:val="0000"/>
      </w:tblPr>
      <w:tblGrid>
        <w:gridCol w:w="2700"/>
        <w:gridCol w:w="5760"/>
      </w:tblGrid>
      <w:tr w:rsidTr="00A0269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321AA" w:rsidP="00B321AA">
            <w:pPr>
              <w:pStyle w:val="BodyText"/>
            </w:pPr>
            <w:r w:rsidRPr="00B321A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rPr>
                <w:rStyle w:val="SpecialBold"/>
              </w:rPr>
              <w:t xml:space="preserve">3) </w:t>
            </w:r>
          </w:p>
        </w:tc>
      </w:tr>
      <w:tr w:rsidTr="00A026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321AA" w:rsidP="00B321AA">
            <w:pPr>
              <w:pStyle w:val="BodyText"/>
            </w:pPr>
            <w:r w:rsidRPr="00B321AA">
              <w:t>The skills and knowledge described in this unit require a license to practice in the workplace subject to regulations for undertaking of electrical work. Practice in workplace and during tr</w:t>
            </w:r>
            <w:r w:rsidRPr="00B321AA">
              <w:t>aining is also subject to regulations directly related to occupational health and safety and where applicable contracts of training such as apprenticeships.</w:t>
            </w:r>
          </w:p>
          <w:p w:rsidR="00000000" w:rsidRPr="00B321AA" w:rsidP="00B321AA">
            <w:pPr>
              <w:pStyle w:val="BodyText"/>
            </w:pPr>
            <w:r w:rsidRPr="00B321AA">
              <w:t>Note:</w:t>
            </w:r>
          </w:p>
          <w:p w:rsidR="00000000" w:rsidRPr="00B321AA" w:rsidP="00B321AA">
            <w:pPr>
              <w:pStyle w:val="BodyText"/>
            </w:pPr>
            <w:r w:rsidRPr="00B321AA">
              <w:t xml:space="preserve">1. Compliance with permits may be required in various jurisdictions and typically relates to </w:t>
            </w:r>
            <w:r w:rsidRPr="00B321AA">
              <w:t xml:space="preserve">the access to High Voltage transmission line network installations, operation of plant, machinery and equipment such as elevating work platforms, power operated tools, vehicles, road signage and traffic control and lifting equipment. </w:t>
            </w:r>
          </w:p>
          <w:p w:rsidR="00000000" w:rsidRPr="00B321AA" w:rsidP="00B321AA">
            <w:pPr>
              <w:pStyle w:val="BodyText"/>
            </w:pPr>
            <w:r w:rsidRPr="00B321AA">
              <w:t xml:space="preserve">2. Compliance may be </w:t>
            </w:r>
            <w:r w:rsidRPr="00B321AA">
              <w:t>required in various jurisdictions relating to currency in Working Safely at Heights, ESI Rescue Procedures, CPR/First Aid, lifting and risk safety measures.</w:t>
            </w:r>
          </w:p>
        </w:tc>
      </w:tr>
    </w:tbl>
    <w:p w:rsidR="00000000" w:rsidRPr="00B321AA" w:rsidP="00B321AA">
      <w:pPr>
        <w:pStyle w:val="BodyText"/>
      </w:pPr>
    </w:p>
    <w:p w:rsidR="00000000" w:rsidRPr="00B321AA" w:rsidP="00B321AA">
      <w:pPr>
        <w:pStyle w:val="AllowPageBreak"/>
      </w:pPr>
    </w:p>
    <w:p w:rsidR="00000000" w:rsidRPr="00B321AA" w:rsidP="00B321AA">
      <w:pPr>
        <w:pStyle w:val="Heading1"/>
      </w:pPr>
      <w:bookmarkStart w:id="5" w:name="O_461046"/>
      <w:bookmarkEnd w:id="5"/>
      <w:r w:rsidRPr="00B321AA">
        <w:t>Pre-Requisites</w:t>
      </w:r>
    </w:p>
    <w:tbl>
      <w:tblPr>
        <w:tblW w:w="0" w:type="auto"/>
        <w:tblLayout w:type="fixed"/>
        <w:tblCellMar>
          <w:left w:w="62" w:type="dxa"/>
          <w:right w:w="62" w:type="dxa"/>
        </w:tblCellMar>
        <w:tblLook w:val="0000"/>
      </w:tblPr>
      <w:tblGrid>
        <w:gridCol w:w="2700"/>
        <w:gridCol w:w="1980"/>
        <w:gridCol w:w="3769"/>
        <w:gridCol w:w="15"/>
      </w:tblGrid>
      <w:tr w:rsidTr="00A0269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321AA" w:rsidP="00B321AA">
            <w:pPr>
              <w:pStyle w:val="BodyText"/>
            </w:pPr>
            <w:r w:rsidRPr="00B321AA">
              <w:rPr>
                <w:rStyle w:val="SpecialBold"/>
              </w:rPr>
              <w:t>Prerequisite Unit(s)</w:t>
            </w:r>
          </w:p>
        </w:tc>
        <w:tc>
          <w:tcPr>
            <w:tcW w:w="5764" w:type="dxa"/>
            <w:gridSpan w:val="3"/>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rPr>
                <w:rStyle w:val="SpecialBold"/>
              </w:rPr>
              <w:t xml:space="preserve">4) </w:t>
            </w:r>
          </w:p>
        </w:tc>
      </w:tr>
      <w:tr w:rsidTr="00A026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321AA" w:rsidP="00B321AA">
            <w:pPr>
              <w:pStyle w:val="BodyText"/>
            </w:pPr>
            <w:r w:rsidRPr="00B321AA">
              <w:rPr>
                <w:rStyle w:val="SpecialBold"/>
              </w:rPr>
              <w:t>Competencies</w:t>
            </w:r>
          </w:p>
        </w:tc>
        <w:tc>
          <w:tcPr>
            <w:tcW w:w="5764" w:type="dxa"/>
            <w:gridSpan w:val="3"/>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rPr>
                <w:rStyle w:val="SpecialBold"/>
              </w:rPr>
              <w:t>4.1)</w:t>
            </w:r>
          </w:p>
        </w:tc>
      </w:tr>
      <w:tr w:rsidTr="00A02694">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9" w:type="dxa"/>
            <w:gridSpan w:val="2"/>
            <w:tcBorders>
              <w:top w:val="nil"/>
              <w:left w:val="nil"/>
              <w:bottom w:val="nil"/>
              <w:right w:val="nil"/>
            </w:tcBorders>
            <w:tcMar>
              <w:top w:w="0" w:type="dxa"/>
              <w:left w:w="62" w:type="dxa"/>
              <w:bottom w:w="0" w:type="dxa"/>
              <w:right w:w="62" w:type="dxa"/>
            </w:tcMar>
          </w:tcPr>
          <w:p w:rsidR="00000000" w:rsidRPr="00B321AA" w:rsidP="00B321AA">
            <w:pPr>
              <w:pStyle w:val="BodyText"/>
            </w:pPr>
            <w:r w:rsidRPr="00B321AA">
              <w:t>Granting of competency in this unit shall be made only after competency in the following unit(s) has/have been confirmed.</w:t>
            </w:r>
          </w:p>
          <w:p w:rsidR="00000000" w:rsidRPr="00B321AA" w:rsidP="00B321AA">
            <w:pPr>
              <w:pStyle w:val="BodyText"/>
            </w:pPr>
            <w:r w:rsidRPr="00B321AA">
              <w:t>Where pre-requisite pathways have been identified. All competencies in the Common Unit Group must be have been completed.</w:t>
            </w:r>
          </w:p>
          <w:p w:rsidR="00000000" w:rsidP="00B321AA">
            <w:pPr>
              <w:pStyle w:val="BodyText"/>
              <w:rPr>
                <w:lang w:val="en-NZ"/>
              </w:rPr>
            </w:pPr>
            <w:r w:rsidRPr="00B321AA">
              <w:t xml:space="preserve">Common Unit </w:t>
            </w:r>
            <w:r w:rsidRPr="00B321AA">
              <w:t>Group</w:t>
            </w:r>
          </w:p>
        </w:tc>
      </w:tr>
      <w:tr w:rsidTr="00A026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Unit Code</w:t>
            </w:r>
            <w:r w:rsidRPr="00B321AA">
              <w:tab/>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321AA">
            <w:pPr>
              <w:pStyle w:val="BodyText"/>
              <w:rPr>
                <w:lang w:val="en-NZ"/>
              </w:rPr>
            </w:pPr>
            <w:r w:rsidRPr="00B321AA">
              <w:t>Unit Title</w:t>
            </w:r>
          </w:p>
        </w:tc>
      </w:tr>
      <w:tr w:rsidTr="00A026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UEENEEE101A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321AA">
            <w:pPr>
              <w:pStyle w:val="BodyText"/>
              <w:rPr>
                <w:lang w:val="en-NZ"/>
              </w:rPr>
            </w:pPr>
            <w:r w:rsidRPr="00B321AA">
              <w:t>Apply Occupational Health and Safety regulations, codes and practices in the workplace</w:t>
            </w:r>
          </w:p>
        </w:tc>
      </w:tr>
      <w:tr w:rsidTr="00A026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UEENEEE102A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321AA">
            <w:pPr>
              <w:pStyle w:val="BodyText"/>
              <w:rPr>
                <w:lang w:val="en-NZ"/>
              </w:rPr>
            </w:pPr>
            <w:r w:rsidRPr="00B321AA">
              <w:t>Fabricate, assemble and dismantle utilities industry components</w:t>
            </w:r>
          </w:p>
        </w:tc>
      </w:tr>
      <w:tr w:rsidTr="00A026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UEENEEE104A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321AA">
            <w:pPr>
              <w:pStyle w:val="BodyText"/>
              <w:rPr>
                <w:lang w:val="en-NZ"/>
              </w:rPr>
            </w:pPr>
            <w:r w:rsidRPr="00B321AA">
              <w:t>Solve problems in d.c. Circuits</w:t>
            </w:r>
          </w:p>
        </w:tc>
      </w:tr>
      <w:tr w:rsidTr="00A026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UEENEEE105A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321AA">
            <w:pPr>
              <w:pStyle w:val="BodyText"/>
              <w:rPr>
                <w:lang w:val="en-NZ"/>
              </w:rPr>
            </w:pPr>
            <w:r w:rsidRPr="00B321AA">
              <w:t>Fix and secure electrotechnology equipment</w:t>
            </w:r>
          </w:p>
        </w:tc>
      </w:tr>
      <w:tr w:rsidTr="00A026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UEENEEE107A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321AA">
            <w:pPr>
              <w:pStyle w:val="BodyText"/>
              <w:rPr>
                <w:lang w:val="en-NZ"/>
              </w:rPr>
            </w:pPr>
            <w:r w:rsidRPr="00B321AA">
              <w:t>Use drawings, diagrams, schedules, standards, codes and specifications</w:t>
            </w:r>
          </w:p>
        </w:tc>
      </w:tr>
      <w:tr w:rsidTr="00A026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UEENEEG101A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321AA">
            <w:pPr>
              <w:pStyle w:val="BodyText"/>
              <w:rPr>
                <w:lang w:val="en-NZ"/>
              </w:rPr>
            </w:pPr>
            <w:r w:rsidRPr="00B321AA">
              <w:t>Solve problems in electromagnetic devices and related circuits</w:t>
            </w:r>
          </w:p>
        </w:tc>
      </w:tr>
      <w:tr w:rsidTr="00A026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UEENEEG102A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321AA">
            <w:pPr>
              <w:pStyle w:val="BodyText"/>
              <w:rPr>
                <w:lang w:val="en-NZ"/>
              </w:rPr>
            </w:pPr>
            <w:r w:rsidRPr="00B321AA">
              <w:t>Solve problems in low voltage a.c. Circuits</w:t>
            </w:r>
          </w:p>
        </w:tc>
      </w:tr>
      <w:tr w:rsidTr="00A026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UETTDREL11A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321AA">
            <w:pPr>
              <w:pStyle w:val="BodyText"/>
              <w:rPr>
                <w:lang w:val="en-NZ"/>
              </w:rPr>
            </w:pPr>
            <w:r w:rsidRPr="00B321AA">
              <w:t xml:space="preserve">Apply sustainable energy and environmental procedures </w:t>
            </w:r>
          </w:p>
        </w:tc>
      </w:tr>
      <w:tr w:rsidTr="00A026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UETTDREL12A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321AA">
            <w:pPr>
              <w:pStyle w:val="BodyText"/>
              <w:rPr>
                <w:lang w:val="en-NZ"/>
              </w:rPr>
            </w:pPr>
            <w:r w:rsidRPr="00B321AA">
              <w:t xml:space="preserve">Operate plant and equipment near live electrical conductors and apparatus </w:t>
            </w:r>
          </w:p>
        </w:tc>
      </w:tr>
      <w:tr w:rsidTr="00A026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UETTDREL16A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321AA">
            <w:pPr>
              <w:pStyle w:val="BodyText"/>
              <w:rPr>
                <w:lang w:val="en-NZ"/>
              </w:rPr>
            </w:pPr>
            <w:r w:rsidRPr="00B321AA">
              <w:t>Working safely near live electrical appa</w:t>
            </w:r>
            <w:r w:rsidRPr="00B321AA">
              <w:t xml:space="preserve">ratus </w:t>
            </w:r>
          </w:p>
        </w:tc>
      </w:tr>
      <w:tr w:rsidTr="00A026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UETTDRIS54A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321AA">
            <w:pPr>
              <w:pStyle w:val="BodyText"/>
              <w:rPr>
                <w:lang w:val="en-NZ"/>
              </w:rPr>
            </w:pPr>
            <w:r w:rsidRPr="00B321AA">
              <w:t xml:space="preserve">Install and maintain poles, structures, overhead conductors and cables </w:t>
            </w:r>
          </w:p>
        </w:tc>
      </w:tr>
      <w:tr w:rsidTr="00A026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UETTDRTP26A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321AA">
            <w:pPr>
              <w:pStyle w:val="BodyText"/>
              <w:rPr>
                <w:lang w:val="en-NZ"/>
              </w:rPr>
            </w:pPr>
            <w:r w:rsidRPr="00B321AA">
              <w:t xml:space="preserve">Install transmission structures and associated hardware </w:t>
            </w:r>
          </w:p>
        </w:tc>
      </w:tr>
      <w:tr w:rsidTr="00A026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UETTDRTP27A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321AA">
            <w:pPr>
              <w:pStyle w:val="BodyText"/>
              <w:rPr>
                <w:lang w:val="en-NZ"/>
              </w:rPr>
            </w:pPr>
            <w:r w:rsidRPr="00B321AA">
              <w:t xml:space="preserve">Maintain transmission structures and associated hardware </w:t>
            </w:r>
          </w:p>
        </w:tc>
      </w:tr>
      <w:tr w:rsidTr="00A026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UETTDRTP29A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321AA">
            <w:pPr>
              <w:pStyle w:val="BodyText"/>
              <w:rPr>
                <w:lang w:val="en-NZ"/>
              </w:rPr>
            </w:pPr>
            <w:r w:rsidRPr="00B321AA">
              <w:t xml:space="preserve">Install and maintain transmission overhead conductors and cables </w:t>
            </w:r>
          </w:p>
        </w:tc>
      </w:tr>
      <w:tr w:rsidTr="00A026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UETTDRTP30A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RPr="00B321AA" w:rsidP="00B321AA">
            <w:pPr>
              <w:pStyle w:val="BodyText"/>
            </w:pPr>
            <w:r w:rsidRPr="00B321AA">
              <w:t xml:space="preserve">Inspect transmission overhead structures and electrical apparatus </w:t>
            </w:r>
          </w:p>
        </w:tc>
      </w:tr>
    </w:tbl>
    <w:p w:rsidR="00000000" w:rsidRPr="00B321AA" w:rsidP="00B321A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0269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321AA" w:rsidP="00B321AA">
            <w:pPr>
              <w:pStyle w:val="BodyText"/>
            </w:pPr>
            <w:r w:rsidRPr="00B321A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rPr>
                <w:rStyle w:val="SpecialBold"/>
              </w:rPr>
              <w:t xml:space="preserve">4.2) </w:t>
            </w:r>
          </w:p>
        </w:tc>
      </w:tr>
      <w:tr w:rsidTr="00A026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Participants are best equipped to achieve this unit if they have reading, writing and numeracy skills indicated by the following scales. Description of each scale is given in Volume 2, Part 3 “Literacy and Numeracy”</w:t>
            </w:r>
          </w:p>
        </w:tc>
      </w:tr>
      <w:tr w:rsidTr="00A026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Reading</w:t>
            </w:r>
          </w:p>
        </w:tc>
        <w:tc>
          <w:tcPr>
            <w:tcW w:w="81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3</w:t>
            </w:r>
          </w:p>
        </w:tc>
        <w:tc>
          <w:tcPr>
            <w:tcW w:w="99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Writing</w:t>
            </w:r>
          </w:p>
        </w:tc>
        <w:tc>
          <w:tcPr>
            <w:tcW w:w="90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3</w:t>
            </w:r>
          </w:p>
        </w:tc>
        <w:tc>
          <w:tcPr>
            <w:tcW w:w="126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Numeracy</w:t>
            </w:r>
          </w:p>
        </w:tc>
        <w:tc>
          <w:tcPr>
            <w:tcW w:w="720" w:type="dxa"/>
            <w:tcBorders>
              <w:top w:val="nil"/>
              <w:left w:val="nil"/>
              <w:bottom w:val="nil"/>
              <w:right w:val="nil"/>
            </w:tcBorders>
            <w:tcMar>
              <w:top w:w="0" w:type="dxa"/>
              <w:left w:w="62" w:type="dxa"/>
              <w:bottom w:w="0" w:type="dxa"/>
              <w:right w:w="62" w:type="dxa"/>
            </w:tcMar>
          </w:tcPr>
          <w:p w:rsidR="00000000" w:rsidRPr="00B321AA" w:rsidP="00B321AA">
            <w:pPr>
              <w:pStyle w:val="BodyText"/>
            </w:pPr>
            <w:r w:rsidRPr="00B321AA">
              <w:t>3</w:t>
            </w:r>
          </w:p>
        </w:tc>
      </w:tr>
    </w:tbl>
    <w:p w:rsidR="00000000" w:rsidRPr="00B321AA" w:rsidP="00B321AA">
      <w:pPr>
        <w:pStyle w:val="BodyText"/>
      </w:pPr>
    </w:p>
    <w:p w:rsidR="00000000" w:rsidRPr="00B321AA" w:rsidP="00B321AA">
      <w:pPr>
        <w:pStyle w:val="AllowPageBreak"/>
      </w:pPr>
    </w:p>
    <w:p w:rsidR="00000000" w:rsidRPr="00B321AA" w:rsidP="00B321AA">
      <w:pPr>
        <w:pStyle w:val="Heading1"/>
      </w:pPr>
      <w:bookmarkStart w:id="6" w:name="O_461042"/>
      <w:bookmarkEnd w:id="6"/>
      <w:r w:rsidRPr="00B321AA">
        <w:t>Employability Skills Information</w:t>
      </w:r>
    </w:p>
    <w:tbl>
      <w:tblPr>
        <w:tblW w:w="0" w:type="auto"/>
        <w:tblLayout w:type="fixed"/>
        <w:tblCellMar>
          <w:left w:w="62" w:type="dxa"/>
          <w:right w:w="62" w:type="dxa"/>
        </w:tblCellMar>
        <w:tblLook w:val="0000"/>
      </w:tblPr>
      <w:tblGrid>
        <w:gridCol w:w="2700"/>
        <w:gridCol w:w="5760"/>
      </w:tblGrid>
      <w:tr w:rsidTr="00A0269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321AA" w:rsidP="00B321AA">
            <w:pPr>
              <w:pStyle w:val="BodyText"/>
            </w:pPr>
            <w:r w:rsidRPr="00B321A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rPr>
                <w:rStyle w:val="SpecialBold"/>
              </w:rPr>
              <w:t xml:space="preserve">5) </w:t>
            </w:r>
          </w:p>
        </w:tc>
      </w:tr>
      <w:tr w:rsidTr="00A026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321AA" w:rsidP="00B321AA">
            <w:pPr>
              <w:pStyle w:val="BodyText"/>
            </w:pPr>
            <w:r w:rsidRPr="00B321AA">
              <w:t>The required outcomes described in this unit of competency contain applicable facets of Employability Skills. The Employability Skills Summary of the qualification in which this u</w:t>
            </w:r>
            <w:r w:rsidRPr="00B321AA">
              <w:t>nit of competency is packaged will assist in identifying Employability Skill requirements.</w:t>
            </w:r>
          </w:p>
        </w:tc>
      </w:tr>
    </w:tbl>
    <w:p w:rsidR="00000000" w:rsidRPr="00B321AA" w:rsidP="00B321AA">
      <w:pPr>
        <w:pStyle w:val="BodyText"/>
      </w:pPr>
    </w:p>
    <w:p w:rsidR="00000000" w:rsidRPr="00B321AA" w:rsidP="00B321AA">
      <w:pPr>
        <w:pStyle w:val="AllowPageBreak"/>
      </w:pPr>
    </w:p>
    <w:p w:rsidR="00000000" w:rsidRPr="00B321AA" w:rsidP="00B321AA">
      <w:pPr>
        <w:pStyle w:val="Heading1"/>
      </w:pPr>
      <w:bookmarkStart w:id="7" w:name="O_461041"/>
      <w:bookmarkEnd w:id="7"/>
      <w:r w:rsidRPr="00B321AA">
        <w:t>Elements and Performance Criteria Pre-Content</w:t>
      </w:r>
    </w:p>
    <w:tbl>
      <w:tblPr>
        <w:tblW w:w="0" w:type="auto"/>
        <w:tblLayout w:type="fixed"/>
        <w:tblCellMar>
          <w:left w:w="62" w:type="dxa"/>
          <w:right w:w="62" w:type="dxa"/>
        </w:tblCellMar>
        <w:tblLook w:val="0000"/>
      </w:tblPr>
      <w:tblGrid>
        <w:gridCol w:w="2700"/>
        <w:gridCol w:w="5760"/>
      </w:tblGrid>
      <w:tr w:rsidTr="00A026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rPr>
                <w:rStyle w:val="SpecialBold"/>
              </w:rPr>
              <w:t>6)</w:t>
            </w:r>
            <w:r w:rsidRPr="00B321A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321AA" w:rsidP="00B321AA">
            <w:pPr>
              <w:pStyle w:val="BodyText"/>
            </w:pPr>
            <w:r w:rsidRPr="00B321AA">
              <w:t>Performance Criteria describe the required performance needed to demonstrate achievement of the element. Assessment of performance is to be consistent with the Evidence Guide.</w:t>
            </w:r>
          </w:p>
        </w:tc>
      </w:tr>
    </w:tbl>
    <w:p w:rsidR="00000000" w:rsidRPr="00B321AA" w:rsidP="00B321AA">
      <w:pPr>
        <w:pStyle w:val="BodyText"/>
      </w:pPr>
    </w:p>
    <w:p w:rsidR="00000000" w:rsidRPr="00B321AA" w:rsidP="00B321AA">
      <w:pPr>
        <w:pStyle w:val="AllowPageBreak"/>
      </w:pPr>
    </w:p>
    <w:p w:rsidR="00000000" w:rsidRPr="00B321AA" w:rsidP="00B321AA">
      <w:pPr>
        <w:pStyle w:val="Heading1"/>
      </w:pPr>
      <w:bookmarkStart w:id="8" w:name="O_461040"/>
      <w:bookmarkEnd w:id="8"/>
      <w:r w:rsidRPr="00B321AA">
        <w:t>Elements and Performance Criteria</w:t>
      </w:r>
    </w:p>
    <w:tbl>
      <w:tblPr>
        <w:tblW w:w="0" w:type="auto"/>
        <w:tblLayout w:type="fixed"/>
        <w:tblCellMar>
          <w:left w:w="62" w:type="dxa"/>
          <w:right w:w="62" w:type="dxa"/>
        </w:tblCellMar>
        <w:tblLook w:val="0000"/>
      </w:tblPr>
      <w:tblGrid>
        <w:gridCol w:w="409"/>
        <w:gridCol w:w="2291"/>
        <w:gridCol w:w="851"/>
        <w:gridCol w:w="4909"/>
      </w:tblGrid>
      <w:tr w:rsidTr="00A0269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321AA" w:rsidP="00B321AA">
            <w:pPr>
              <w:pStyle w:val="BodyText"/>
            </w:pPr>
            <w:r w:rsidRPr="00B321A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rPr>
                <w:rStyle w:val="SpecialBold"/>
              </w:rPr>
              <w:t>PERFORMANCE CRITER</w:t>
            </w:r>
            <w:r w:rsidRPr="00B321AA">
              <w:rPr>
                <w:rStyle w:val="SpecialBold"/>
              </w:rPr>
              <w:t>IA</w:t>
            </w:r>
          </w:p>
        </w:tc>
      </w:tr>
      <w:tr w:rsidTr="00A026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1</w:t>
            </w:r>
          </w:p>
        </w:tc>
        <w:tc>
          <w:tcPr>
            <w:tcW w:w="2291" w:type="dxa"/>
            <w:vMerge w:val="restart"/>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Prepare to visually inspect, verify and replace or repair overhead transmission installations</w:t>
            </w:r>
          </w:p>
        </w:tc>
        <w:tc>
          <w:tcPr>
            <w:tcW w:w="851"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1.1</w:t>
            </w:r>
          </w:p>
        </w:tc>
        <w:tc>
          <w:tcPr>
            <w:tcW w:w="4909"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 xml:space="preserve">Works schedule(s), including drawings, plans, requirements, established procedures, and material lists, are received, analysed and confirmed, </w:t>
            </w:r>
            <w:r w:rsidRPr="00B321AA">
              <w:t>if necessary, by site inspection.</w:t>
            </w:r>
          </w:p>
        </w:tc>
      </w:tr>
      <w:tr w:rsidTr="00A026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1.2</w:t>
            </w:r>
          </w:p>
        </w:tc>
        <w:tc>
          <w:tcPr>
            <w:tcW w:w="4909" w:type="dxa"/>
            <w:tcBorders>
              <w:top w:val="nil"/>
              <w:left w:val="nil"/>
              <w:bottom w:val="nil"/>
              <w:right w:val="nil"/>
            </w:tcBorders>
            <w:tcMar>
              <w:top w:w="0" w:type="dxa"/>
              <w:left w:w="62" w:type="dxa"/>
              <w:bottom w:w="0" w:type="dxa"/>
              <w:right w:w="62" w:type="dxa"/>
            </w:tcMar>
            <w:vAlign w:val="center"/>
          </w:tcPr>
          <w:p w:rsidR="00000000" w:rsidP="00B321AA">
            <w:pPr>
              <w:pStyle w:val="BodyText"/>
              <w:rPr>
                <w:lang w:val="en-NZ"/>
              </w:rPr>
            </w:pPr>
            <w:r w:rsidRPr="00B321AA">
              <w:t>Relevant requirements and established procedures for the work are communicated to all personnel and identified for all worksites</w:t>
            </w:r>
          </w:p>
        </w:tc>
      </w:tr>
      <w:tr w:rsidTr="00A026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1.3</w:t>
            </w:r>
          </w:p>
        </w:tc>
        <w:tc>
          <w:tcPr>
            <w:tcW w:w="4909" w:type="dxa"/>
            <w:tcBorders>
              <w:top w:val="nil"/>
              <w:left w:val="nil"/>
              <w:bottom w:val="nil"/>
              <w:right w:val="nil"/>
            </w:tcBorders>
            <w:tcMar>
              <w:top w:w="0" w:type="dxa"/>
              <w:left w:w="62" w:type="dxa"/>
              <w:bottom w:w="0" w:type="dxa"/>
              <w:right w:w="62" w:type="dxa"/>
            </w:tcMar>
            <w:vAlign w:val="center"/>
          </w:tcPr>
          <w:p w:rsidR="00000000" w:rsidP="00B321AA">
            <w:pPr>
              <w:pStyle w:val="BodyText"/>
              <w:rPr>
                <w:lang w:val="en-NZ"/>
              </w:rPr>
            </w:pPr>
            <w:r w:rsidRPr="00B321AA">
              <w:t>OHS policies and procedures related to requirements and established procedures for accessing, transmission overhead installations are obtained and confirmed for the purposes of the work to be performed and communicated.</w:t>
            </w:r>
          </w:p>
        </w:tc>
      </w:tr>
      <w:tr w:rsidTr="00A026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1.4</w:t>
            </w:r>
          </w:p>
        </w:tc>
        <w:tc>
          <w:tcPr>
            <w:tcW w:w="4909" w:type="dxa"/>
            <w:tcBorders>
              <w:top w:val="nil"/>
              <w:left w:val="nil"/>
              <w:bottom w:val="nil"/>
              <w:right w:val="nil"/>
            </w:tcBorders>
            <w:tcMar>
              <w:top w:w="0" w:type="dxa"/>
              <w:left w:w="62" w:type="dxa"/>
              <w:bottom w:w="0" w:type="dxa"/>
              <w:right w:w="62" w:type="dxa"/>
            </w:tcMar>
            <w:vAlign w:val="center"/>
          </w:tcPr>
          <w:p w:rsidR="00000000" w:rsidP="00B321AA">
            <w:pPr>
              <w:pStyle w:val="BodyText"/>
              <w:rPr>
                <w:lang w:val="en-NZ"/>
              </w:rPr>
            </w:pPr>
            <w:r w:rsidRPr="00B321AA">
              <w:t>Work is prioritised and seque</w:t>
            </w:r>
            <w:r w:rsidRPr="00B321AA">
              <w:t>nced following consultation with others for completion within acceptable timeframes and in accordance with established procedures.</w:t>
            </w:r>
          </w:p>
        </w:tc>
      </w:tr>
      <w:tr w:rsidTr="00A026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1.5</w:t>
            </w:r>
          </w:p>
        </w:tc>
        <w:tc>
          <w:tcPr>
            <w:tcW w:w="4909" w:type="dxa"/>
            <w:tcBorders>
              <w:top w:val="nil"/>
              <w:left w:val="nil"/>
              <w:bottom w:val="nil"/>
              <w:right w:val="nil"/>
            </w:tcBorders>
            <w:tcMar>
              <w:top w:w="0" w:type="dxa"/>
              <w:left w:w="62" w:type="dxa"/>
              <w:bottom w:w="0" w:type="dxa"/>
              <w:right w:w="62" w:type="dxa"/>
            </w:tcMar>
            <w:vAlign w:val="center"/>
          </w:tcPr>
          <w:p w:rsidR="00000000" w:rsidP="00B321AA">
            <w:pPr>
              <w:pStyle w:val="BodyText"/>
              <w:rPr>
                <w:lang w:val="en-NZ"/>
              </w:rPr>
            </w:pPr>
            <w:r w:rsidRPr="00B321AA">
              <w:t>Hazards are identified, OHS risks assessed and control measures are prioritised, implemented and monitored including e</w:t>
            </w:r>
            <w:r w:rsidRPr="00B321AA">
              <w:t>mergency exits kept clear according to established procedures</w:t>
            </w:r>
          </w:p>
        </w:tc>
      </w:tr>
      <w:tr w:rsidTr="00A026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1.6</w:t>
            </w:r>
          </w:p>
        </w:tc>
        <w:tc>
          <w:tcPr>
            <w:tcW w:w="4909" w:type="dxa"/>
            <w:tcBorders>
              <w:top w:val="nil"/>
              <w:left w:val="nil"/>
              <w:bottom w:val="nil"/>
              <w:right w:val="nil"/>
            </w:tcBorders>
            <w:tcMar>
              <w:top w:w="0" w:type="dxa"/>
              <w:left w:w="62" w:type="dxa"/>
              <w:bottom w:w="0" w:type="dxa"/>
              <w:right w:w="62" w:type="dxa"/>
            </w:tcMar>
            <w:vAlign w:val="center"/>
          </w:tcPr>
          <w:p w:rsidR="00000000" w:rsidP="00B321AA">
            <w:pPr>
              <w:pStyle w:val="BodyText"/>
              <w:rPr>
                <w:lang w:val="en-NZ"/>
              </w:rPr>
            </w:pPr>
            <w:r w:rsidRPr="00B321AA">
              <w:t>Relevant work permits are obtained to access and perform work according to requirements and/or established procedures.</w:t>
            </w:r>
          </w:p>
        </w:tc>
      </w:tr>
      <w:tr w:rsidTr="00A026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1.7</w:t>
            </w:r>
          </w:p>
        </w:tc>
        <w:tc>
          <w:tcPr>
            <w:tcW w:w="4909" w:type="dxa"/>
            <w:tcBorders>
              <w:top w:val="nil"/>
              <w:left w:val="nil"/>
              <w:bottom w:val="nil"/>
              <w:right w:val="nil"/>
            </w:tcBorders>
            <w:tcMar>
              <w:top w:w="0" w:type="dxa"/>
              <w:left w:w="62" w:type="dxa"/>
              <w:bottom w:w="0" w:type="dxa"/>
              <w:right w:w="62" w:type="dxa"/>
            </w:tcMar>
            <w:vAlign w:val="center"/>
          </w:tcPr>
          <w:p w:rsidR="00000000" w:rsidP="00B321AA">
            <w:pPr>
              <w:pStyle w:val="BodyText"/>
              <w:rPr>
                <w:lang w:val="en-NZ"/>
              </w:rPr>
            </w:pPr>
            <w:r w:rsidRPr="00B321AA">
              <w:t>Resources including personnel, equipment, tools and personal protective equipment required for the job are obtained and confirmed in working order.</w:t>
            </w:r>
          </w:p>
        </w:tc>
      </w:tr>
      <w:tr w:rsidTr="00A026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1.8</w:t>
            </w:r>
          </w:p>
        </w:tc>
        <w:tc>
          <w:tcPr>
            <w:tcW w:w="4909" w:type="dxa"/>
            <w:tcBorders>
              <w:top w:val="nil"/>
              <w:left w:val="nil"/>
              <w:bottom w:val="nil"/>
              <w:right w:val="nil"/>
            </w:tcBorders>
            <w:tcMar>
              <w:top w:w="0" w:type="dxa"/>
              <w:left w:w="62" w:type="dxa"/>
              <w:bottom w:w="0" w:type="dxa"/>
              <w:right w:w="62" w:type="dxa"/>
            </w:tcMar>
            <w:vAlign w:val="center"/>
          </w:tcPr>
          <w:p w:rsidR="00000000" w:rsidP="00B321AA">
            <w:pPr>
              <w:pStyle w:val="BodyText"/>
              <w:rPr>
                <w:lang w:val="en-NZ"/>
              </w:rPr>
            </w:pPr>
            <w:r w:rsidRPr="00B321AA">
              <w:t>Relevant personnel at worksite are confirmed current in First Aid, Tower/Pole Top Rescue and other re</w:t>
            </w:r>
            <w:r w:rsidRPr="00B321AA">
              <w:t>lated work procedures according to requirements.</w:t>
            </w:r>
          </w:p>
        </w:tc>
      </w:tr>
      <w:tr w:rsidTr="00A026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1.9</w:t>
            </w:r>
          </w:p>
        </w:tc>
        <w:tc>
          <w:tcPr>
            <w:tcW w:w="4909" w:type="dxa"/>
            <w:tcBorders>
              <w:top w:val="nil"/>
              <w:left w:val="nil"/>
              <w:bottom w:val="nil"/>
              <w:right w:val="nil"/>
            </w:tcBorders>
            <w:tcMar>
              <w:top w:w="0" w:type="dxa"/>
              <w:left w:w="62" w:type="dxa"/>
              <w:bottom w:w="0" w:type="dxa"/>
              <w:right w:w="62" w:type="dxa"/>
            </w:tcMar>
            <w:vAlign w:val="center"/>
          </w:tcPr>
          <w:p w:rsidR="00000000" w:rsidP="00B321AA">
            <w:pPr>
              <w:pStyle w:val="BodyText"/>
              <w:rPr>
                <w:lang w:val="en-NZ"/>
              </w:rPr>
            </w:pPr>
            <w:r w:rsidRPr="00B321AA">
              <w:t>Liaison and communication issues with other/authorised personnel, authorities, clients and land owners are resolved to carry out work where necessary.</w:t>
            </w:r>
          </w:p>
        </w:tc>
      </w:tr>
      <w:tr w:rsidTr="00A026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1.10</w:t>
            </w:r>
          </w:p>
        </w:tc>
        <w:tc>
          <w:tcPr>
            <w:tcW w:w="4909" w:type="dxa"/>
            <w:tcBorders>
              <w:top w:val="nil"/>
              <w:left w:val="nil"/>
              <w:bottom w:val="nil"/>
              <w:right w:val="nil"/>
            </w:tcBorders>
            <w:tcMar>
              <w:top w:w="0" w:type="dxa"/>
              <w:left w:w="62" w:type="dxa"/>
              <w:bottom w:w="0" w:type="dxa"/>
              <w:right w:w="62" w:type="dxa"/>
            </w:tcMar>
            <w:vAlign w:val="center"/>
          </w:tcPr>
          <w:p w:rsidR="00000000" w:rsidP="00B321AA">
            <w:pPr>
              <w:pStyle w:val="BodyText"/>
              <w:rPr>
                <w:lang w:val="en-NZ"/>
              </w:rPr>
            </w:pPr>
            <w:r w:rsidRPr="00B321AA">
              <w:t>Site is prepared according to the work schedule and to minimise risk and damage to property, commerce, and individuals in accordance with established procedures.</w:t>
            </w:r>
          </w:p>
        </w:tc>
      </w:tr>
      <w:tr w:rsidTr="00A026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1.11</w:t>
            </w:r>
          </w:p>
        </w:tc>
        <w:tc>
          <w:tcPr>
            <w:tcW w:w="4909" w:type="dxa"/>
            <w:tcBorders>
              <w:top w:val="nil"/>
              <w:left w:val="nil"/>
              <w:bottom w:val="nil"/>
              <w:right w:val="nil"/>
            </w:tcBorders>
            <w:tcMar>
              <w:top w:w="0" w:type="dxa"/>
              <w:left w:w="62" w:type="dxa"/>
              <w:bottom w:w="0" w:type="dxa"/>
              <w:right w:w="62" w:type="dxa"/>
            </w:tcMar>
            <w:vAlign w:val="center"/>
          </w:tcPr>
          <w:p w:rsidR="00000000" w:rsidP="00B321AA">
            <w:pPr>
              <w:pStyle w:val="BodyText"/>
              <w:rPr>
                <w:lang w:val="en-NZ"/>
              </w:rPr>
            </w:pPr>
            <w:r w:rsidRPr="00B321AA">
              <w:t>Personnel participating in the work, including plant operators and contractors, are fu</w:t>
            </w:r>
            <w:r w:rsidRPr="00B321AA">
              <w:t>lly briefed and respective responsibilities confirmed where applicable in accordance with established procedures</w:t>
            </w:r>
          </w:p>
        </w:tc>
      </w:tr>
      <w:tr w:rsidTr="00A026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1.12</w:t>
            </w:r>
          </w:p>
        </w:tc>
        <w:tc>
          <w:tcPr>
            <w:tcW w:w="4909" w:type="dxa"/>
            <w:tcBorders>
              <w:top w:val="nil"/>
              <w:left w:val="nil"/>
              <w:bottom w:val="nil"/>
              <w:right w:val="nil"/>
            </w:tcBorders>
            <w:tcMar>
              <w:top w:w="0" w:type="dxa"/>
              <w:left w:w="62" w:type="dxa"/>
              <w:bottom w:w="0" w:type="dxa"/>
              <w:right w:w="62" w:type="dxa"/>
            </w:tcMar>
            <w:vAlign w:val="center"/>
          </w:tcPr>
          <w:p w:rsidR="00000000" w:rsidP="00B321AA">
            <w:pPr>
              <w:pStyle w:val="BodyText"/>
              <w:rPr>
                <w:lang w:val="en-NZ"/>
              </w:rPr>
            </w:pPr>
            <w:r w:rsidRPr="00B321AA">
              <w:t>Road signs, barriers and warning devices are positioned in accordance with requirements.</w:t>
            </w:r>
          </w:p>
        </w:tc>
      </w:tr>
      <w:tr w:rsidTr="00A026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2</w:t>
            </w:r>
          </w:p>
        </w:tc>
        <w:tc>
          <w:tcPr>
            <w:tcW w:w="2291" w:type="dxa"/>
            <w:vMerge w:val="restart"/>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Carry out visual inspection verification an</w:t>
            </w:r>
            <w:r w:rsidRPr="00B321AA">
              <w:t>d replacement or repair of overhead transmission installations</w:t>
            </w:r>
          </w:p>
        </w:tc>
        <w:tc>
          <w:tcPr>
            <w:tcW w:w="851"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2.1</w:t>
            </w:r>
          </w:p>
        </w:tc>
        <w:tc>
          <w:tcPr>
            <w:tcW w:w="4909"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OHS and sustainable energy principles and practices to reduce the incidents of accidents and minimise waste are monitored and followed in accordance with requirements and/or established pro</w:t>
            </w:r>
            <w:r w:rsidRPr="00B321AA">
              <w:t>cedures.</w:t>
            </w:r>
          </w:p>
        </w:tc>
      </w:tr>
      <w:tr w:rsidTr="00A026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2.2</w:t>
            </w:r>
          </w:p>
        </w:tc>
        <w:tc>
          <w:tcPr>
            <w:tcW w:w="4909" w:type="dxa"/>
            <w:tcBorders>
              <w:top w:val="nil"/>
              <w:left w:val="nil"/>
              <w:bottom w:val="nil"/>
              <w:right w:val="nil"/>
            </w:tcBorders>
            <w:tcMar>
              <w:top w:w="0" w:type="dxa"/>
              <w:left w:w="62" w:type="dxa"/>
              <w:bottom w:w="0" w:type="dxa"/>
              <w:right w:w="62" w:type="dxa"/>
            </w:tcMar>
            <w:vAlign w:val="center"/>
          </w:tcPr>
          <w:p w:rsidR="00000000" w:rsidP="00B321AA">
            <w:pPr>
              <w:pStyle w:val="BodyText"/>
              <w:rPr>
                <w:lang w:val="en-NZ"/>
              </w:rPr>
            </w:pPr>
            <w:r w:rsidRPr="00B321AA">
              <w:t>Lifting, climbing, working aloft, use of power tools/equipment, techniques and practices are safely followed and, currency according to requirements confirmed.</w:t>
            </w:r>
          </w:p>
        </w:tc>
      </w:tr>
      <w:tr w:rsidTr="00A026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2.3</w:t>
            </w:r>
          </w:p>
        </w:tc>
        <w:tc>
          <w:tcPr>
            <w:tcW w:w="4909" w:type="dxa"/>
            <w:tcBorders>
              <w:top w:val="nil"/>
              <w:left w:val="nil"/>
              <w:bottom w:val="nil"/>
              <w:right w:val="nil"/>
            </w:tcBorders>
            <w:tcMar>
              <w:top w:w="0" w:type="dxa"/>
              <w:left w:w="62" w:type="dxa"/>
              <w:bottom w:w="0" w:type="dxa"/>
              <w:right w:w="62" w:type="dxa"/>
            </w:tcMar>
            <w:vAlign w:val="center"/>
          </w:tcPr>
          <w:p w:rsidR="00000000" w:rsidP="00B321AA">
            <w:pPr>
              <w:pStyle w:val="BodyText"/>
              <w:rPr>
                <w:lang w:val="en-NZ"/>
              </w:rPr>
            </w:pPr>
            <w:r w:rsidRPr="00B321AA">
              <w:t xml:space="preserve">Essential knowledge and associated skills are </w:t>
            </w:r>
            <w:r w:rsidRPr="00B321AA">
              <w:t>applied in the inspection, verification and safe of overhead transmission installations to ensure completion in an agreed timeframe and, to quality standards with a minimum of waste according to requirements.</w:t>
            </w:r>
          </w:p>
        </w:tc>
      </w:tr>
      <w:tr w:rsidTr="00A026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2.4</w:t>
            </w:r>
          </w:p>
        </w:tc>
        <w:tc>
          <w:tcPr>
            <w:tcW w:w="4909" w:type="dxa"/>
            <w:tcBorders>
              <w:top w:val="nil"/>
              <w:left w:val="nil"/>
              <w:bottom w:val="nil"/>
              <w:right w:val="nil"/>
            </w:tcBorders>
            <w:tcMar>
              <w:top w:w="0" w:type="dxa"/>
              <w:left w:w="62" w:type="dxa"/>
              <w:bottom w:w="0" w:type="dxa"/>
              <w:right w:w="62" w:type="dxa"/>
            </w:tcMar>
            <w:vAlign w:val="center"/>
          </w:tcPr>
          <w:p w:rsidR="00000000" w:rsidP="00B321AA">
            <w:pPr>
              <w:pStyle w:val="BodyText"/>
              <w:rPr>
                <w:lang w:val="en-NZ"/>
              </w:rPr>
            </w:pPr>
            <w:r w:rsidRPr="00B321AA">
              <w:t>Test/verify and confirm transmission overhead installations are de-energised and able to be earthed in strict accordance with established earthing procedures</w:t>
            </w:r>
          </w:p>
        </w:tc>
      </w:tr>
      <w:tr w:rsidTr="00A026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2.5</w:t>
            </w:r>
          </w:p>
        </w:tc>
        <w:tc>
          <w:tcPr>
            <w:tcW w:w="4909" w:type="dxa"/>
            <w:tcBorders>
              <w:top w:val="nil"/>
              <w:left w:val="nil"/>
              <w:bottom w:val="nil"/>
              <w:right w:val="nil"/>
            </w:tcBorders>
            <w:tcMar>
              <w:top w:w="0" w:type="dxa"/>
              <w:left w:w="62" w:type="dxa"/>
              <w:bottom w:w="0" w:type="dxa"/>
              <w:right w:w="62" w:type="dxa"/>
            </w:tcMar>
            <w:vAlign w:val="center"/>
          </w:tcPr>
          <w:p w:rsidR="00000000" w:rsidP="00B321AA">
            <w:pPr>
              <w:pStyle w:val="BodyText"/>
              <w:rPr>
                <w:lang w:val="en-NZ"/>
              </w:rPr>
            </w:pPr>
            <w:r w:rsidRPr="00B321AA">
              <w:t>Overhead transmission installations and associated hardware is visually inspected and confi</w:t>
            </w:r>
            <w:r w:rsidRPr="00B321AA">
              <w:t>rmed as positioned, secured and terminated/connected in accordance with requirements and established procedures.</w:t>
            </w:r>
          </w:p>
        </w:tc>
      </w:tr>
      <w:tr w:rsidTr="00A026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2.6</w:t>
            </w:r>
          </w:p>
        </w:tc>
        <w:tc>
          <w:tcPr>
            <w:tcW w:w="4909" w:type="dxa"/>
            <w:tcBorders>
              <w:top w:val="nil"/>
              <w:left w:val="nil"/>
              <w:bottom w:val="nil"/>
              <w:right w:val="nil"/>
            </w:tcBorders>
            <w:tcMar>
              <w:top w:w="0" w:type="dxa"/>
              <w:left w:w="62" w:type="dxa"/>
              <w:bottom w:w="0" w:type="dxa"/>
              <w:right w:w="62" w:type="dxa"/>
            </w:tcMar>
            <w:vAlign w:val="center"/>
          </w:tcPr>
          <w:p w:rsidR="00000000" w:rsidP="00B321AA">
            <w:pPr>
              <w:pStyle w:val="BodyText"/>
              <w:rPr>
                <w:lang w:val="en-NZ"/>
              </w:rPr>
            </w:pPr>
            <w:r w:rsidRPr="00B321AA">
              <w:t>Overhead transmission installations are checked for suitability and conformance with organisational construction standards and electrica</w:t>
            </w:r>
            <w:r w:rsidRPr="00B321AA">
              <w:t>l network supply standards</w:t>
            </w:r>
          </w:p>
        </w:tc>
      </w:tr>
      <w:tr w:rsidTr="00A026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2.7</w:t>
            </w:r>
          </w:p>
        </w:tc>
        <w:tc>
          <w:tcPr>
            <w:tcW w:w="4909"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Hazard warnings and safety signs are recognised and hazards and assessed OHS risks are reported to the immediate authorised persons for directions according to established procedures.</w:t>
            </w:r>
          </w:p>
        </w:tc>
      </w:tr>
      <w:tr w:rsidTr="00A026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2.8</w:t>
            </w:r>
          </w:p>
        </w:tc>
        <w:tc>
          <w:tcPr>
            <w:tcW w:w="4909" w:type="dxa"/>
            <w:tcBorders>
              <w:top w:val="nil"/>
              <w:left w:val="nil"/>
              <w:bottom w:val="nil"/>
              <w:right w:val="nil"/>
            </w:tcBorders>
            <w:tcMar>
              <w:top w:w="0" w:type="dxa"/>
              <w:left w:w="62" w:type="dxa"/>
              <w:bottom w:w="0" w:type="dxa"/>
              <w:right w:w="62" w:type="dxa"/>
            </w:tcMar>
            <w:vAlign w:val="center"/>
          </w:tcPr>
          <w:p w:rsidR="00000000" w:rsidP="00B321AA">
            <w:pPr>
              <w:pStyle w:val="BodyText"/>
              <w:rPr>
                <w:lang w:val="en-NZ"/>
              </w:rPr>
            </w:pPr>
            <w:r w:rsidRPr="00B321AA">
              <w:t>Known solutions to a variety of problems are applied using acquired essential knowledge and associated skills.</w:t>
            </w:r>
          </w:p>
        </w:tc>
      </w:tr>
      <w:tr w:rsidTr="00A026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2.9</w:t>
            </w:r>
          </w:p>
        </w:tc>
        <w:tc>
          <w:tcPr>
            <w:tcW w:w="4909" w:type="dxa"/>
            <w:tcBorders>
              <w:top w:val="nil"/>
              <w:left w:val="nil"/>
              <w:bottom w:val="nil"/>
              <w:right w:val="nil"/>
            </w:tcBorders>
            <w:tcMar>
              <w:top w:w="0" w:type="dxa"/>
              <w:left w:w="62" w:type="dxa"/>
              <w:bottom w:w="0" w:type="dxa"/>
              <w:right w:w="62" w:type="dxa"/>
            </w:tcMar>
            <w:vAlign w:val="center"/>
          </w:tcPr>
          <w:p w:rsidR="00000000" w:rsidP="00B321AA">
            <w:pPr>
              <w:pStyle w:val="BodyText"/>
              <w:rPr>
                <w:lang w:val="en-NZ"/>
              </w:rPr>
            </w:pPr>
            <w:r w:rsidRPr="00B321AA">
              <w:t>Ongoing checks of quality of the work are undertaken in accordance with instructions and established procedures</w:t>
            </w:r>
          </w:p>
        </w:tc>
      </w:tr>
      <w:tr w:rsidTr="00A026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3</w:t>
            </w:r>
          </w:p>
        </w:tc>
        <w:tc>
          <w:tcPr>
            <w:tcW w:w="2291" w:type="dxa"/>
            <w:vMerge w:val="restart"/>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Complete the visual ins</w:t>
            </w:r>
            <w:r w:rsidRPr="00B321AA">
              <w:t>pection verification and replacement or repair of overhead transmission installations.</w:t>
            </w:r>
          </w:p>
        </w:tc>
        <w:tc>
          <w:tcPr>
            <w:tcW w:w="851"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3.1</w:t>
            </w:r>
          </w:p>
        </w:tc>
        <w:tc>
          <w:tcPr>
            <w:tcW w:w="4909"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OHS risk control work completion measures and procedures are followed.</w:t>
            </w:r>
          </w:p>
        </w:tc>
      </w:tr>
      <w:tr w:rsidTr="00A026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3.2</w:t>
            </w:r>
          </w:p>
        </w:tc>
        <w:tc>
          <w:tcPr>
            <w:tcW w:w="4909"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Work underta</w:t>
            </w:r>
            <w:r w:rsidRPr="00B321AA">
              <w:t>ken is checked against works schedule for conformance with requirements and anomalies corrected/reported in accordance with established procedures.</w:t>
            </w:r>
          </w:p>
        </w:tc>
      </w:tr>
      <w:tr w:rsidTr="00A026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3.3</w:t>
            </w:r>
          </w:p>
        </w:tc>
        <w:tc>
          <w:tcPr>
            <w:tcW w:w="4909"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 xml:space="preserve">Accidents and/or injuries are reported in accordance with requirements/established procedures, where </w:t>
            </w:r>
            <w:r w:rsidRPr="00B321AA">
              <w:t>applicable.</w:t>
            </w:r>
          </w:p>
        </w:tc>
      </w:tr>
      <w:tr w:rsidTr="00A026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3.4</w:t>
            </w:r>
          </w:p>
        </w:tc>
        <w:tc>
          <w:tcPr>
            <w:tcW w:w="4909"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Work site is rehabilitated, cleaned up and made safe in accordance with established procedures.</w:t>
            </w:r>
          </w:p>
        </w:tc>
      </w:tr>
      <w:tr w:rsidTr="00A026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3.5</w:t>
            </w:r>
          </w:p>
        </w:tc>
        <w:tc>
          <w:tcPr>
            <w:tcW w:w="4909"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Non-compliance defects are identified, corrected and/or reported in accordance with established procedures.</w:t>
            </w:r>
          </w:p>
        </w:tc>
      </w:tr>
      <w:tr w:rsidTr="00A026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3.6</w:t>
            </w:r>
          </w:p>
        </w:tc>
        <w:tc>
          <w:tcPr>
            <w:tcW w:w="4909"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Recommendations for rectifying defects are made in accordance with established procedures.</w:t>
            </w:r>
          </w:p>
        </w:tc>
      </w:tr>
      <w:tr w:rsidTr="00A026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3.7</w:t>
            </w:r>
          </w:p>
        </w:tc>
        <w:tc>
          <w:tcPr>
            <w:tcW w:w="4909"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Mandatory documentation is completed in accordance with established procedures.</w:t>
            </w:r>
          </w:p>
        </w:tc>
      </w:tr>
      <w:tr w:rsidTr="00A026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3.8</w:t>
            </w:r>
          </w:p>
        </w:tc>
        <w:tc>
          <w:tcPr>
            <w:tcW w:w="4909"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Tools, equipment and any surplus resources and materials are, where app</w:t>
            </w:r>
            <w:r w:rsidRPr="00B321AA">
              <w:t>ropriate, cleaned, checked and returned to storage in accordance with established procedures.</w:t>
            </w:r>
          </w:p>
        </w:tc>
      </w:tr>
      <w:tr w:rsidTr="00A026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3.9</w:t>
            </w:r>
          </w:p>
        </w:tc>
        <w:tc>
          <w:tcPr>
            <w:tcW w:w="4909"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Relevant work permit(s) are signed off and, electrical equipment (network infrastructure) are returned to service in accordance with requirements.</w:t>
            </w:r>
          </w:p>
        </w:tc>
      </w:tr>
      <w:tr w:rsidTr="00A026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t>3.10</w:t>
            </w:r>
          </w:p>
        </w:tc>
        <w:tc>
          <w:tcPr>
            <w:tcW w:w="4909" w:type="dxa"/>
            <w:tcBorders>
              <w:top w:val="nil"/>
              <w:left w:val="nil"/>
              <w:bottom w:val="nil"/>
              <w:right w:val="nil"/>
            </w:tcBorders>
            <w:tcMar>
              <w:top w:w="0" w:type="dxa"/>
              <w:left w:w="62" w:type="dxa"/>
              <w:bottom w:w="0" w:type="dxa"/>
              <w:right w:w="62" w:type="dxa"/>
            </w:tcMar>
          </w:tcPr>
          <w:p w:rsidR="00000000" w:rsidRPr="00B321AA" w:rsidP="00B321AA">
            <w:pPr>
              <w:pStyle w:val="BodyText"/>
            </w:pPr>
            <w:r w:rsidRPr="00B321AA">
              <w:t>Works completion records, reports, as installed /modified drawing and/or documentation and information are finalised and processed and appropriate personnel notified.</w:t>
            </w:r>
          </w:p>
        </w:tc>
      </w:tr>
    </w:tbl>
    <w:p w:rsidR="00000000" w:rsidRPr="00B321AA" w:rsidP="00B321AA">
      <w:pPr>
        <w:pStyle w:val="BodyText"/>
      </w:pPr>
    </w:p>
    <w:p w:rsidR="00000000" w:rsidRPr="00B321AA" w:rsidP="00B321AA">
      <w:pPr>
        <w:pStyle w:val="AllowPageBreak"/>
      </w:pPr>
    </w:p>
    <w:p w:rsidR="00000000" w:rsidRPr="00B321AA" w:rsidP="00B321AA">
      <w:pPr>
        <w:pStyle w:val="Heading1"/>
      </w:pPr>
      <w:bookmarkStart w:id="9" w:name="O_461048"/>
      <w:bookmarkEnd w:id="9"/>
      <w:r w:rsidRPr="00B321AA">
        <w:t>Required Skills and Knowledge</w:t>
      </w:r>
    </w:p>
    <w:tbl>
      <w:tblPr>
        <w:tblW w:w="0" w:type="auto"/>
        <w:tblLayout w:type="fixed"/>
        <w:tblCellMar>
          <w:left w:w="62" w:type="dxa"/>
          <w:right w:w="62" w:type="dxa"/>
        </w:tblCellMar>
        <w:tblLook w:val="0000"/>
      </w:tblPr>
      <w:tblGrid>
        <w:gridCol w:w="8460"/>
      </w:tblGrid>
      <w:tr w:rsidTr="00A0269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rPr>
                <w:rStyle w:val="SpecialBold"/>
              </w:rPr>
              <w:t>REQUIRED SKILLS AND KNOWLEDGE</w:t>
            </w:r>
          </w:p>
        </w:tc>
      </w:tr>
      <w:tr w:rsidTr="00A0269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321AA" w:rsidP="00B321AA">
            <w:pPr>
              <w:pStyle w:val="BodyText"/>
            </w:pPr>
            <w:r w:rsidRPr="00B321AA">
              <w:rPr>
                <w:rStyle w:val="SpecialBold"/>
              </w:rPr>
              <w:t>8)</w:t>
            </w:r>
            <w:r w:rsidRPr="00B321AA">
              <w:t xml:space="preserve"> Essent</w:t>
            </w:r>
            <w:r w:rsidRPr="00B321AA">
              <w:t>ial Knowledge and Associated Skills (EKAS): This describes the essential skills and knowledge and their level, required for this unit.</w:t>
            </w:r>
          </w:p>
          <w:p w:rsidR="00000000" w:rsidRPr="00B321AA" w:rsidP="00B321AA">
            <w:pPr>
              <w:pStyle w:val="BodyText"/>
            </w:pPr>
            <w:r w:rsidRPr="00B321AA">
              <w:t>Evidence shall show that knowledge has been acquired of inspecting overhead structures and electrical apparatus (poles /s</w:t>
            </w:r>
            <w:r w:rsidRPr="00B321AA">
              <w:t>tructures).</w:t>
            </w:r>
          </w:p>
          <w:p w:rsidR="00000000" w:rsidRPr="00B321AA" w:rsidP="00B321AA">
            <w:pPr>
              <w:pStyle w:val="BodyText"/>
            </w:pPr>
            <w:r w:rsidRPr="00B321AA">
              <w:t>All knowledge and skills detailed in this unit should be contextualised to current industry practices and technologies.</w:t>
            </w:r>
          </w:p>
          <w:p w:rsidR="00000000" w:rsidRPr="00B321AA" w:rsidP="00B321AA">
            <w:pPr>
              <w:pStyle w:val="BodyText"/>
            </w:pPr>
            <w:r w:rsidRPr="00B321AA">
              <w:t xml:space="preserve">KS01-TTP99A </w:t>
            </w:r>
            <w:r w:rsidRPr="00B321AA">
              <w:tab/>
              <w:t>Test and verify transmission overhead installations</w:t>
            </w:r>
          </w:p>
          <w:p w:rsidR="00000000" w:rsidRPr="00B321AA" w:rsidP="00B321AA">
            <w:pPr>
              <w:pStyle w:val="BodyText"/>
            </w:pPr>
            <w:r w:rsidRPr="00B321AA">
              <w:t>Evidence shall show an understanding of transmission overhead installations inspection and verification to an extent indicated by the following aspects:</w:t>
            </w:r>
          </w:p>
          <w:p w:rsidR="00000000" w:rsidRPr="00B321AA" w:rsidP="00B321AA">
            <w:pPr>
              <w:pStyle w:val="BodyText"/>
            </w:pPr>
            <w:r w:rsidRPr="00B321AA">
              <w:t>T1</w:t>
            </w:r>
            <w:r w:rsidRPr="00B321AA">
              <w:tab/>
              <w:t>Legislated regulations encompassing:</w:t>
            </w:r>
          </w:p>
          <w:p w:rsidR="00000000" w:rsidRPr="00B321AA" w:rsidP="00B321AA">
            <w:pPr>
              <w:pStyle w:val="ListBullet"/>
            </w:pPr>
            <w:r w:rsidRPr="00B321AA">
              <w:t>legislation and regulations that require installations and equ</w:t>
            </w:r>
            <w:r w:rsidRPr="00B321AA">
              <w:t>ipment to be inspected and tested to ensure they are safe.</w:t>
            </w:r>
          </w:p>
          <w:p w:rsidR="00000000" w:rsidRPr="00B321AA" w:rsidP="00B321AA">
            <w:pPr>
              <w:pStyle w:val="ListBullet"/>
            </w:pPr>
            <w:r w:rsidRPr="00B321AA">
              <w:t>the person/bodies responsible for the various aspects of ensuring transmission overhead installations are safe.</w:t>
            </w:r>
          </w:p>
          <w:p w:rsidR="00000000" w:rsidRPr="00B321AA" w:rsidP="00B321AA">
            <w:pPr>
              <w:pStyle w:val="ListBullet"/>
            </w:pPr>
            <w:r w:rsidRPr="00B321AA">
              <w:t>results of inspections and tests that show transmission overhead installation is safe</w:t>
            </w:r>
            <w:r w:rsidRPr="00B321AA">
              <w:t xml:space="preserve"> for connection to the supply.</w:t>
            </w:r>
          </w:p>
          <w:p w:rsidR="00000000" w:rsidRPr="00B321AA" w:rsidP="00B321AA">
            <w:pPr>
              <w:pStyle w:val="ListBullet"/>
            </w:pPr>
            <w:r w:rsidRPr="00B321AA">
              <w:t>results of periodic inspection and tests that show construction and installation of equipment is safe to use.</w:t>
            </w:r>
          </w:p>
          <w:p w:rsidR="00000000" w:rsidRPr="00B321AA" w:rsidP="00B321AA">
            <w:pPr>
              <w:pStyle w:val="ListBullet"/>
            </w:pPr>
            <w:r w:rsidRPr="00B321AA">
              <w:t>results of periodic inspection and tests that show the transmission overhead installations electrical equipment are</w:t>
            </w:r>
            <w:r w:rsidRPr="00B321AA">
              <w:t xml:space="preserve"> safe to use.</w:t>
            </w:r>
          </w:p>
          <w:p w:rsidR="00000000" w:rsidRPr="00B321AA" w:rsidP="00B321AA">
            <w:pPr>
              <w:pStyle w:val="BodyText"/>
            </w:pPr>
            <w:r w:rsidRPr="00B321AA">
              <w:t>T2</w:t>
            </w:r>
            <w:r w:rsidRPr="00B321AA">
              <w:tab/>
              <w:t>Testing installations encompassing:</w:t>
            </w:r>
          </w:p>
          <w:p w:rsidR="00000000" w:rsidRPr="00B321AA" w:rsidP="00B321AA">
            <w:pPr>
              <w:pStyle w:val="ListBullet"/>
            </w:pPr>
            <w:r w:rsidRPr="00B321AA">
              <w:t>Transmission system phasing is correct and conforms to network construction standards.</w:t>
            </w:r>
          </w:p>
          <w:p w:rsidR="00000000" w:rsidRPr="00B321AA" w:rsidP="00B321AA">
            <w:pPr>
              <w:pStyle w:val="ListBullet"/>
            </w:pPr>
            <w:r w:rsidRPr="00B321AA">
              <w:t>Electrical transmission network voltage levels comply with network supply standards.</w:t>
            </w:r>
          </w:p>
          <w:p w:rsidR="00000000" w:rsidRPr="00B321AA" w:rsidP="00B321AA">
            <w:pPr>
              <w:pStyle w:val="ListBullet"/>
            </w:pPr>
            <w:r w:rsidRPr="00B321AA">
              <w:t>Potential present upon transmi</w:t>
            </w:r>
            <w:r w:rsidRPr="00B321AA">
              <w:t>ssion network neutral conductors conforms network supply standards.</w:t>
            </w:r>
          </w:p>
          <w:p w:rsidR="00000000" w:rsidRPr="00B321AA" w:rsidP="00B321AA">
            <w:pPr>
              <w:pStyle w:val="ListBullet"/>
            </w:pPr>
            <w:r w:rsidRPr="00B321AA">
              <w:t>Insulation resistance is adequate</w:t>
            </w:r>
          </w:p>
          <w:p w:rsidR="00000000" w:rsidRPr="00B321AA" w:rsidP="00B321AA">
            <w:pPr>
              <w:pStyle w:val="ListBullet"/>
            </w:pPr>
            <w:r w:rsidRPr="00B321AA">
              <w:t>transmission earthing system components are verified as correctly installed</w:t>
            </w:r>
          </w:p>
          <w:p w:rsidR="00000000" w:rsidRPr="00B321AA" w:rsidP="00B321AA">
            <w:pPr>
              <w:pStyle w:val="BodyText"/>
            </w:pPr>
            <w:r w:rsidRPr="00B321AA">
              <w:t>T3</w:t>
            </w:r>
            <w:r w:rsidRPr="00B321AA">
              <w:tab/>
              <w:t>Documentation encompassing:</w:t>
            </w:r>
          </w:p>
          <w:p w:rsidR="00000000" w:rsidRPr="00B321AA" w:rsidP="00B321AA">
            <w:pPr>
              <w:pStyle w:val="ListBullet"/>
            </w:pPr>
            <w:r w:rsidRPr="00B321AA">
              <w:t xml:space="preserve">results of inspections and tests conducted on </w:t>
            </w:r>
            <w:r w:rsidRPr="00B321AA">
              <w:t>a transmission overhead installation are in accordance with work package requirements and ensure the transmission overhead installation is safe.</w:t>
            </w:r>
          </w:p>
          <w:p w:rsidR="00000000" w:rsidRPr="00B321AA" w:rsidP="00B321AA">
            <w:pPr>
              <w:pStyle w:val="ListBullet"/>
            </w:pPr>
            <w:r w:rsidRPr="00B321AA">
              <w:t xml:space="preserve">documents of periodic inspection and testing of transmission overhead installation and equipment in accordance </w:t>
            </w:r>
            <w:r w:rsidRPr="00B321AA">
              <w:t>with requirement.</w:t>
            </w:r>
          </w:p>
          <w:p w:rsidR="00000000" w:rsidRPr="00B321AA" w:rsidP="00B321AA">
            <w:pPr>
              <w:pStyle w:val="ListBullet"/>
            </w:pPr>
            <w:r w:rsidRPr="00B321AA">
              <w:t>Non-compliances and defects reported in accordance with established procedures</w:t>
            </w:r>
          </w:p>
        </w:tc>
      </w:tr>
    </w:tbl>
    <w:p w:rsidR="00000000" w:rsidRPr="00B321AA" w:rsidP="00B321AA">
      <w:pPr>
        <w:pStyle w:val="BodyText"/>
      </w:pPr>
    </w:p>
    <w:p w:rsidR="00000000" w:rsidRPr="00B321AA" w:rsidP="00B321AA">
      <w:pPr>
        <w:pStyle w:val="AllowPageBreak"/>
      </w:pPr>
    </w:p>
    <w:p w:rsidR="00000000" w:rsidRPr="00B321AA" w:rsidP="00B321AA">
      <w:pPr>
        <w:pStyle w:val="Heading1"/>
      </w:pPr>
      <w:bookmarkStart w:id="10" w:name="O_461043"/>
      <w:bookmarkEnd w:id="10"/>
      <w:r w:rsidRPr="00B321AA">
        <w:t>Evidence Guide</w:t>
      </w:r>
    </w:p>
    <w:tbl>
      <w:tblPr>
        <w:tblW w:w="0" w:type="auto"/>
        <w:tblLayout w:type="fixed"/>
        <w:tblCellMar>
          <w:left w:w="62" w:type="dxa"/>
          <w:right w:w="62" w:type="dxa"/>
        </w:tblCellMar>
        <w:tblLook w:val="0000"/>
      </w:tblPr>
      <w:tblGrid>
        <w:gridCol w:w="8460"/>
      </w:tblGrid>
      <w:tr w:rsidTr="00A0269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rPr>
                <w:rStyle w:val="SpecialBold"/>
              </w:rPr>
              <w:t>EVIDENCE GUIDE</w:t>
            </w:r>
          </w:p>
        </w:tc>
      </w:tr>
      <w:tr w:rsidTr="00A0269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321AA" w:rsidP="00B321AA">
            <w:pPr>
              <w:pStyle w:val="BodyText"/>
            </w:pPr>
            <w:r w:rsidRPr="00B321AA">
              <w:rPr>
                <w:rStyle w:val="SpecialBold"/>
              </w:rPr>
              <w:t>9)</w:t>
            </w:r>
            <w:r w:rsidRPr="00B321AA">
              <w:t xml:space="preserve"> This provides essential advice for assessment of the unit of competency and must be read in conjunction </w:t>
            </w:r>
            <w:r w:rsidRPr="00B321AA">
              <w:t>with the performance criteria and the range statement of the unit of competency and the Training Package Assessment Guidelines.</w:t>
            </w:r>
          </w:p>
          <w:p w:rsidR="00000000" w:rsidRPr="00B321AA" w:rsidP="00B321AA">
            <w:pPr>
              <w:pStyle w:val="BodyText"/>
            </w:pPr>
            <w:r w:rsidRPr="00B321AA">
              <w:t>The Evidence Guide forms an integral part of this Competency Standard Unit and shall be used in conjunction with all component p</w:t>
            </w:r>
            <w:r w:rsidRPr="00B321AA">
              <w:t>arts of this unit and, performed in accordance with the Assessment Guidelines of this Training Package.</w:t>
            </w:r>
          </w:p>
        </w:tc>
      </w:tr>
    </w:tbl>
    <w:p w:rsidR="00000000" w:rsidRPr="00B321AA" w:rsidP="00B321AA">
      <w:pPr>
        <w:pStyle w:val="BodyText"/>
      </w:pPr>
    </w:p>
    <w:tbl>
      <w:tblPr>
        <w:tblW w:w="0" w:type="auto"/>
        <w:tblLayout w:type="fixed"/>
        <w:tblCellMar>
          <w:left w:w="62" w:type="dxa"/>
          <w:right w:w="62" w:type="dxa"/>
        </w:tblCellMar>
        <w:tblLook w:val="0000"/>
      </w:tblPr>
      <w:tblGrid>
        <w:gridCol w:w="1890"/>
        <w:gridCol w:w="6570"/>
      </w:tblGrid>
      <w:tr w:rsidTr="00A026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321AA" w:rsidP="00B321AA">
            <w:pPr>
              <w:pStyle w:val="BodyText"/>
            </w:pPr>
            <w:r w:rsidRPr="00B321A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rPr>
                <w:rStyle w:val="SpecialBold"/>
              </w:rPr>
              <w:t>9.1)</w:t>
            </w:r>
          </w:p>
        </w:tc>
      </w:tr>
      <w:tr w:rsidTr="00A026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321AA" w:rsidP="00B321AA">
            <w:pPr>
              <w:pStyle w:val="BodyText"/>
            </w:pPr>
            <w:r w:rsidRPr="00B321AA">
              <w:t>Longitudinal competency development approaches to assessment, such as Profiling, require data to be reliably gathered in a form that can be consistently interpreted over time. This approach is best utilised in Apprenticeship programs and reduces assessment</w:t>
            </w:r>
            <w:r w:rsidRPr="00B321AA">
              <w:t xml:space="preserve"> intervention. It is the Industry’s preferred model for apprenticeships.</w:t>
            </w:r>
          </w:p>
          <w:p w:rsidR="00000000" w:rsidRPr="00B321AA" w:rsidP="00B321AA">
            <w:pPr>
              <w:pStyle w:val="BodyText"/>
            </w:pPr>
            <w:r w:rsidRPr="00B321AA">
              <w:t>However, where summative (or final) assessment is used it is to include the application of the competency in the normal work environment or, at a minimum, the application of the compe</w:t>
            </w:r>
            <w:r w:rsidRPr="00B321AA">
              <w:t>tency in a realistically simulated work environment. It is recognised that, in some circumstances, assessment in part or full can occur outside the workplace. However, it must be in accord with Industry and, Regulatory policy in this regard.</w:t>
            </w:r>
          </w:p>
          <w:p w:rsidR="00000000" w:rsidRPr="00B321AA" w:rsidP="00B321AA">
            <w:pPr>
              <w:pStyle w:val="BodyText"/>
            </w:pPr>
            <w:r w:rsidRPr="00B321AA">
              <w:t>Methods chosen</w:t>
            </w:r>
            <w:r w:rsidRPr="00B321AA">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B321AA">
              <w:t>equired and the critical nature of the competencies being assessed.</w:t>
            </w:r>
          </w:p>
          <w:p w:rsidR="00000000" w:rsidRPr="00B321AA" w:rsidP="00B321AA">
            <w:pPr>
              <w:pStyle w:val="BodyText"/>
            </w:pPr>
            <w:r w:rsidRPr="00B321AA">
              <w:t>The critical safety nature of working with electricity, electrical equipment, gas or any other hazardous substance/material carries risk in deeming a person competent. Hence, sources of ev</w:t>
            </w:r>
            <w:r w:rsidRPr="00B321AA">
              <w:t>idence need to be ‘rich’ in nature so as to minimise error in judgment.</w:t>
            </w:r>
          </w:p>
          <w:p w:rsidR="00000000" w:rsidRPr="00B321AA" w:rsidP="00B321AA">
            <w:pPr>
              <w:pStyle w:val="BodyText"/>
            </w:pPr>
            <w:r w:rsidRPr="00B321AA">
              <w:t>Activities associated with normal every day work have a bearing on the decision as to how much and how detailed the data gathered will contribute to its ‘richness’. Some skills are mor</w:t>
            </w:r>
            <w:r w:rsidRPr="00B321AA">
              <w:t>e critical to safety and operational requirements while the same skills may be more or less frequently practiced. These points are raised for the assessors to consider when choosing an assessment method and developing assessment instruments. Sample assessm</w:t>
            </w:r>
            <w:r w:rsidRPr="00B321AA">
              <w:t>ent instruments are included for Assessors in the Assessment Guidelines of this Training Package.</w:t>
            </w:r>
          </w:p>
        </w:tc>
      </w:tr>
    </w:tbl>
    <w:p w:rsidR="00000000" w:rsidRPr="00B321AA" w:rsidP="00B321AA">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A026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321AA" w:rsidP="00B321AA">
            <w:pPr>
              <w:pStyle w:val="BodyText"/>
            </w:pPr>
            <w:r w:rsidRPr="00B321AA">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rPr>
                <w:rStyle w:val="SpecialBold"/>
              </w:rPr>
              <w:t>9.2)</w:t>
            </w:r>
          </w:p>
        </w:tc>
      </w:tr>
      <w:tr w:rsidTr="00A026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B321AA" w:rsidP="00B321AA">
            <w:pPr>
              <w:pStyle w:val="BodyText"/>
            </w:pPr>
            <w:r w:rsidRPr="00B321AA">
              <w:t>Before the critical aspects of evidence are considered all prerequisites shall be met.</w:t>
            </w:r>
          </w:p>
          <w:p w:rsidR="00000000" w:rsidRPr="00B321AA" w:rsidP="00B321AA">
            <w:pPr>
              <w:pStyle w:val="BodyText"/>
            </w:pPr>
            <w:r w:rsidRPr="00B321AA">
              <w:t>Evidence for competence in this unit shall be considered holistically. Each element and associated performance criteria shall be demonstrated on at least two occasions i</w:t>
            </w:r>
            <w:r w:rsidRPr="00B321AA">
              <w:t>n accordance with the “Assessment Guidelines – UET12”. Evidence shall also comprise:</w:t>
            </w:r>
          </w:p>
          <w:p w:rsidR="00000000" w:rsidRPr="00B321AA" w:rsidP="00B321AA">
            <w:pPr>
              <w:pStyle w:val="ListBullet"/>
            </w:pPr>
            <w:r w:rsidRPr="00B321AA">
              <w:t>A representative body of performance criteria demonstrated within the timeframes typically expected of the discipline, work function and industrial environment. In partic</w:t>
            </w:r>
            <w:r w:rsidRPr="00B321AA">
              <w:t>ular this shall incorporate evidence that shows a candidate is able to:</w:t>
            </w:r>
          </w:p>
          <w:p w:rsidR="00000000" w:rsidRPr="00B321AA" w:rsidP="00B321AA">
            <w:pPr>
              <w:pStyle w:val="ListBullet2"/>
            </w:pPr>
            <w:r w:rsidRPr="00B321AA">
              <w:t>Implement Occupational Health and Safety workplace procedures and practices including the use of risk control measures as specified in the performance criteria and range; and</w:t>
            </w:r>
          </w:p>
          <w:p w:rsidR="00000000" w:rsidRPr="00B321AA" w:rsidP="00B321AA">
            <w:pPr>
              <w:pStyle w:val="ListBullet2"/>
            </w:pPr>
            <w:r w:rsidRPr="00B321AA">
              <w:t>Apply su</w:t>
            </w:r>
            <w:r w:rsidRPr="00B321AA">
              <w:t>stainable energy principles and practices as specified in the performance criteria and range; and</w:t>
            </w:r>
          </w:p>
          <w:p w:rsidR="00000000" w:rsidRPr="00B321AA" w:rsidP="00B321AA">
            <w:pPr>
              <w:pStyle w:val="ListBullet2"/>
            </w:pPr>
            <w:r w:rsidRPr="00B321AA">
              <w:t>Demonstrate an understanding of the essential knowledge and associated skills as described in this unit to such an extent that the learner’s performance outco</w:t>
            </w:r>
            <w:r w:rsidRPr="00B321AA">
              <w:t>me is reported in accordance with the preferred approach; namely a percentile graded result, where required by the regulated environment; and</w:t>
            </w:r>
          </w:p>
          <w:p w:rsidR="00000000" w:rsidRPr="00B321AA" w:rsidP="00B321AA">
            <w:pPr>
              <w:pStyle w:val="ListBullet2"/>
            </w:pPr>
            <w:r w:rsidRPr="00B321AA">
              <w:t>Demonstrate an appropriate level of employability skills; and</w:t>
            </w:r>
          </w:p>
          <w:p w:rsidR="00000000" w:rsidRPr="00B321AA" w:rsidP="00B321AA">
            <w:pPr>
              <w:pStyle w:val="ListBullet"/>
            </w:pPr>
            <w:r w:rsidRPr="00B321AA">
              <w:t>Conduct work observing the relevant Anti Discrimina</w:t>
            </w:r>
            <w:r w:rsidRPr="00B321AA">
              <w:t>tion legislation, regulations, policies and workplace procedures; and</w:t>
            </w:r>
          </w:p>
          <w:p w:rsidR="00000000" w:rsidP="00B321AA">
            <w:pPr>
              <w:pStyle w:val="ListBullet2"/>
              <w:rPr>
                <w:lang w:val="en-NZ"/>
              </w:rPr>
            </w:pPr>
            <w:r w:rsidRPr="00B321AA">
              <w:t>Demonstrated performance across a representative range of contexts from the prescribed items below:</w:t>
            </w:r>
          </w:p>
        </w:tc>
      </w:tr>
      <w:tr w:rsidTr="00A026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B321AA">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1AA">
            <w:pPr>
              <w:pStyle w:val="BodyText"/>
              <w:rPr>
                <w:lang w:val="en-NZ"/>
              </w:rPr>
            </w:pPr>
            <w:r w:rsidRPr="00B321AA">
              <w:rPr>
                <w:rStyle w:val="SpecialBold"/>
              </w:rPr>
              <w:t>Range of tools/equipment/materials/procedures/workplaces/other variables</w:t>
            </w:r>
          </w:p>
        </w:tc>
      </w:tr>
      <w:tr w:rsidTr="00A026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B321AA">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1AA" w:rsidP="00B321AA">
            <w:pPr>
              <w:pStyle w:val="BodyText"/>
            </w:pPr>
            <w:r w:rsidRPr="00B321AA">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1AA" w:rsidP="00B321AA">
            <w:pPr>
              <w:pStyle w:val="BodyText"/>
            </w:pPr>
            <w:r w:rsidRPr="00B321AA">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1AA">
            <w:pPr>
              <w:pStyle w:val="BodyText"/>
              <w:rPr>
                <w:lang w:val="en-NZ"/>
              </w:rPr>
            </w:pPr>
            <w:r w:rsidRPr="00B321AA">
              <w:rPr>
                <w:rStyle w:val="SpecialBold"/>
              </w:rPr>
              <w:t>Item List</w:t>
            </w:r>
          </w:p>
        </w:tc>
      </w:tr>
      <w:tr w:rsidTr="00A026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1AA">
            <w:pPr>
              <w:pStyle w:val="BodyText"/>
              <w:rPr>
                <w:lang w:val="en-NZ"/>
              </w:rPr>
            </w:pPr>
            <w:r w:rsidRPr="00B321AA">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321AA" w:rsidP="00B321AA">
            <w:pPr>
              <w:pStyle w:val="BodyText"/>
            </w:pPr>
            <w:r w:rsidRPr="00B321AA">
              <w:t>At least two of</w:t>
            </w:r>
          </w:p>
          <w:p w:rsidR="00000000" w:rsidP="00B321AA">
            <w:pPr>
              <w:pStyle w:val="BodyText"/>
              <w:rPr>
                <w:lang w:val="en-NZ"/>
              </w:rPr>
            </w:pPr>
            <w:r w:rsidRPr="00B321AA">
              <w:t>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321AA" w:rsidP="00B321AA">
            <w:pPr>
              <w:pStyle w:val="BodyText"/>
            </w:pPr>
            <w:r w:rsidRPr="00B321AA">
              <w:t>Visual*</w:t>
            </w:r>
          </w:p>
          <w:p w:rsidR="00000000" w:rsidRPr="00B321AA" w:rsidP="00B321AA">
            <w:pPr>
              <w:pStyle w:val="BodyText"/>
            </w:pPr>
            <w:r w:rsidRPr="00B321AA">
              <w:t>Infra-red camera</w:t>
            </w:r>
          </w:p>
          <w:p w:rsidR="00000000" w:rsidRPr="00B321AA" w:rsidP="00B321AA">
            <w:pPr>
              <w:pStyle w:val="BodyText"/>
            </w:pPr>
            <w:r w:rsidRPr="00B321AA">
              <w:t>X-Ray</w:t>
            </w:r>
          </w:p>
          <w:p w:rsidR="00000000" w:rsidRPr="00B321AA" w:rsidP="00B321AA">
            <w:pPr>
              <w:pStyle w:val="BodyText"/>
            </w:pPr>
            <w:r w:rsidRPr="00B321AA">
              <w:t>Camera</w:t>
            </w:r>
          </w:p>
          <w:p w:rsidR="00000000" w:rsidRPr="00B321AA" w:rsidP="00B321AA">
            <w:pPr>
              <w:pStyle w:val="BodyText"/>
            </w:pPr>
            <w:r w:rsidRPr="00B321AA">
              <w:t>Binoculars/telescope</w:t>
            </w:r>
          </w:p>
          <w:p w:rsidR="00000000" w:rsidP="00B321AA">
            <w:pPr>
              <w:pStyle w:val="BodyText"/>
              <w:rPr>
                <w:lang w:val="en-NZ"/>
              </w:rPr>
            </w:pPr>
            <w:r w:rsidRPr="00B321AA">
              <w:t>(* must do)</w:t>
            </w:r>
          </w:p>
        </w:tc>
      </w:tr>
      <w:tr w:rsidTr="00A026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1AA">
            <w:pPr>
              <w:pStyle w:val="BodyText"/>
              <w:rPr>
                <w:lang w:val="en-NZ"/>
              </w:rPr>
            </w:pPr>
            <w:r w:rsidRPr="00B321AA">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1AA">
            <w:pPr>
              <w:pStyle w:val="BodyText"/>
              <w:rPr>
                <w:lang w:val="en-NZ"/>
              </w:rPr>
            </w:pPr>
            <w:r w:rsidRPr="00B321AA">
              <w:t>Any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1AA" w:rsidP="00B321AA">
            <w:pPr>
              <w:pStyle w:val="BodyText"/>
            </w:pPr>
            <w:r w:rsidRPr="00B321AA">
              <w:t>Pyramid</w:t>
            </w:r>
          </w:p>
          <w:p w:rsidR="00000000" w:rsidRPr="00B321AA" w:rsidP="00B321AA">
            <w:pPr>
              <w:pStyle w:val="BodyText"/>
            </w:pPr>
            <w:r w:rsidRPr="00B321AA">
              <w:t>Delta pi</w:t>
            </w:r>
          </w:p>
          <w:p w:rsidR="00000000" w:rsidP="00B321AA">
            <w:pPr>
              <w:pStyle w:val="BodyText"/>
              <w:rPr>
                <w:lang w:val="en-NZ"/>
              </w:rPr>
            </w:pPr>
            <w:r w:rsidRPr="00B321AA">
              <w:t>Enterprise specific type</w:t>
            </w:r>
          </w:p>
        </w:tc>
      </w:tr>
      <w:tr w:rsidTr="00A026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1AA">
            <w:pPr>
              <w:pStyle w:val="BodyText"/>
              <w:rPr>
                <w:lang w:val="en-NZ"/>
              </w:rPr>
            </w:pPr>
            <w:r w:rsidRPr="00B321AA">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1AA">
            <w:pPr>
              <w:pStyle w:val="BodyText"/>
              <w:rPr>
                <w:lang w:val="en-NZ"/>
              </w:rPr>
            </w:pPr>
            <w:r w:rsidRPr="00B321AA">
              <w:t>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1AA" w:rsidP="00B321AA">
            <w:pPr>
              <w:pStyle w:val="BodyText"/>
            </w:pPr>
            <w:r w:rsidRPr="00B321AA">
              <w:t>Insulators</w:t>
            </w:r>
          </w:p>
          <w:p w:rsidR="00000000" w:rsidRPr="00B321AA" w:rsidP="00B321AA">
            <w:pPr>
              <w:pStyle w:val="BodyText"/>
            </w:pPr>
            <w:r w:rsidRPr="00B321AA">
              <w:t>Clamps</w:t>
            </w:r>
          </w:p>
          <w:p w:rsidR="00000000" w:rsidRPr="00B321AA" w:rsidP="00B321AA">
            <w:pPr>
              <w:pStyle w:val="BodyText"/>
            </w:pPr>
            <w:r w:rsidRPr="00B321AA">
              <w:t>Bolts</w:t>
            </w:r>
          </w:p>
          <w:p w:rsidR="00000000" w:rsidRPr="00B321AA" w:rsidP="00B321AA">
            <w:pPr>
              <w:pStyle w:val="BodyText"/>
            </w:pPr>
            <w:r w:rsidRPr="00B321AA">
              <w:t xml:space="preserve">Conductor spacers </w:t>
            </w:r>
          </w:p>
          <w:p w:rsidR="00000000" w:rsidRPr="00B321AA" w:rsidP="00B321AA">
            <w:pPr>
              <w:pStyle w:val="BodyText"/>
            </w:pPr>
            <w:r w:rsidRPr="00B321AA">
              <w:t xml:space="preserve">Vibration dampers </w:t>
            </w:r>
          </w:p>
          <w:p w:rsidR="00000000" w:rsidP="00B321AA">
            <w:pPr>
              <w:pStyle w:val="BodyText"/>
              <w:rPr>
                <w:lang w:val="en-NZ"/>
              </w:rPr>
            </w:pPr>
            <w:r w:rsidRPr="00B321AA">
              <w:t>Structural components</w:t>
            </w:r>
          </w:p>
        </w:tc>
      </w:tr>
      <w:tr w:rsidTr="00A026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1AA">
            <w:pPr>
              <w:pStyle w:val="BodyText"/>
              <w:rPr>
                <w:lang w:val="en-NZ"/>
              </w:rPr>
            </w:pPr>
            <w:r w:rsidRPr="00B321AA">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1AA">
            <w:pPr>
              <w:pStyle w:val="BodyText"/>
              <w:rPr>
                <w:lang w:val="en-NZ"/>
              </w:rPr>
            </w:pPr>
            <w:r w:rsidRPr="00B321AA">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1AA" w:rsidP="00B321AA">
            <w:pPr>
              <w:pStyle w:val="BodyText"/>
            </w:pPr>
            <w:r w:rsidRPr="00B321AA">
              <w:t>Copper</w:t>
            </w:r>
          </w:p>
          <w:p w:rsidR="00000000" w:rsidRPr="00B321AA" w:rsidP="00B321AA">
            <w:pPr>
              <w:pStyle w:val="BodyText"/>
            </w:pPr>
            <w:r w:rsidRPr="00B321AA">
              <w:t>Aluminium</w:t>
            </w:r>
          </w:p>
          <w:p w:rsidR="00000000" w:rsidRPr="00B321AA" w:rsidP="00B321AA">
            <w:pPr>
              <w:pStyle w:val="BodyText"/>
            </w:pPr>
            <w:r w:rsidRPr="00B321AA">
              <w:t>Steel</w:t>
            </w:r>
          </w:p>
          <w:p w:rsidR="00000000" w:rsidP="00B321AA">
            <w:pPr>
              <w:pStyle w:val="BodyText"/>
              <w:rPr>
                <w:lang w:val="en-NZ"/>
              </w:rPr>
            </w:pPr>
            <w:r w:rsidRPr="00B321AA">
              <w:t>Aluminium/steel reinforced</w:t>
            </w:r>
          </w:p>
        </w:tc>
      </w:tr>
      <w:tr w:rsidTr="00A026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1AA">
            <w:pPr>
              <w:pStyle w:val="BodyText"/>
              <w:rPr>
                <w:lang w:val="en-NZ"/>
              </w:rPr>
            </w:pPr>
            <w:r w:rsidRPr="00B321AA">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1AA">
            <w:pPr>
              <w:pStyle w:val="BodyText"/>
              <w:rPr>
                <w:lang w:val="en-NZ"/>
              </w:rPr>
            </w:pPr>
            <w:r w:rsidRPr="00B321AA">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1AA" w:rsidP="00B321AA">
            <w:pPr>
              <w:pStyle w:val="BodyText"/>
            </w:pPr>
            <w:r w:rsidRPr="00B321AA">
              <w:t>Elevated work platform</w:t>
            </w:r>
          </w:p>
          <w:p w:rsidR="00000000" w:rsidRPr="00B321AA" w:rsidP="00B321AA">
            <w:pPr>
              <w:pStyle w:val="BodyText"/>
            </w:pPr>
            <w:r w:rsidRPr="00B321AA">
              <w:t>Portable platform</w:t>
            </w:r>
          </w:p>
          <w:p w:rsidR="00000000" w:rsidRPr="00B321AA" w:rsidP="00B321AA">
            <w:pPr>
              <w:pStyle w:val="BodyText"/>
            </w:pPr>
            <w:r w:rsidRPr="00B321AA">
              <w:t>Gondola</w:t>
            </w:r>
          </w:p>
          <w:p w:rsidR="00000000" w:rsidRPr="00B321AA" w:rsidP="00B321AA">
            <w:pPr>
              <w:pStyle w:val="BodyText"/>
            </w:pPr>
            <w:r w:rsidRPr="00B321AA">
              <w:t>Hook ladder*</w:t>
            </w:r>
          </w:p>
          <w:p w:rsidR="00000000" w:rsidRPr="00B321AA" w:rsidP="00B321AA">
            <w:pPr>
              <w:pStyle w:val="BodyText"/>
            </w:pPr>
            <w:r w:rsidRPr="00B321AA">
              <w:t>Elevated work box</w:t>
            </w:r>
          </w:p>
          <w:p w:rsidR="00000000" w:rsidP="00B321AA">
            <w:pPr>
              <w:pStyle w:val="BodyText"/>
              <w:rPr>
                <w:lang w:val="en-NZ"/>
              </w:rPr>
            </w:pPr>
            <w:r w:rsidRPr="00B321AA">
              <w:t>(*must do)</w:t>
            </w:r>
          </w:p>
        </w:tc>
      </w:tr>
      <w:tr w:rsidTr="00A026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1AA">
            <w:pPr>
              <w:pStyle w:val="BodyText"/>
              <w:rPr>
                <w:lang w:val="en-NZ"/>
              </w:rPr>
            </w:pPr>
            <w:r w:rsidRPr="00B321AA">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1AA">
            <w:pPr>
              <w:pStyle w:val="BodyText"/>
              <w:rPr>
                <w:lang w:val="en-NZ"/>
              </w:rPr>
            </w:pPr>
            <w:r w:rsidRPr="00B321AA">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1AA" w:rsidP="00B321AA">
            <w:pPr>
              <w:pStyle w:val="BodyText"/>
            </w:pPr>
            <w:r w:rsidRPr="00B321AA">
              <w:t>Voltage/ de-energised indicating device</w:t>
            </w:r>
          </w:p>
          <w:p w:rsidR="00000000" w:rsidP="00B321AA">
            <w:pPr>
              <w:pStyle w:val="BodyText"/>
              <w:rPr>
                <w:lang w:val="en-NZ"/>
              </w:rPr>
            </w:pPr>
            <w:r w:rsidRPr="00B321AA">
              <w:t>Earthing conductors</w:t>
            </w:r>
          </w:p>
        </w:tc>
      </w:tr>
      <w:tr w:rsidTr="00A026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1AA">
            <w:pPr>
              <w:pStyle w:val="BodyText"/>
              <w:rPr>
                <w:lang w:val="en-NZ"/>
              </w:rPr>
            </w:pPr>
            <w:r w:rsidRPr="00B321AA">
              <w:t>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1AA">
            <w:pPr>
              <w:pStyle w:val="BodyText"/>
              <w:rPr>
                <w:lang w:val="en-NZ"/>
              </w:rPr>
            </w:pPr>
            <w:r w:rsidRPr="00B321AA">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1AA" w:rsidP="00B321AA">
            <w:pPr>
              <w:pStyle w:val="BodyText"/>
            </w:pPr>
            <w:r w:rsidRPr="00B321AA">
              <w:t>Reporting procedures</w:t>
            </w:r>
          </w:p>
          <w:p w:rsidR="00000000" w:rsidRPr="00B321AA" w:rsidP="00B321AA">
            <w:pPr>
              <w:pStyle w:val="BodyText"/>
            </w:pPr>
            <w:r w:rsidRPr="00B321AA">
              <w:t>Reporting outcomes</w:t>
            </w:r>
          </w:p>
        </w:tc>
      </w:tr>
    </w:tbl>
    <w:p w:rsidR="00000000" w:rsidRPr="00B321AA" w:rsidP="00B321AA">
      <w:pPr>
        <w:pStyle w:val="BodyText"/>
      </w:pPr>
    </w:p>
    <w:tbl>
      <w:tblPr>
        <w:tblW w:w="0" w:type="auto"/>
        <w:tblLayout w:type="fixed"/>
        <w:tblCellMar>
          <w:left w:w="62" w:type="dxa"/>
          <w:right w:w="62" w:type="dxa"/>
        </w:tblCellMar>
        <w:tblLook w:val="0000"/>
      </w:tblPr>
      <w:tblGrid>
        <w:gridCol w:w="1890"/>
        <w:gridCol w:w="6570"/>
      </w:tblGrid>
      <w:tr w:rsidTr="00A0269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321AA" w:rsidP="00B321AA">
            <w:pPr>
              <w:pStyle w:val="BodyText"/>
            </w:pPr>
            <w:r w:rsidRPr="00B321A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rPr>
                <w:rStyle w:val="SpecialBold"/>
              </w:rPr>
              <w:t>9.3)</w:t>
            </w:r>
          </w:p>
        </w:tc>
      </w:tr>
      <w:tr w:rsidTr="00A0269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321AA" w:rsidP="00B321AA">
            <w:pPr>
              <w:pStyle w:val="BodyText"/>
            </w:pPr>
            <w:r w:rsidRPr="00B321AA">
              <w:t>This unit should be assessed as it relates to normal work practice using procedures, information and resources typical of a workplace. This should include:</w:t>
            </w:r>
          </w:p>
          <w:p w:rsidR="00000000" w:rsidRPr="00B321AA" w:rsidP="00B321AA">
            <w:pPr>
              <w:pStyle w:val="ListBullet"/>
            </w:pPr>
            <w:r w:rsidRPr="00B321AA">
              <w:t>OHS policy and work procedures and instructions.</w:t>
            </w:r>
          </w:p>
          <w:p w:rsidR="00000000" w:rsidRPr="00B321AA" w:rsidP="00B321AA">
            <w:pPr>
              <w:pStyle w:val="ListBullet"/>
            </w:pPr>
            <w:r w:rsidRPr="00B321AA">
              <w:t>Network constructions standards</w:t>
            </w:r>
          </w:p>
          <w:p w:rsidR="00000000" w:rsidRPr="00B321AA" w:rsidP="00B321AA">
            <w:pPr>
              <w:pStyle w:val="ListBullet"/>
            </w:pPr>
            <w:r w:rsidRPr="00B321AA">
              <w:t>Network supply standards</w:t>
            </w:r>
          </w:p>
          <w:p w:rsidR="00000000" w:rsidRPr="00B321AA" w:rsidP="00B321AA">
            <w:pPr>
              <w:pStyle w:val="ListBullet"/>
            </w:pPr>
            <w:r w:rsidRPr="00B321AA">
              <w:t>Suitable work environment, facilities, equipment and materials to undertake actual inspection of overhead structures and electrical apparatus.</w:t>
            </w:r>
          </w:p>
          <w:p w:rsidR="00000000" w:rsidRPr="00B321AA" w:rsidP="00B321AA">
            <w:pPr>
              <w:pStyle w:val="BodyText"/>
            </w:pPr>
            <w:r w:rsidRPr="00B321AA">
              <w:t>In addi</w:t>
            </w:r>
            <w:r w:rsidRPr="00B321AA">
              <w:t>tion to the resources listed above, in Context of and specific resources for assessment, evidence should show demonstrated competency working aloft (upon pole/structure or from EWP), below ground, in limited spaces, with different structural/construction t</w:t>
            </w:r>
            <w:r w:rsidRPr="00B321AA">
              <w:t xml:space="preserve">ypes and method and in a variety of environments. </w:t>
            </w:r>
          </w:p>
        </w:tc>
      </w:tr>
    </w:tbl>
    <w:p w:rsidR="00000000" w:rsidRPr="00B321AA" w:rsidP="00B321AA">
      <w:pPr>
        <w:pStyle w:val="BodyText"/>
      </w:pPr>
    </w:p>
    <w:tbl>
      <w:tblPr>
        <w:tblW w:w="0" w:type="auto"/>
        <w:tblLayout w:type="fixed"/>
        <w:tblCellMar>
          <w:left w:w="62" w:type="dxa"/>
          <w:right w:w="62" w:type="dxa"/>
        </w:tblCellMar>
        <w:tblLook w:val="0000"/>
      </w:tblPr>
      <w:tblGrid>
        <w:gridCol w:w="1890"/>
        <w:gridCol w:w="6570"/>
      </w:tblGrid>
      <w:tr w:rsidTr="00A026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321AA" w:rsidP="00B321AA">
            <w:pPr>
              <w:pStyle w:val="BodyText"/>
            </w:pPr>
            <w:r w:rsidRPr="00B321A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rPr>
                <w:rStyle w:val="SpecialBold"/>
              </w:rPr>
              <w:t>9.4)</w:t>
            </w:r>
          </w:p>
        </w:tc>
      </w:tr>
      <w:tr w:rsidTr="00A026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321AA" w:rsidP="00B321AA">
            <w:pPr>
              <w:pStyle w:val="BodyText"/>
            </w:pPr>
            <w:r w:rsidRPr="00B321AA">
              <w:t>This Competency Standard Unit shall be assessed by methods given in Volume 1, Part 3 “Assessment Guidelines”.</w:t>
            </w:r>
          </w:p>
          <w:p w:rsidR="00000000" w:rsidRPr="00B321AA" w:rsidP="00B321AA">
            <w:pPr>
              <w:pStyle w:val="BodyText"/>
            </w:pPr>
            <w:r w:rsidRPr="00B321AA">
              <w:t>Note:</w:t>
            </w:r>
          </w:p>
          <w:p w:rsidR="00000000" w:rsidRPr="00B321AA" w:rsidP="00B321AA">
            <w:pPr>
              <w:pStyle w:val="BodyText"/>
            </w:pPr>
            <w:r w:rsidRPr="00B321AA">
              <w:t>Competent performance with inherent safe working practices is expected in the Industry to which this Competency Standard Unit applies. This requires that the specified essential knowledge and associated skills are assessed in a structured environment which</w:t>
            </w:r>
            <w:r w:rsidRPr="00B321AA">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B321AA" w:rsidP="00B321AA">
      <w:pPr>
        <w:pStyle w:val="BodyText"/>
      </w:pPr>
    </w:p>
    <w:tbl>
      <w:tblPr>
        <w:tblW w:w="0" w:type="auto"/>
        <w:tblLayout w:type="fixed"/>
        <w:tblCellMar>
          <w:left w:w="62" w:type="dxa"/>
          <w:right w:w="62" w:type="dxa"/>
        </w:tblCellMar>
        <w:tblLook w:val="0000"/>
      </w:tblPr>
      <w:tblGrid>
        <w:gridCol w:w="1890"/>
        <w:gridCol w:w="6570"/>
      </w:tblGrid>
      <w:tr w:rsidTr="00A026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321AA" w:rsidP="00B321AA">
            <w:pPr>
              <w:pStyle w:val="BodyText"/>
            </w:pPr>
            <w:r w:rsidRPr="00B321AA">
              <w:rPr>
                <w:rStyle w:val="SpecialBold"/>
              </w:rPr>
              <w:t>Concurrent assessment and relationship wi</w:t>
            </w:r>
            <w:r w:rsidRPr="00B321AA">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rPr>
                <w:rStyle w:val="SpecialBold"/>
              </w:rPr>
              <w:t>9.5)</w:t>
            </w:r>
          </w:p>
        </w:tc>
      </w:tr>
      <w:tr w:rsidTr="00A026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321AA" w:rsidP="00B321AA">
            <w:pPr>
              <w:pStyle w:val="BodyText"/>
            </w:pPr>
            <w:r w:rsidRPr="00B321AA">
              <w:t>There are no concurrent assessment recommendations for this unit</w:t>
            </w:r>
          </w:p>
        </w:tc>
      </w:tr>
    </w:tbl>
    <w:p w:rsidR="00000000" w:rsidRPr="00B321AA" w:rsidP="00B321AA">
      <w:pPr>
        <w:pStyle w:val="BodyText"/>
      </w:pPr>
    </w:p>
    <w:p w:rsidR="00000000" w:rsidRPr="00B321AA" w:rsidP="00B321AA">
      <w:pPr>
        <w:pStyle w:val="AllowPageBreak"/>
      </w:pPr>
    </w:p>
    <w:p w:rsidR="00000000" w:rsidRPr="00B321AA" w:rsidP="00B321AA">
      <w:pPr>
        <w:pStyle w:val="Heading1"/>
      </w:pPr>
      <w:bookmarkStart w:id="11" w:name="O_461047"/>
      <w:bookmarkEnd w:id="11"/>
      <w:r w:rsidRPr="00B321AA">
        <w:t>Range Statement</w:t>
      </w:r>
    </w:p>
    <w:tbl>
      <w:tblPr>
        <w:tblW w:w="0" w:type="auto"/>
        <w:tblLayout w:type="fixed"/>
        <w:tblCellMar>
          <w:left w:w="62" w:type="dxa"/>
          <w:right w:w="62" w:type="dxa"/>
        </w:tblCellMar>
        <w:tblLook w:val="0000"/>
      </w:tblPr>
      <w:tblGrid>
        <w:gridCol w:w="8460"/>
      </w:tblGrid>
      <w:tr w:rsidTr="00A0269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rPr>
                <w:rStyle w:val="SpecialBold"/>
              </w:rPr>
              <w:t>RANGE STATEMENT</w:t>
            </w:r>
          </w:p>
        </w:tc>
      </w:tr>
      <w:tr w:rsidTr="00A0269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321AA" w:rsidP="00B321AA">
            <w:pPr>
              <w:pStyle w:val="BodyText"/>
            </w:pPr>
            <w:r w:rsidRPr="00B321AA">
              <w:rPr>
                <w:rStyle w:val="SpecialBold"/>
              </w:rPr>
              <w:t>10)</w:t>
            </w:r>
            <w:r w:rsidRPr="00B321AA">
              <w:t xml:space="preserve"> This relates to the unit of competency as a whole providing the range of contexts and conditions </w:t>
            </w:r>
            <w:r w:rsidRPr="00B321AA">
              <w:t>to which the performance criteria apply. It allows for different work environments and situations that will affect performance.</w:t>
            </w:r>
          </w:p>
          <w:p w:rsidR="00000000" w:rsidRPr="00B321AA" w:rsidP="00B321AA">
            <w:pPr>
              <w:pStyle w:val="BodyText"/>
            </w:pPr>
            <w:r w:rsidRPr="00B321AA">
              <w:t>This Competency Standard Unit shall be demonstrated in relation to the installation, inspection and maintenance of overhead tran</w:t>
            </w:r>
            <w:r w:rsidRPr="00B321AA">
              <w:t>smission installations and includes</w:t>
            </w:r>
          </w:p>
          <w:p w:rsidR="00000000" w:rsidRPr="00B321AA" w:rsidP="00B321AA">
            <w:pPr>
              <w:pStyle w:val="BodyText"/>
            </w:pPr>
            <w:r w:rsidRPr="00B321AA">
              <w:t>Transmission network installations and associated hardware which may include relevant transmission line/network high voltage overhead; conductors, groundwires, insulators, structural members, structural hardware, vibrati</w:t>
            </w:r>
            <w:r w:rsidRPr="00B321AA">
              <w:t>on dampers, conductor spacers, conductor repair, performed patch rods</w:t>
            </w:r>
          </w:p>
          <w:p w:rsidR="00000000" w:rsidRPr="00B321AA" w:rsidP="00B321AA">
            <w:pPr>
              <w:pStyle w:val="BodyText"/>
            </w:pPr>
            <w:r w:rsidRPr="00B321AA">
              <w:t xml:space="preserve">The following constants and variables included in the element/Performance Criteria in this unit are fully described in the Definitions Section 1 of this volume and form an integral part </w:t>
            </w:r>
            <w:r w:rsidRPr="00B321AA">
              <w:t>of the</w:t>
            </w:r>
          </w:p>
          <w:p w:rsidR="00000000" w:rsidRPr="00B321AA" w:rsidP="00B321AA">
            <w:pPr>
              <w:pStyle w:val="BodyText"/>
            </w:pPr>
            <w:r w:rsidRPr="00B321AA">
              <w:t>Range Statement of this unit:</w:t>
            </w:r>
          </w:p>
          <w:p w:rsidR="00000000" w:rsidRPr="00B321AA" w:rsidP="00B321AA">
            <w:pPr>
              <w:pStyle w:val="ListBullet3"/>
            </w:pPr>
            <w:r w:rsidRPr="00B321AA">
              <w:t>Appropriate and relevant persons (see Personnel)</w:t>
            </w:r>
          </w:p>
          <w:p w:rsidR="00000000" w:rsidRPr="00B321AA" w:rsidP="00B321AA">
            <w:pPr>
              <w:pStyle w:val="ListBullet3"/>
            </w:pPr>
            <w:r w:rsidRPr="00B321AA">
              <w:t>Appropriate authorities</w:t>
            </w:r>
          </w:p>
          <w:p w:rsidR="00000000" w:rsidRPr="00B321AA" w:rsidP="00B321AA">
            <w:pPr>
              <w:pStyle w:val="ListBullet3"/>
            </w:pPr>
            <w:r w:rsidRPr="00B321AA">
              <w:t>Appropriate work platform</w:t>
            </w:r>
          </w:p>
          <w:p w:rsidR="00000000" w:rsidRPr="00B321AA" w:rsidP="00B321AA">
            <w:pPr>
              <w:pStyle w:val="ListBullet3"/>
            </w:pPr>
            <w:r w:rsidRPr="00B321AA">
              <w:t>Assessing risk</w:t>
            </w:r>
          </w:p>
          <w:p w:rsidR="00000000" w:rsidRPr="00B321AA" w:rsidP="00B321AA">
            <w:pPr>
              <w:pStyle w:val="ListBullet3"/>
            </w:pPr>
            <w:r w:rsidRPr="00B321AA">
              <w:t>Authorisation</w:t>
            </w:r>
          </w:p>
          <w:p w:rsidR="00000000" w:rsidRPr="00B321AA" w:rsidP="00B321AA">
            <w:pPr>
              <w:pStyle w:val="ListBullet3"/>
            </w:pPr>
            <w:r w:rsidRPr="00B321AA">
              <w:t>Confined space</w:t>
            </w:r>
          </w:p>
          <w:p w:rsidR="00000000" w:rsidRPr="00B321AA" w:rsidP="00B321AA">
            <w:pPr>
              <w:pStyle w:val="ListBullet3"/>
            </w:pPr>
            <w:r w:rsidRPr="00B321AA">
              <w:t>Pre-commissioning testing and measurement</w:t>
            </w:r>
          </w:p>
          <w:p w:rsidR="00000000" w:rsidRPr="00B321AA" w:rsidP="00B321AA">
            <w:pPr>
              <w:pStyle w:val="ListBullet3"/>
            </w:pPr>
            <w:r w:rsidRPr="00B321AA">
              <w:t>Documenting detail work events, r</w:t>
            </w:r>
            <w:r w:rsidRPr="00B321AA">
              <w:t>ecord keeping and or storage of information</w:t>
            </w:r>
          </w:p>
          <w:p w:rsidR="00000000" w:rsidRPr="00B321AA" w:rsidP="00B321AA">
            <w:pPr>
              <w:pStyle w:val="ListBullet3"/>
            </w:pPr>
            <w:r w:rsidRPr="00B321AA">
              <w:t>Drawings and specifications</w:t>
            </w:r>
          </w:p>
          <w:p w:rsidR="00000000" w:rsidRPr="00B321AA" w:rsidP="00B321AA">
            <w:pPr>
              <w:pStyle w:val="ListBullet3"/>
            </w:pPr>
            <w:r w:rsidRPr="00B321AA">
              <w:t>Environmental and sustainable energy procedures</w:t>
            </w:r>
          </w:p>
          <w:p w:rsidR="00000000" w:rsidRPr="00B321AA" w:rsidP="00B321AA">
            <w:pPr>
              <w:pStyle w:val="ListBullet3"/>
            </w:pPr>
            <w:r w:rsidRPr="00B321AA">
              <w:t>Environmental legislation</w:t>
            </w:r>
          </w:p>
          <w:p w:rsidR="00000000" w:rsidRPr="00B321AA" w:rsidP="00B321AA">
            <w:pPr>
              <w:pStyle w:val="ListBullet3"/>
            </w:pPr>
            <w:r w:rsidRPr="00B321AA">
              <w:t>Environmental management documentation</w:t>
            </w:r>
          </w:p>
          <w:p w:rsidR="00000000" w:rsidRPr="00B321AA" w:rsidP="00B321AA">
            <w:pPr>
              <w:pStyle w:val="ListBullet3"/>
            </w:pPr>
            <w:r w:rsidRPr="00B321AA">
              <w:t>Established procedures</w:t>
            </w:r>
          </w:p>
          <w:p w:rsidR="00000000" w:rsidRPr="00B321AA" w:rsidP="00B321AA">
            <w:pPr>
              <w:pStyle w:val="ListBullet3"/>
            </w:pPr>
            <w:r w:rsidRPr="00B321AA">
              <w:t>Fall prevention</w:t>
            </w:r>
          </w:p>
          <w:p w:rsidR="00000000" w:rsidRPr="00B321AA" w:rsidP="00B321AA">
            <w:pPr>
              <w:pStyle w:val="ListBullet3"/>
            </w:pPr>
            <w:r w:rsidRPr="00B321AA">
              <w:t>Hazards</w:t>
            </w:r>
          </w:p>
          <w:p w:rsidR="00000000" w:rsidRPr="00B321AA" w:rsidP="00B321AA">
            <w:pPr>
              <w:pStyle w:val="ListBullet3"/>
            </w:pPr>
            <w:r w:rsidRPr="00B321AA">
              <w:t>Identifying hazards</w:t>
            </w:r>
          </w:p>
          <w:p w:rsidR="00000000" w:rsidRPr="00B321AA" w:rsidP="00B321AA">
            <w:pPr>
              <w:pStyle w:val="ListBullet3"/>
            </w:pPr>
            <w:r w:rsidRPr="00B321AA">
              <w:t>Inspect</w:t>
            </w:r>
          </w:p>
          <w:p w:rsidR="00000000" w:rsidRPr="00B321AA" w:rsidP="00B321AA">
            <w:pPr>
              <w:pStyle w:val="ListBullet3"/>
            </w:pPr>
            <w:r w:rsidRPr="00B321AA">
              <w:t>Legislation</w:t>
            </w:r>
          </w:p>
          <w:p w:rsidR="00000000" w:rsidRPr="00B321AA" w:rsidP="00B321AA">
            <w:pPr>
              <w:pStyle w:val="ListBullet3"/>
            </w:pPr>
            <w:r w:rsidRPr="00B321AA">
              <w:t>MSDS</w:t>
            </w:r>
          </w:p>
          <w:p w:rsidR="00000000" w:rsidRPr="00B321AA" w:rsidP="00B321AA">
            <w:pPr>
              <w:pStyle w:val="ListBullet3"/>
            </w:pPr>
            <w:r w:rsidRPr="00B321AA">
              <w:t>Notification</w:t>
            </w:r>
          </w:p>
          <w:p w:rsidR="00000000" w:rsidRPr="00B321AA" w:rsidP="00B321AA">
            <w:pPr>
              <w:pStyle w:val="ListBullet3"/>
            </w:pPr>
            <w:r w:rsidRPr="00B321AA">
              <w:t>OHS practices</w:t>
            </w:r>
          </w:p>
          <w:p w:rsidR="00000000" w:rsidRPr="00B321AA" w:rsidP="00B321AA">
            <w:pPr>
              <w:pStyle w:val="ListBullet3"/>
            </w:pPr>
            <w:r w:rsidRPr="00B321AA">
              <w:t>OHS issues</w:t>
            </w:r>
          </w:p>
          <w:p w:rsidR="00000000" w:rsidRPr="00B321AA" w:rsidP="00B321AA">
            <w:pPr>
              <w:pStyle w:val="ListBullet3"/>
            </w:pPr>
            <w:r w:rsidRPr="00B321AA">
              <w:t>Permits and/or permits to work</w:t>
            </w:r>
          </w:p>
          <w:p w:rsidR="00000000" w:rsidRPr="00B321AA" w:rsidP="00B321AA">
            <w:pPr>
              <w:pStyle w:val="ListBullet3"/>
            </w:pPr>
            <w:r w:rsidRPr="00B321AA">
              <w:t>Personnel</w:t>
            </w:r>
          </w:p>
          <w:p w:rsidR="00000000" w:rsidRPr="00B321AA" w:rsidP="00B321AA">
            <w:pPr>
              <w:pStyle w:val="ListBullet3"/>
            </w:pPr>
            <w:r w:rsidRPr="00B321AA">
              <w:t>Quality assurance systems</w:t>
            </w:r>
          </w:p>
          <w:p w:rsidR="00000000" w:rsidRPr="00B321AA" w:rsidP="00B321AA">
            <w:pPr>
              <w:pStyle w:val="ListBullet3"/>
            </w:pPr>
            <w:r w:rsidRPr="00B321AA">
              <w:t>Network construction standards</w:t>
            </w:r>
          </w:p>
          <w:p w:rsidR="00000000" w:rsidRPr="00B321AA" w:rsidP="00B321AA">
            <w:pPr>
              <w:pStyle w:val="ListBullet3"/>
            </w:pPr>
            <w:r w:rsidRPr="00B321AA">
              <w:t>Network supply standards</w:t>
            </w:r>
          </w:p>
          <w:p w:rsidR="00000000" w:rsidRPr="00B321AA" w:rsidP="00B321AA">
            <w:pPr>
              <w:pStyle w:val="ListBullet3"/>
            </w:pPr>
            <w:r w:rsidRPr="00B321AA">
              <w:t>Testing procedures</w:t>
            </w:r>
          </w:p>
          <w:p w:rsidR="00000000" w:rsidRPr="00B321AA" w:rsidP="00B321AA">
            <w:pPr>
              <w:pStyle w:val="ListBullet3"/>
            </w:pPr>
            <w:r w:rsidRPr="00B321AA">
              <w:t>Work clearance systems</w:t>
            </w:r>
          </w:p>
        </w:tc>
      </w:tr>
    </w:tbl>
    <w:p w:rsidR="00000000" w:rsidRPr="00B321AA" w:rsidP="00B321AA">
      <w:pPr>
        <w:pStyle w:val="BodyText"/>
      </w:pPr>
    </w:p>
    <w:p w:rsidR="00000000" w:rsidRPr="00B321AA" w:rsidP="00B321AA">
      <w:pPr>
        <w:pStyle w:val="AllowPageBreak"/>
      </w:pPr>
    </w:p>
    <w:p w:rsidR="00000000" w:rsidRPr="00B321AA" w:rsidP="00B321AA">
      <w:pPr>
        <w:pStyle w:val="Heading1"/>
      </w:pPr>
      <w:bookmarkStart w:id="12" w:name="O_461050"/>
      <w:bookmarkEnd w:id="12"/>
      <w:r w:rsidRPr="00B321AA">
        <w:t>Unit Sector(s)</w:t>
      </w:r>
    </w:p>
    <w:p w:rsidR="00000000" w:rsidRPr="00B321AA" w:rsidP="00B321AA">
      <w:pPr>
        <w:pStyle w:val="BodyText"/>
      </w:pPr>
      <w:r w:rsidRPr="00B321AA">
        <w:t>Not applicable.</w:t>
      </w:r>
    </w:p>
    <w:p w:rsidR="00000000" w:rsidRPr="00B321AA" w:rsidP="00B321AA">
      <w:pPr>
        <w:pStyle w:val="AllowPageBreak"/>
      </w:pPr>
    </w:p>
    <w:p w:rsidR="00000000" w:rsidRPr="00B321AA" w:rsidP="00B321AA">
      <w:pPr>
        <w:pStyle w:val="Heading1"/>
      </w:pPr>
      <w:bookmarkStart w:id="13" w:name="O_461039"/>
      <w:bookmarkEnd w:id="13"/>
      <w:r w:rsidRPr="00B321AA">
        <w:t>Competency Field</w:t>
      </w:r>
    </w:p>
    <w:tbl>
      <w:tblPr>
        <w:tblW w:w="0" w:type="auto"/>
        <w:tblLayout w:type="fixed"/>
        <w:tblCellMar>
          <w:left w:w="62" w:type="dxa"/>
          <w:right w:w="62" w:type="dxa"/>
        </w:tblCellMar>
        <w:tblLook w:val="0000"/>
      </w:tblPr>
      <w:tblGrid>
        <w:gridCol w:w="2700"/>
        <w:gridCol w:w="5760"/>
      </w:tblGrid>
      <w:tr w:rsidTr="00A0269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321AA" w:rsidP="00B321AA">
            <w:pPr>
              <w:pStyle w:val="BodyText"/>
            </w:pPr>
            <w:r w:rsidRPr="00B321A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321AA">
            <w:pPr>
              <w:pStyle w:val="BodyText"/>
              <w:rPr>
                <w:lang w:val="en-NZ"/>
              </w:rPr>
            </w:pPr>
            <w:r w:rsidRPr="00B321AA">
              <w:rPr>
                <w:rStyle w:val="SpecialBold"/>
              </w:rPr>
              <w:t xml:space="preserve">11) </w:t>
            </w:r>
          </w:p>
        </w:tc>
      </w:tr>
      <w:tr w:rsidTr="00A026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321AA" w:rsidP="00B321AA">
            <w:pPr>
              <w:pStyle w:val="BodyText"/>
            </w:pPr>
            <w:r w:rsidRPr="00B321AA">
              <w:t xml:space="preserve">Transmission </w:t>
            </w:r>
          </w:p>
        </w:tc>
      </w:tr>
    </w:tbl>
    <w:p w:rsidR="00000000" w:rsidRPr="00B321AA" w:rsidP="00B321AA">
      <w:pPr>
        <w:pStyle w:val="BodyText"/>
      </w:pPr>
    </w:p>
    <w:p w:rsidR="00000000" w:rsidRPr="00B321AA" w:rsidP="00B321AA"/>
    <w:sectPr w:rsidSect="00B321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1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2694" w:rsidP="00A026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1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694" w:rsidP="00B321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A02694" w:rsidP="00B321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02694" w:rsidP="00B321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1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2694" w:rsidP="00A0269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1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694" w:rsidP="00B321AA">
    <w:pPr>
      <w:pStyle w:val="Header"/>
      <w:framePr w:wrap="around"/>
    </w:pPr>
    <w:r>
      <w:fldChar w:fldCharType="begin"/>
    </w:r>
    <w:r>
      <w:instrText xml:space="preserve"> TITLE   \* MERGEFORMAT </w:instrText>
    </w:r>
    <w:r>
      <w:fldChar w:fldCharType="separate"/>
    </w:r>
    <w:r>
      <w:t>UETTDRTP99A Test and verify transmission overhead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02694" w:rsidP="00B321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185C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888F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B057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1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21AA"/>
    <w:pPr>
      <w:spacing w:before="360" w:after="60"/>
      <w:outlineLvl w:val="0"/>
    </w:pPr>
    <w:rPr>
      <w:sz w:val="32"/>
    </w:rPr>
  </w:style>
  <w:style w:type="paragraph" w:styleId="Heading2">
    <w:name w:val="heading 2"/>
    <w:basedOn w:val="HeadingBase"/>
    <w:next w:val="BodyText"/>
    <w:link w:val="Heading2Char"/>
    <w:qFormat/>
    <w:rsid w:val="00B321AA"/>
    <w:pPr>
      <w:keepLines/>
      <w:spacing w:before="240" w:after="120"/>
      <w:outlineLvl w:val="1"/>
    </w:pPr>
    <w:rPr>
      <w:sz w:val="28"/>
      <w:szCs w:val="40"/>
    </w:rPr>
  </w:style>
  <w:style w:type="paragraph" w:styleId="Heading3">
    <w:name w:val="heading 3"/>
    <w:basedOn w:val="HeadingBase"/>
    <w:next w:val="BodyText"/>
    <w:link w:val="Heading3Char"/>
    <w:qFormat/>
    <w:rsid w:val="00B321AA"/>
    <w:pPr>
      <w:spacing w:before="180" w:after="120"/>
      <w:outlineLvl w:val="2"/>
    </w:pPr>
    <w:rPr>
      <w:spacing w:val="-10"/>
      <w:kern w:val="32"/>
    </w:rPr>
  </w:style>
  <w:style w:type="paragraph" w:styleId="Heading4">
    <w:name w:val="heading 4"/>
    <w:basedOn w:val="HeadingBase"/>
    <w:next w:val="BodyText"/>
    <w:link w:val="Heading4Char"/>
    <w:qFormat/>
    <w:rsid w:val="00B321AA"/>
    <w:pPr>
      <w:spacing w:before="160" w:after="120"/>
      <w:outlineLvl w:val="3"/>
    </w:pPr>
    <w:rPr>
      <w:sz w:val="22"/>
    </w:rPr>
  </w:style>
  <w:style w:type="paragraph" w:styleId="Heading5">
    <w:name w:val="heading 5"/>
    <w:basedOn w:val="HeadingBase"/>
    <w:next w:val="Normal"/>
    <w:link w:val="Heading5Char"/>
    <w:qFormat/>
    <w:rsid w:val="00B321AA"/>
    <w:pPr>
      <w:spacing w:before="80"/>
      <w:outlineLvl w:val="4"/>
    </w:pPr>
    <w:rPr>
      <w:color w:val="918585"/>
      <w:sz w:val="20"/>
    </w:rPr>
  </w:style>
  <w:style w:type="paragraph" w:styleId="Heading6">
    <w:name w:val="heading 6"/>
    <w:basedOn w:val="HeadingBase"/>
    <w:next w:val="Normal"/>
    <w:link w:val="Heading6Char"/>
    <w:qFormat/>
    <w:rsid w:val="00B321AA"/>
    <w:pPr>
      <w:spacing w:before="60"/>
      <w:outlineLvl w:val="5"/>
    </w:pPr>
    <w:rPr>
      <w:color w:val="918585"/>
      <w:sz w:val="20"/>
    </w:rPr>
  </w:style>
  <w:style w:type="paragraph" w:styleId="Heading7">
    <w:name w:val="heading 7"/>
    <w:basedOn w:val="Normal"/>
    <w:next w:val="Normal"/>
    <w:link w:val="Heading7Char"/>
    <w:qFormat/>
    <w:rsid w:val="00B321AA"/>
    <w:pPr>
      <w:ind w:left="720"/>
      <w:outlineLvl w:val="6"/>
    </w:pPr>
    <w:rPr>
      <w:i/>
    </w:rPr>
  </w:style>
  <w:style w:type="paragraph" w:styleId="Heading8">
    <w:name w:val="heading 8"/>
    <w:basedOn w:val="Normal"/>
    <w:next w:val="Normal"/>
    <w:link w:val="Heading8Char"/>
    <w:qFormat/>
    <w:rsid w:val="00B321AA"/>
    <w:pPr>
      <w:ind w:left="720"/>
      <w:outlineLvl w:val="7"/>
    </w:pPr>
    <w:rPr>
      <w:i/>
    </w:rPr>
  </w:style>
  <w:style w:type="paragraph" w:styleId="Heading9">
    <w:name w:val="heading 9"/>
    <w:basedOn w:val="Normal"/>
    <w:next w:val="Normal"/>
    <w:link w:val="Heading9Char"/>
    <w:qFormat/>
    <w:rsid w:val="00B321AA"/>
    <w:pPr>
      <w:ind w:left="720"/>
      <w:outlineLvl w:val="8"/>
    </w:pPr>
    <w:rPr>
      <w:i/>
    </w:rPr>
  </w:style>
  <w:style w:type="character" w:default="1" w:styleId="DefaultParagraphFont">
    <w:name w:val="Default Paragraph Font"/>
    <w:uiPriority w:val="1"/>
    <w:unhideWhenUsed/>
    <w:rsid w:val="00B321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21AA"/>
  </w:style>
  <w:style w:type="character" w:customStyle="1" w:styleId="Heading1Char">
    <w:name w:val="Heading 1 Char"/>
    <w:link w:val="Heading1"/>
    <w:rsid w:val="00B321AA"/>
    <w:rPr>
      <w:rFonts w:ascii="Times New Roman" w:eastAsia="Times New Roman" w:hAnsi="Times New Roman" w:cs="Times New Roman"/>
      <w:b/>
      <w:sz w:val="32"/>
      <w:szCs w:val="20"/>
      <w:lang w:eastAsia="en-US"/>
    </w:rPr>
  </w:style>
  <w:style w:type="paragraph" w:styleId="BodyText">
    <w:name w:val="Body Text"/>
    <w:basedOn w:val="Normal"/>
    <w:link w:val="BodyTextChar"/>
    <w:rsid w:val="00B321AA"/>
    <w:pPr>
      <w:spacing w:before="120" w:after="120"/>
      <w:contextualSpacing/>
    </w:pPr>
    <w:rPr>
      <w:rFonts w:ascii="Times New Roman" w:hAnsi="Times New Roman"/>
      <w:sz w:val="24"/>
      <w:szCs w:val="22"/>
    </w:rPr>
  </w:style>
  <w:style w:type="character" w:customStyle="1" w:styleId="BodyTextChar">
    <w:name w:val="Body Text Char"/>
    <w:link w:val="BodyText"/>
    <w:rsid w:val="00B321AA"/>
    <w:rPr>
      <w:rFonts w:ascii="Times New Roman" w:eastAsia="Times New Roman" w:hAnsi="Times New Roman" w:cs="Times New Roman"/>
      <w:sz w:val="24"/>
      <w:lang w:val="en-US" w:eastAsia="en-US"/>
    </w:rPr>
  </w:style>
  <w:style w:type="paragraph" w:styleId="Footer">
    <w:name w:val="footer"/>
    <w:basedOn w:val="Normal"/>
    <w:link w:val="FooterChar"/>
    <w:rsid w:val="00B321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321AA"/>
    <w:rPr>
      <w:rFonts w:ascii="Times New Roman" w:eastAsia="Times New Roman" w:hAnsi="Times New Roman" w:cs="Times New Roman"/>
      <w:sz w:val="16"/>
      <w:lang w:val="en-US" w:eastAsia="en-US"/>
    </w:rPr>
  </w:style>
  <w:style w:type="paragraph" w:styleId="ListBullet">
    <w:name w:val="List Bullet"/>
    <w:basedOn w:val="List"/>
    <w:rsid w:val="00B321AA"/>
    <w:pPr>
      <w:numPr>
        <w:numId w:val="14"/>
      </w:numPr>
      <w:tabs>
        <w:tab w:val="clear" w:pos="340"/>
      </w:tabs>
      <w:spacing w:before="40" w:after="40"/>
    </w:pPr>
  </w:style>
  <w:style w:type="character" w:customStyle="1" w:styleId="SpecialBold">
    <w:name w:val="Special Bold"/>
    <w:rsid w:val="00B321AA"/>
    <w:rPr>
      <w:b/>
      <w:spacing w:val="0"/>
    </w:rPr>
  </w:style>
  <w:style w:type="paragraph" w:styleId="ListBullet2">
    <w:name w:val="List Bullet 2"/>
    <w:basedOn w:val="List2"/>
    <w:rsid w:val="00B321AA"/>
    <w:pPr>
      <w:numPr>
        <w:numId w:val="15"/>
      </w:numPr>
      <w:tabs>
        <w:tab w:val="clear" w:pos="680"/>
      </w:tabs>
    </w:pPr>
  </w:style>
  <w:style w:type="paragraph" w:styleId="Header">
    <w:name w:val="header"/>
    <w:basedOn w:val="Normal"/>
    <w:link w:val="HeaderChar"/>
    <w:rsid w:val="00B321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321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21AA"/>
    <w:pPr>
      <w:spacing w:before="240" w:after="120"/>
      <w:outlineLvl w:val="0"/>
    </w:pPr>
    <w:rPr>
      <w:rFonts w:ascii="Times New Roman" w:hAnsi="Times New Roman"/>
      <w:b/>
      <w:sz w:val="28"/>
    </w:rPr>
  </w:style>
  <w:style w:type="paragraph" w:customStyle="1" w:styleId="AllowPageBreak">
    <w:name w:val="AllowPageBreak"/>
    <w:rsid w:val="00B321A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321AA"/>
    <w:pPr>
      <w:numPr>
        <w:numId w:val="3"/>
      </w:numPr>
      <w:tabs>
        <w:tab w:val="clear" w:pos="1021"/>
      </w:tabs>
      <w:ind w:left="1037" w:hanging="357"/>
    </w:pPr>
  </w:style>
  <w:style w:type="character" w:customStyle="1" w:styleId="Heading2Char">
    <w:name w:val="Heading 2 Char"/>
    <w:link w:val="Heading2"/>
    <w:rsid w:val="00B321AA"/>
    <w:rPr>
      <w:rFonts w:ascii="Times New Roman" w:eastAsia="Times New Roman" w:hAnsi="Times New Roman" w:cs="Times New Roman"/>
      <w:b/>
      <w:sz w:val="28"/>
      <w:szCs w:val="40"/>
      <w:lang w:eastAsia="en-US"/>
    </w:rPr>
  </w:style>
  <w:style w:type="character" w:customStyle="1" w:styleId="Heading3Char">
    <w:name w:val="Heading 3 Char"/>
    <w:link w:val="Heading3"/>
    <w:rsid w:val="00B321A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321AA"/>
    <w:rPr>
      <w:rFonts w:ascii="Times New Roman" w:eastAsia="Times New Roman" w:hAnsi="Times New Roman" w:cs="Times New Roman"/>
      <w:b/>
      <w:szCs w:val="20"/>
      <w:lang w:eastAsia="en-US"/>
    </w:rPr>
  </w:style>
  <w:style w:type="character" w:customStyle="1" w:styleId="Heading5Char">
    <w:name w:val="Heading 5 Char"/>
    <w:link w:val="Heading5"/>
    <w:rsid w:val="00B321A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321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21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21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21AA"/>
    <w:rPr>
      <w:rFonts w:ascii="Courier New" w:eastAsia="Times New Roman" w:hAnsi="Courier New" w:cs="Times New Roman"/>
      <w:i/>
      <w:szCs w:val="20"/>
      <w:lang w:val="en-US" w:eastAsia="en-US"/>
    </w:rPr>
  </w:style>
  <w:style w:type="paragraph" w:customStyle="1" w:styleId="HeadingBase">
    <w:name w:val="Heading Base"/>
    <w:rsid w:val="00B321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21AA"/>
    <w:pPr>
      <w:tabs>
        <w:tab w:val="right" w:leader="dot" w:pos="9072"/>
      </w:tabs>
      <w:ind w:left="567"/>
    </w:pPr>
    <w:rPr>
      <w:szCs w:val="22"/>
    </w:rPr>
  </w:style>
  <w:style w:type="paragraph" w:customStyle="1" w:styleId="TOCBase">
    <w:name w:val="TOC Base"/>
    <w:rsid w:val="00B321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21AA"/>
    <w:pPr>
      <w:tabs>
        <w:tab w:val="right" w:leader="dot" w:pos="9072"/>
      </w:tabs>
      <w:spacing w:before="40" w:after="40"/>
      <w:ind w:left="284"/>
    </w:pPr>
    <w:rPr>
      <w:rFonts w:ascii="Times New Roman" w:hAnsi="Times New Roman"/>
    </w:rPr>
  </w:style>
  <w:style w:type="paragraph" w:styleId="TOC1">
    <w:name w:val="toc 1"/>
    <w:basedOn w:val="TOCBase"/>
    <w:next w:val="Normal"/>
    <w:rsid w:val="00B321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21AA"/>
    <w:pPr>
      <w:spacing w:before="5040"/>
      <w:jc w:val="center"/>
    </w:pPr>
    <w:rPr>
      <w:sz w:val="48"/>
      <w:szCs w:val="72"/>
      <w:lang w:val="en-US"/>
    </w:rPr>
  </w:style>
  <w:style w:type="character" w:customStyle="1" w:styleId="TitleChar">
    <w:name w:val="Title Char"/>
    <w:link w:val="Title"/>
    <w:rsid w:val="00B321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21AA"/>
    <w:pPr>
      <w:tabs>
        <w:tab w:val="left" w:pos="3600"/>
        <w:tab w:val="left" w:pos="3958"/>
      </w:tabs>
    </w:pPr>
  </w:style>
  <w:style w:type="paragraph" w:styleId="List">
    <w:name w:val="List"/>
    <w:basedOn w:val="BodyText"/>
    <w:next w:val="BodyText"/>
    <w:rsid w:val="00B321AA"/>
    <w:pPr>
      <w:tabs>
        <w:tab w:val="left" w:pos="340"/>
      </w:tabs>
      <w:spacing w:before="60" w:after="60"/>
      <w:ind w:left="340" w:hanging="340"/>
    </w:pPr>
  </w:style>
  <w:style w:type="paragraph" w:customStyle="1" w:styleId="Note">
    <w:name w:val="Note"/>
    <w:basedOn w:val="BodyText"/>
    <w:rsid w:val="00B321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21AA"/>
    <w:pPr>
      <w:framePr w:wrap="auto" w:hAnchor="text" w:y="6049"/>
    </w:pPr>
    <w:rPr>
      <w:color w:val="000000"/>
      <w:sz w:val="40"/>
    </w:rPr>
  </w:style>
  <w:style w:type="paragraph" w:customStyle="1" w:styleId="TOCTitle">
    <w:name w:val="TOCTitle"/>
    <w:basedOn w:val="Heading1"/>
    <w:rsid w:val="00B321AA"/>
    <w:pPr>
      <w:spacing w:after="240"/>
      <w:jc w:val="center"/>
      <w:outlineLvl w:val="9"/>
    </w:pPr>
    <w:rPr>
      <w:caps/>
    </w:rPr>
  </w:style>
  <w:style w:type="paragraph" w:customStyle="1" w:styleId="Version">
    <w:name w:val="Version"/>
    <w:rsid w:val="00B321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21AA"/>
    <w:pPr>
      <w:keepNext w:val="0"/>
      <w:tabs>
        <w:tab w:val="right" w:pos="4176"/>
      </w:tabs>
      <w:ind w:left="198" w:hanging="198"/>
    </w:pPr>
    <w:rPr>
      <w:rFonts w:ascii="Garamond" w:hAnsi="Garamond"/>
    </w:rPr>
  </w:style>
  <w:style w:type="paragraph" w:styleId="IndexHeading">
    <w:name w:val="index heading"/>
    <w:basedOn w:val="Normal"/>
    <w:next w:val="Index1"/>
    <w:semiHidden/>
    <w:rsid w:val="00B321AA"/>
    <w:pPr>
      <w:spacing w:before="120" w:after="120"/>
    </w:pPr>
    <w:rPr>
      <w:rFonts w:ascii="Arial" w:hAnsi="Arial"/>
      <w:b/>
      <w:color w:val="918585"/>
      <w:sz w:val="24"/>
    </w:rPr>
  </w:style>
  <w:style w:type="paragraph" w:customStyle="1" w:styleId="Chapter">
    <w:name w:val="Chapter"/>
    <w:basedOn w:val="Normal"/>
    <w:rsid w:val="00B321AA"/>
    <w:pPr>
      <w:spacing w:before="240"/>
    </w:pPr>
    <w:rPr>
      <w:rFonts w:ascii="Times New Roman" w:hAnsi="Times New Roman"/>
      <w:smallCaps/>
      <w:spacing w:val="80"/>
      <w:sz w:val="28"/>
    </w:rPr>
  </w:style>
  <w:style w:type="paragraph" w:customStyle="1" w:styleId="InChapter">
    <w:name w:val="InChapter"/>
    <w:basedOn w:val="Heading3"/>
    <w:rsid w:val="00B321AA"/>
    <w:pPr>
      <w:spacing w:after="240"/>
      <w:outlineLvl w:val="9"/>
    </w:pPr>
    <w:rPr>
      <w:noProof/>
    </w:rPr>
  </w:style>
  <w:style w:type="paragraph" w:styleId="Index2">
    <w:name w:val="index 2"/>
    <w:basedOn w:val="Normal"/>
    <w:next w:val="Normal"/>
    <w:semiHidden/>
    <w:rsid w:val="00B321AA"/>
    <w:pPr>
      <w:tabs>
        <w:tab w:val="right" w:pos="4176"/>
      </w:tabs>
      <w:ind w:left="568" w:hanging="284"/>
    </w:pPr>
    <w:rPr>
      <w:rFonts w:ascii="Garamond" w:hAnsi="Garamond"/>
    </w:rPr>
  </w:style>
  <w:style w:type="paragraph" w:customStyle="1" w:styleId="Byline">
    <w:name w:val="Byline"/>
    <w:rsid w:val="00B321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21AA"/>
    <w:pPr>
      <w:tabs>
        <w:tab w:val="clear" w:pos="3600"/>
        <w:tab w:val="clear" w:pos="3958"/>
      </w:tabs>
      <w:jc w:val="right"/>
    </w:pPr>
  </w:style>
  <w:style w:type="character" w:styleId="Emphasis">
    <w:name w:val="Emphasis"/>
    <w:qFormat/>
    <w:rsid w:val="00B321AA"/>
    <w:rPr>
      <w:i/>
    </w:rPr>
  </w:style>
  <w:style w:type="paragraph" w:styleId="Caption">
    <w:name w:val="caption"/>
    <w:basedOn w:val="BodyText"/>
    <w:next w:val="Normal"/>
    <w:qFormat/>
    <w:rsid w:val="00B321AA"/>
    <w:pPr>
      <w:framePr w:w="2268" w:hSpace="181" w:vSpace="181" w:wrap="around" w:vAnchor="text" w:hAnchor="page" w:x="1135" w:y="285" w:anchorLock="1"/>
    </w:pPr>
    <w:rPr>
      <w:i/>
    </w:rPr>
  </w:style>
  <w:style w:type="paragraph" w:customStyle="1" w:styleId="MiniTOCTitle">
    <w:name w:val="MiniTOCTitle"/>
    <w:basedOn w:val="Heading4"/>
    <w:rsid w:val="00B321AA"/>
    <w:pPr>
      <w:spacing w:before="240"/>
      <w:outlineLvl w:val="9"/>
    </w:pPr>
    <w:rPr>
      <w:noProof/>
      <w:sz w:val="24"/>
    </w:rPr>
  </w:style>
  <w:style w:type="paragraph" w:customStyle="1" w:styleId="MiniTOCItem">
    <w:name w:val="MiniTOCItem"/>
    <w:basedOn w:val="ListBullet"/>
    <w:rsid w:val="00B321AA"/>
    <w:pPr>
      <w:numPr>
        <w:numId w:val="0"/>
      </w:numPr>
      <w:tabs>
        <w:tab w:val="right" w:leader="dot" w:pos="6521"/>
      </w:tabs>
      <w:spacing w:before="0" w:after="0"/>
    </w:pPr>
  </w:style>
  <w:style w:type="paragraph" w:customStyle="1" w:styleId="TOFTitle">
    <w:name w:val="TOFTitle"/>
    <w:basedOn w:val="TOCTitle"/>
    <w:rsid w:val="00B321AA"/>
  </w:style>
  <w:style w:type="paragraph" w:styleId="TableofFigures">
    <w:name w:val="table of figures"/>
    <w:basedOn w:val="Normal"/>
    <w:next w:val="Normal"/>
    <w:semiHidden/>
    <w:rsid w:val="00B321AA"/>
    <w:pPr>
      <w:tabs>
        <w:tab w:val="right" w:leader="dot" w:pos="9072"/>
      </w:tabs>
      <w:ind w:left="970" w:hanging="403"/>
    </w:pPr>
    <w:rPr>
      <w:rFonts w:ascii="Times New Roman" w:hAnsi="Times New Roman"/>
      <w:b/>
    </w:rPr>
  </w:style>
  <w:style w:type="paragraph" w:styleId="ListNumber">
    <w:name w:val="List Number"/>
    <w:basedOn w:val="List"/>
    <w:rsid w:val="00B321AA"/>
    <w:pPr>
      <w:numPr>
        <w:numId w:val="12"/>
      </w:numPr>
    </w:pPr>
  </w:style>
  <w:style w:type="character" w:customStyle="1" w:styleId="WingdingSymbols">
    <w:name w:val="Wingding Symbols"/>
    <w:rsid w:val="00B321AA"/>
    <w:rPr>
      <w:rFonts w:ascii="Wingdings" w:hAnsi="Wingdings"/>
    </w:rPr>
  </w:style>
  <w:style w:type="paragraph" w:customStyle="1" w:styleId="TableHeading">
    <w:name w:val="Table Heading"/>
    <w:basedOn w:val="HeadingBase"/>
    <w:rsid w:val="00B321AA"/>
    <w:pPr>
      <w:keepLines/>
      <w:pBdr>
        <w:bottom w:val="single" w:sz="6" w:space="1" w:color="918585"/>
      </w:pBdr>
      <w:spacing w:before="240"/>
    </w:pPr>
  </w:style>
  <w:style w:type="character" w:customStyle="1" w:styleId="HotSpot">
    <w:name w:val="HotSpot"/>
    <w:rsid w:val="00B321AA"/>
    <w:rPr>
      <w:color w:val="0033CC"/>
      <w:u w:val="none"/>
    </w:rPr>
  </w:style>
  <w:style w:type="paragraph" w:customStyle="1" w:styleId="BodyTextRight">
    <w:name w:val="Body Text Right"/>
    <w:basedOn w:val="BodyText"/>
    <w:rsid w:val="00B321AA"/>
    <w:pPr>
      <w:spacing w:before="0" w:after="0"/>
      <w:jc w:val="right"/>
    </w:pPr>
  </w:style>
  <w:style w:type="paragraph" w:styleId="Index3">
    <w:name w:val="index 3"/>
    <w:basedOn w:val="ListNumber2"/>
    <w:next w:val="Normal"/>
    <w:semiHidden/>
    <w:rsid w:val="00B321AA"/>
    <w:pPr>
      <w:numPr>
        <w:numId w:val="0"/>
      </w:numPr>
      <w:tabs>
        <w:tab w:val="right" w:leader="dot" w:pos="4176"/>
      </w:tabs>
    </w:pPr>
  </w:style>
  <w:style w:type="paragraph" w:styleId="ListNumber2">
    <w:name w:val="List Number 2"/>
    <w:basedOn w:val="List2"/>
    <w:rsid w:val="00B321AA"/>
    <w:pPr>
      <w:numPr>
        <w:numId w:val="11"/>
      </w:numPr>
      <w:tabs>
        <w:tab w:val="clear" w:pos="1060"/>
      </w:tabs>
    </w:pPr>
  </w:style>
  <w:style w:type="paragraph" w:customStyle="1" w:styleId="MarginNote">
    <w:name w:val="Margin Note"/>
    <w:basedOn w:val="BodyText"/>
    <w:rsid w:val="00B321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21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321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21AA"/>
    <w:rPr>
      <w:sz w:val="32"/>
    </w:rPr>
  </w:style>
  <w:style w:type="paragraph" w:customStyle="1" w:styleId="HeadingProcedure">
    <w:name w:val="Heading Procedure"/>
    <w:basedOn w:val="HeadingBase"/>
    <w:next w:val="Normal"/>
    <w:rsid w:val="00B321AA"/>
    <w:pPr>
      <w:tabs>
        <w:tab w:val="left" w:pos="0"/>
      </w:tabs>
      <w:spacing w:before="120" w:after="60"/>
    </w:pPr>
    <w:rPr>
      <w:i/>
      <w:color w:val="918585"/>
      <w:sz w:val="22"/>
    </w:rPr>
  </w:style>
  <w:style w:type="paragraph" w:customStyle="1" w:styleId="TableBodyText">
    <w:name w:val="Table Body Text"/>
    <w:basedOn w:val="BodyText"/>
    <w:rsid w:val="00B321AA"/>
    <w:pPr>
      <w:spacing w:before="60" w:after="60"/>
    </w:pPr>
  </w:style>
  <w:style w:type="paragraph" w:styleId="ListContinue">
    <w:name w:val="List Continue"/>
    <w:basedOn w:val="List"/>
    <w:rsid w:val="00B321AA"/>
    <w:pPr>
      <w:ind w:firstLine="0"/>
    </w:pPr>
  </w:style>
  <w:style w:type="paragraph" w:customStyle="1" w:styleId="ListNote">
    <w:name w:val="List Note"/>
    <w:basedOn w:val="List"/>
    <w:rsid w:val="00B321AA"/>
    <w:pPr>
      <w:pBdr>
        <w:top w:val="single" w:sz="6" w:space="2" w:color="918585"/>
        <w:bottom w:val="single" w:sz="6" w:space="2" w:color="918585"/>
      </w:pBdr>
      <w:tabs>
        <w:tab w:val="left" w:pos="1021"/>
      </w:tabs>
      <w:ind w:firstLine="0"/>
    </w:pPr>
  </w:style>
  <w:style w:type="paragraph" w:customStyle="1" w:styleId="Warning">
    <w:name w:val="Warning"/>
    <w:basedOn w:val="BodyText"/>
    <w:rsid w:val="00B321AA"/>
    <w:pPr>
      <w:shd w:val="clear" w:color="auto" w:fill="D9D9D9"/>
      <w:tabs>
        <w:tab w:val="left" w:pos="992"/>
      </w:tabs>
      <w:ind w:left="119" w:right="119"/>
    </w:pPr>
    <w:rPr>
      <w:sz w:val="20"/>
    </w:rPr>
  </w:style>
  <w:style w:type="paragraph" w:customStyle="1" w:styleId="MarginIcons">
    <w:name w:val="Margin Icons"/>
    <w:basedOn w:val="BodyText"/>
    <w:rsid w:val="00B321A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321AA"/>
    <w:rPr>
      <w:rFonts w:ascii="Courier New" w:hAnsi="Courier New"/>
    </w:rPr>
  </w:style>
  <w:style w:type="paragraph" w:customStyle="1" w:styleId="NoteBullet">
    <w:name w:val="Note Bullet"/>
    <w:basedOn w:val="Note"/>
    <w:rsid w:val="00B321AA"/>
    <w:pPr>
      <w:tabs>
        <w:tab w:val="clear" w:pos="680"/>
      </w:tabs>
      <w:spacing w:before="60" w:after="60"/>
    </w:pPr>
  </w:style>
  <w:style w:type="paragraph" w:customStyle="1" w:styleId="SubHeading2">
    <w:name w:val="SubHeading2"/>
    <w:basedOn w:val="HeadingBase"/>
    <w:rsid w:val="00B321AA"/>
    <w:pPr>
      <w:spacing w:before="240" w:after="60"/>
    </w:pPr>
    <w:rPr>
      <w:sz w:val="20"/>
    </w:rPr>
  </w:style>
  <w:style w:type="paragraph" w:customStyle="1" w:styleId="SubHeading1">
    <w:name w:val="SubHeading1"/>
    <w:basedOn w:val="HeadingBase"/>
    <w:rsid w:val="00B321AA"/>
    <w:pPr>
      <w:spacing w:before="240" w:after="60"/>
    </w:pPr>
    <w:rPr>
      <w:color w:val="918585"/>
      <w:sz w:val="22"/>
    </w:rPr>
  </w:style>
  <w:style w:type="paragraph" w:customStyle="1" w:styleId="SideHeading">
    <w:name w:val="Side Heading"/>
    <w:basedOn w:val="HeadingBase"/>
    <w:rsid w:val="00B321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21AA"/>
    <w:pPr>
      <w:numPr>
        <w:numId w:val="13"/>
      </w:numPr>
    </w:pPr>
  </w:style>
  <w:style w:type="paragraph" w:styleId="PlainText">
    <w:name w:val="Plain Text"/>
    <w:basedOn w:val="Normal"/>
    <w:link w:val="PlainTextChar"/>
    <w:rsid w:val="00B321AA"/>
    <w:rPr>
      <w:sz w:val="20"/>
    </w:rPr>
  </w:style>
  <w:style w:type="character" w:customStyle="1" w:styleId="PlainTextChar">
    <w:name w:val="Plain Text Char"/>
    <w:basedOn w:val="DefaultParagraphFont"/>
    <w:link w:val="PlainText"/>
    <w:rsid w:val="00B321AA"/>
    <w:rPr>
      <w:rFonts w:ascii="Courier New" w:eastAsia="Times New Roman" w:hAnsi="Courier New" w:cs="Times New Roman"/>
      <w:sz w:val="20"/>
      <w:szCs w:val="20"/>
      <w:lang w:val="en-US" w:eastAsia="en-US"/>
    </w:rPr>
  </w:style>
  <w:style w:type="character" w:customStyle="1" w:styleId="MenuOption">
    <w:name w:val="Menu Option"/>
    <w:rsid w:val="00B321AA"/>
    <w:rPr>
      <w:b/>
      <w:smallCaps/>
    </w:rPr>
  </w:style>
  <w:style w:type="paragraph" w:customStyle="1" w:styleId="TableListNumber">
    <w:name w:val="Table List Number"/>
    <w:basedOn w:val="ListNumber"/>
    <w:rsid w:val="00B321AA"/>
    <w:pPr>
      <w:numPr>
        <w:numId w:val="0"/>
      </w:numPr>
    </w:pPr>
  </w:style>
  <w:style w:type="paragraph" w:styleId="TOC4">
    <w:name w:val="toc 4"/>
    <w:basedOn w:val="TOCBase"/>
    <w:next w:val="Normal"/>
    <w:semiHidden/>
    <w:rsid w:val="00B321AA"/>
    <w:pPr>
      <w:tabs>
        <w:tab w:val="right" w:leader="dot" w:pos="9071"/>
      </w:tabs>
      <w:ind w:left="1701"/>
    </w:pPr>
  </w:style>
  <w:style w:type="paragraph" w:customStyle="1" w:styleId="ListAlpha">
    <w:name w:val="List Alpha"/>
    <w:basedOn w:val="List"/>
    <w:rsid w:val="00B321AA"/>
    <w:pPr>
      <w:numPr>
        <w:numId w:val="10"/>
      </w:numPr>
    </w:pPr>
  </w:style>
  <w:style w:type="paragraph" w:customStyle="1" w:styleId="ListAlpha2">
    <w:name w:val="List Alpha 2"/>
    <w:basedOn w:val="List2"/>
    <w:rsid w:val="00B321AA"/>
    <w:pPr>
      <w:numPr>
        <w:numId w:val="9"/>
      </w:numPr>
    </w:pPr>
  </w:style>
  <w:style w:type="paragraph" w:styleId="List2">
    <w:name w:val="List 2"/>
    <w:basedOn w:val="BodyText"/>
    <w:rsid w:val="00B321AA"/>
    <w:pPr>
      <w:tabs>
        <w:tab w:val="left" w:pos="680"/>
      </w:tabs>
      <w:spacing w:before="60" w:after="60"/>
      <w:ind w:left="680" w:hanging="340"/>
    </w:pPr>
  </w:style>
  <w:style w:type="paragraph" w:styleId="List3">
    <w:name w:val="List 3"/>
    <w:basedOn w:val="BodyText"/>
    <w:rsid w:val="00B321AA"/>
    <w:pPr>
      <w:tabs>
        <w:tab w:val="left" w:pos="1021"/>
      </w:tabs>
      <w:spacing w:before="60" w:after="60"/>
      <w:ind w:left="1020" w:hanging="340"/>
    </w:pPr>
  </w:style>
  <w:style w:type="paragraph" w:styleId="List4">
    <w:name w:val="List 4"/>
    <w:basedOn w:val="BodyText"/>
    <w:rsid w:val="00B321AA"/>
    <w:pPr>
      <w:tabs>
        <w:tab w:val="left" w:pos="1361"/>
      </w:tabs>
      <w:spacing w:before="60" w:after="60"/>
      <w:ind w:left="1361" w:hanging="340"/>
    </w:pPr>
  </w:style>
  <w:style w:type="paragraph" w:styleId="List5">
    <w:name w:val="List 5"/>
    <w:basedOn w:val="BodyText"/>
    <w:rsid w:val="00B321AA"/>
    <w:pPr>
      <w:tabs>
        <w:tab w:val="left" w:pos="1701"/>
      </w:tabs>
      <w:spacing w:before="60" w:after="60"/>
      <w:ind w:left="1701" w:hanging="340"/>
    </w:pPr>
  </w:style>
  <w:style w:type="paragraph" w:styleId="ListBullet4">
    <w:name w:val="List Bullet 4"/>
    <w:basedOn w:val="List4"/>
    <w:rsid w:val="00B321AA"/>
    <w:pPr>
      <w:numPr>
        <w:numId w:val="4"/>
      </w:numPr>
    </w:pPr>
  </w:style>
  <w:style w:type="paragraph" w:styleId="ListBullet5">
    <w:name w:val="List Bullet 5"/>
    <w:basedOn w:val="List5"/>
    <w:rsid w:val="00B321AA"/>
    <w:pPr>
      <w:numPr>
        <w:numId w:val="5"/>
      </w:numPr>
    </w:pPr>
  </w:style>
  <w:style w:type="paragraph" w:styleId="ListContinue2">
    <w:name w:val="List Continue 2"/>
    <w:basedOn w:val="List2"/>
    <w:rsid w:val="00B321AA"/>
    <w:pPr>
      <w:ind w:firstLine="0"/>
    </w:pPr>
  </w:style>
  <w:style w:type="paragraph" w:styleId="ListContinue3">
    <w:name w:val="List Continue 3"/>
    <w:basedOn w:val="List3"/>
    <w:rsid w:val="00B321AA"/>
    <w:pPr>
      <w:ind w:left="1021" w:firstLine="0"/>
    </w:pPr>
  </w:style>
  <w:style w:type="paragraph" w:styleId="ListContinue4">
    <w:name w:val="List Continue 4"/>
    <w:basedOn w:val="List4"/>
    <w:rsid w:val="00B321AA"/>
    <w:pPr>
      <w:ind w:firstLine="0"/>
    </w:pPr>
  </w:style>
  <w:style w:type="paragraph" w:styleId="ListContinue5">
    <w:name w:val="List Continue 5"/>
    <w:basedOn w:val="List5"/>
    <w:rsid w:val="00B321AA"/>
    <w:pPr>
      <w:ind w:firstLine="0"/>
    </w:pPr>
  </w:style>
  <w:style w:type="paragraph" w:styleId="ListNumber3">
    <w:name w:val="List Number 3"/>
    <w:basedOn w:val="List3"/>
    <w:rsid w:val="00B321AA"/>
    <w:pPr>
      <w:numPr>
        <w:numId w:val="6"/>
      </w:numPr>
    </w:pPr>
  </w:style>
  <w:style w:type="paragraph" w:styleId="ListNumber4">
    <w:name w:val="List Number 4"/>
    <w:basedOn w:val="List4"/>
    <w:rsid w:val="00B321AA"/>
    <w:pPr>
      <w:numPr>
        <w:numId w:val="7"/>
      </w:numPr>
    </w:pPr>
  </w:style>
  <w:style w:type="paragraph" w:styleId="ListNumber5">
    <w:name w:val="List Number 5"/>
    <w:basedOn w:val="List5"/>
    <w:rsid w:val="00B321AA"/>
    <w:pPr>
      <w:numPr>
        <w:numId w:val="8"/>
      </w:numPr>
    </w:pPr>
  </w:style>
  <w:style w:type="paragraph" w:styleId="BlockText">
    <w:name w:val="Block Text"/>
    <w:basedOn w:val="Normal"/>
    <w:rsid w:val="00B321AA"/>
    <w:pPr>
      <w:spacing w:after="120"/>
      <w:ind w:left="1440" w:right="1440"/>
    </w:pPr>
  </w:style>
  <w:style w:type="character" w:customStyle="1" w:styleId="Subscript">
    <w:name w:val="Subscript"/>
    <w:rsid w:val="00B321AA"/>
    <w:rPr>
      <w:sz w:val="16"/>
      <w:vertAlign w:val="subscript"/>
    </w:rPr>
  </w:style>
  <w:style w:type="character" w:customStyle="1" w:styleId="Superscript">
    <w:name w:val="Superscript"/>
    <w:rsid w:val="00B321AA"/>
    <w:rPr>
      <w:sz w:val="16"/>
      <w:vertAlign w:val="superscript"/>
    </w:rPr>
  </w:style>
  <w:style w:type="character" w:customStyle="1" w:styleId="Symbols">
    <w:name w:val="Symbols"/>
    <w:rsid w:val="00B321AA"/>
    <w:rPr>
      <w:rFonts w:ascii="Symbol" w:hAnsi="Symbol"/>
    </w:rPr>
  </w:style>
  <w:style w:type="character" w:customStyle="1" w:styleId="MenuOptions">
    <w:name w:val="Menu Options"/>
    <w:rsid w:val="00B321AA"/>
    <w:rPr>
      <w:rFonts w:ascii="Arial Narrow" w:hAnsi="Arial Narrow"/>
      <w:smallCaps/>
    </w:rPr>
  </w:style>
  <w:style w:type="character" w:customStyle="1" w:styleId="Buttons">
    <w:name w:val="Buttons"/>
    <w:rsid w:val="00B321AA"/>
    <w:rPr>
      <w:b/>
    </w:rPr>
  </w:style>
  <w:style w:type="character" w:customStyle="1" w:styleId="Underlined">
    <w:name w:val="Underlined"/>
    <w:rsid w:val="00B321AA"/>
    <w:rPr>
      <w:u w:val="single"/>
    </w:rPr>
  </w:style>
  <w:style w:type="paragraph" w:customStyle="1" w:styleId="TableBodyTextRight">
    <w:name w:val="Table Body Text Right"/>
    <w:basedOn w:val="TableBodyText"/>
    <w:rsid w:val="00B321AA"/>
    <w:pPr>
      <w:widowControl w:val="0"/>
      <w:autoSpaceDE w:val="0"/>
      <w:autoSpaceDN w:val="0"/>
      <w:adjustRightInd w:val="0"/>
      <w:jc w:val="right"/>
    </w:pPr>
    <w:rPr>
      <w:rFonts w:cs="Arial"/>
      <w:szCs w:val="18"/>
    </w:rPr>
  </w:style>
  <w:style w:type="paragraph" w:customStyle="1" w:styleId="CopyrightText">
    <w:name w:val="Copyright Text"/>
    <w:basedOn w:val="BodyText"/>
    <w:rsid w:val="00B321AA"/>
    <w:rPr>
      <w:sz w:val="18"/>
    </w:rPr>
  </w:style>
  <w:style w:type="paragraph" w:customStyle="1" w:styleId="BodySmallRight">
    <w:name w:val="Body Small Right"/>
    <w:basedOn w:val="BodyTextRight"/>
    <w:rsid w:val="00B321AA"/>
    <w:rPr>
      <w:sz w:val="18"/>
      <w:szCs w:val="18"/>
    </w:rPr>
  </w:style>
  <w:style w:type="paragraph" w:customStyle="1" w:styleId="MarginEdition">
    <w:name w:val="Margin Edition"/>
    <w:basedOn w:val="MarginNote"/>
    <w:rsid w:val="00B321AA"/>
    <w:pPr>
      <w:spacing w:before="0" w:after="0"/>
    </w:pPr>
    <w:rPr>
      <w:rFonts w:ascii="Times New Roman" w:hAnsi="Times New Roman"/>
      <w:color w:val="999999"/>
    </w:rPr>
  </w:style>
  <w:style w:type="paragraph" w:customStyle="1" w:styleId="Spacer">
    <w:name w:val="Spacer"/>
    <w:basedOn w:val="Normal"/>
    <w:rsid w:val="00B321AA"/>
    <w:rPr>
      <w:sz w:val="2"/>
      <w:szCs w:val="2"/>
    </w:rPr>
  </w:style>
  <w:style w:type="character" w:customStyle="1" w:styleId="Small">
    <w:name w:val="Small"/>
    <w:rsid w:val="00B321AA"/>
    <w:rPr>
      <w:sz w:val="16"/>
    </w:rPr>
  </w:style>
  <w:style w:type="paragraph" w:customStyle="1" w:styleId="WideTable">
    <w:name w:val="Wide Table"/>
    <w:basedOn w:val="Normal"/>
    <w:rsid w:val="00B321AA"/>
    <w:pPr>
      <w:ind w:left="-1418"/>
    </w:pPr>
    <w:rPr>
      <w:sz w:val="2"/>
      <w:szCs w:val="2"/>
    </w:rPr>
  </w:style>
  <w:style w:type="character" w:styleId="PageNumber">
    <w:name w:val="page number"/>
    <w:rsid w:val="00B321AA"/>
  </w:style>
  <w:style w:type="paragraph" w:styleId="Quote">
    <w:name w:val="Quote"/>
    <w:basedOn w:val="Heading1"/>
    <w:link w:val="QuoteChar"/>
    <w:qFormat/>
    <w:rsid w:val="00B321AA"/>
    <w:rPr>
      <w:b w:val="0"/>
      <w:sz w:val="72"/>
      <w:szCs w:val="72"/>
      <w:lang w:val="en-NZ"/>
    </w:rPr>
  </w:style>
  <w:style w:type="character" w:customStyle="1" w:styleId="QuoteChar">
    <w:name w:val="Quote Char"/>
    <w:link w:val="Quote"/>
    <w:rsid w:val="00B321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21AA"/>
    <w:pPr>
      <w:pageBreakBefore/>
    </w:pPr>
  </w:style>
  <w:style w:type="paragraph" w:customStyle="1" w:styleId="Border">
    <w:name w:val="Border"/>
    <w:basedOn w:val="Normal"/>
    <w:qFormat/>
    <w:rsid w:val="00B321AA"/>
    <w:pPr>
      <w:pBdr>
        <w:top w:val="single" w:sz="18" w:space="1" w:color="auto"/>
      </w:pBdr>
    </w:pPr>
    <w:rPr>
      <w:rFonts w:ascii="Times New Roman" w:hAnsi="Times New Roman"/>
      <w:color w:val="FFFFFF"/>
      <w:sz w:val="2"/>
    </w:rPr>
  </w:style>
  <w:style w:type="character" w:styleId="IntenseEmphasis">
    <w:name w:val="Intense Emphasis"/>
    <w:uiPriority w:val="21"/>
    <w:qFormat/>
    <w:rsid w:val="00B321AA"/>
    <w:rPr>
      <w:b/>
      <w:bCs/>
      <w:i/>
      <w:iCs/>
      <w:color w:val="auto"/>
    </w:rPr>
  </w:style>
  <w:style w:type="paragraph" w:styleId="IntenseQuote">
    <w:name w:val="Intense Quote"/>
    <w:basedOn w:val="Normal"/>
    <w:next w:val="Normal"/>
    <w:link w:val="IntenseQuoteChar"/>
    <w:uiPriority w:val="30"/>
    <w:qFormat/>
    <w:rsid w:val="00B321A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321AA"/>
    <w:rPr>
      <w:rFonts w:ascii="Courier New" w:eastAsia="Times New Roman" w:hAnsi="Courier New" w:cs="Times New Roman"/>
      <w:b/>
      <w:bCs/>
      <w:i/>
      <w:iCs/>
      <w:szCs w:val="20"/>
      <w:lang w:val="en-US" w:eastAsia="en-US"/>
    </w:rPr>
  </w:style>
  <w:style w:type="character" w:styleId="SubtleReference">
    <w:name w:val="Subtle Reference"/>
    <w:uiPriority w:val="31"/>
    <w:qFormat/>
    <w:rsid w:val="00B321AA"/>
    <w:rPr>
      <w:smallCaps/>
      <w:color w:val="auto"/>
      <w:u w:val="single"/>
    </w:rPr>
  </w:style>
  <w:style w:type="character" w:styleId="IntenseReference">
    <w:name w:val="Intense Reference"/>
    <w:uiPriority w:val="32"/>
    <w:qFormat/>
    <w:rsid w:val="00B321AA"/>
    <w:rPr>
      <w:b/>
      <w:bCs/>
      <w:smallCaps/>
      <w:color w:val="auto"/>
      <w:spacing w:val="5"/>
      <w:u w:val="single"/>
    </w:rPr>
  </w:style>
  <w:style w:type="paragraph" w:customStyle="1" w:styleId="2ColumnHeading">
    <w:name w:val="2Column Heading"/>
    <w:basedOn w:val="BodyText"/>
    <w:qFormat/>
    <w:rsid w:val="00B321AA"/>
    <w:pPr>
      <w:spacing w:after="60"/>
      <w:ind w:left="-2268"/>
    </w:pPr>
    <w:rPr>
      <w:b/>
    </w:rPr>
  </w:style>
  <w:style w:type="paragraph" w:customStyle="1" w:styleId="Heading1TOC">
    <w:name w:val="Heading1 TOC"/>
    <w:basedOn w:val="Normal"/>
    <w:qFormat/>
    <w:rsid w:val="00B321AA"/>
    <w:pPr>
      <w:spacing w:before="240" w:after="120"/>
    </w:pPr>
    <w:rPr>
      <w:rFonts w:ascii="Times New Roman" w:hAnsi="Times New Roman"/>
      <w:b/>
      <w:sz w:val="32"/>
    </w:rPr>
  </w:style>
  <w:style w:type="paragraph" w:customStyle="1" w:styleId="Heading2TOC">
    <w:name w:val="Heading2 TOC"/>
    <w:basedOn w:val="Normal"/>
    <w:qFormat/>
    <w:rsid w:val="00B321AA"/>
    <w:pPr>
      <w:spacing w:before="240" w:after="60"/>
    </w:pPr>
    <w:rPr>
      <w:rFonts w:ascii="Times New Roman" w:hAnsi="Times New Roman"/>
      <w:b/>
      <w:sz w:val="28"/>
    </w:rPr>
  </w:style>
  <w:style w:type="character" w:customStyle="1" w:styleId="Underline">
    <w:name w:val="Underline"/>
    <w:qFormat/>
    <w:rsid w:val="00B321AA"/>
    <w:rPr>
      <w:u w:val="single"/>
    </w:rPr>
  </w:style>
  <w:style w:type="character" w:customStyle="1" w:styleId="BoldandItalics">
    <w:name w:val="Bold and Italics"/>
    <w:qFormat/>
    <w:rsid w:val="00B321AA"/>
    <w:rPr>
      <w:b/>
      <w:i/>
      <w:u w:val="none"/>
    </w:rPr>
  </w:style>
  <w:style w:type="paragraph" w:styleId="BalloonText">
    <w:name w:val="Balloon Text"/>
    <w:basedOn w:val="Normal"/>
    <w:link w:val="BalloonTextChar"/>
    <w:rsid w:val="00B321AA"/>
    <w:rPr>
      <w:rFonts w:ascii="Tahoma" w:hAnsi="Tahoma" w:cs="Tahoma"/>
      <w:sz w:val="16"/>
      <w:szCs w:val="16"/>
    </w:rPr>
  </w:style>
  <w:style w:type="character" w:customStyle="1" w:styleId="BalloonTextChar">
    <w:name w:val="Balloon Text Char"/>
    <w:link w:val="BalloonText"/>
    <w:rsid w:val="00B321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21A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321A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2642</Words>
  <Characters>16860</Characters>
  <Application>Microsoft Office Word</Application>
  <DocSecurity>0</DocSecurity>
  <Lines>705</Lines>
  <Paragraphs>299</Paragraphs>
  <ScaleCrop>false</ScaleCrop>
  <Company>Author-it Software Corporation Ltd.</Company>
  <LinksUpToDate>false</LinksUpToDate>
  <CharactersWithSpaces>19276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UETTDRTP99A Test and verify transmission overhead installations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2012-05-26T12:25:00Z</dcterms:created>
  <dcterms:modified xsi:type="dcterms:W3CDTF">2012-05-26T12:25:00Z</dcterms:modified>
</cp:coreProperties>
</file>