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550" w:rsidP="00340550">
      <w:pPr>
        <w:pStyle w:val="Title"/>
      </w:pPr>
      <w:r>
        <w:fldChar w:fldCharType="begin"/>
      </w:r>
      <w:r>
        <w:instrText xml:space="preserve"> TITLE   \* MERGEFORMAT </w:instrText>
      </w:r>
      <w:r>
        <w:fldChar w:fldCharType="separate"/>
      </w:r>
      <w:r>
        <w:t>UETTDRTP35A Install/maintain transmission network infrastructure electrical equipment</w:t>
      </w:r>
      <w:r>
        <w:fldChar w:fldCharType="end"/>
      </w:r>
    </w:p>
    <w:p w:rsidR="00340550" w:rsidP="00340550">
      <w:pPr>
        <w:pStyle w:val="Version"/>
        <w:sectPr w:rsidSect="00BC4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AFF" w:rsidP="00BC4AFF">
      <w:pPr>
        <w:pStyle w:val="SuperHeading"/>
      </w:pPr>
      <w:r w:rsidRPr="00BC4AFF">
        <w:t>UETTDRTP35A Install/maintain transmission network infrastructure electrical equipment</w:t>
      </w:r>
    </w:p>
    <w:p w:rsidR="00000000" w:rsidRPr="00BC4AFF" w:rsidP="00BC4AFF">
      <w:pPr>
        <w:pStyle w:val="Heading1"/>
      </w:pPr>
      <w:bookmarkStart w:id="1" w:name="O_461025"/>
      <w:bookmarkEnd w:id="1"/>
      <w:r w:rsidRPr="00BC4AFF">
        <w:t>Modification History</w:t>
      </w:r>
    </w:p>
    <w:p w:rsidR="00000000" w:rsidRPr="00BC4AFF" w:rsidP="00BC4AFF">
      <w:pPr>
        <w:pStyle w:val="BodyText"/>
      </w:pPr>
      <w:r w:rsidRPr="00BC4AFF">
        <w:t>Not applicable.</w:t>
      </w:r>
    </w:p>
    <w:p w:rsidR="00000000" w:rsidRPr="00BC4AFF" w:rsidP="00BC4AFF">
      <w:pPr>
        <w:pStyle w:val="AllowPageBreak"/>
      </w:pPr>
    </w:p>
    <w:p w:rsidR="00000000" w:rsidRPr="00BC4AFF" w:rsidP="00BC4AFF">
      <w:pPr>
        <w:pStyle w:val="Heading1"/>
      </w:pPr>
      <w:bookmarkStart w:id="2" w:name="O_461023"/>
      <w:bookmarkEnd w:id="2"/>
      <w:r w:rsidRPr="00BC4AFF">
        <w:t>Unit Descriptor</w:t>
      </w:r>
    </w:p>
    <w:tbl>
      <w:tblPr>
        <w:tblW w:w="0" w:type="auto"/>
        <w:tblLayout w:type="fixed"/>
        <w:tblCellMar>
          <w:left w:w="62" w:type="dxa"/>
          <w:right w:w="62" w:type="dxa"/>
        </w:tblCellMar>
        <w:tblLook w:val="0000"/>
      </w:tblPr>
      <w:tblGrid>
        <w:gridCol w:w="2700"/>
        <w:gridCol w:w="5760"/>
      </w:tblGrid>
      <w:tr w:rsidTr="003405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1)</w:t>
            </w:r>
            <w:r w:rsidRPr="00BC4AFF">
              <w:t xml:space="preserve"> </w:t>
            </w:r>
            <w:r w:rsidRPr="00BC4AFF">
              <w:rPr>
                <w:rStyle w:val="SpecialBold"/>
              </w:rPr>
              <w:t>Scope:</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4AF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1.1) Descriptor</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This Competency Standard Unit covers the maintenance of non-energised, pyramid, delta, Pi or enterprise specific transmission towers and associated hardware and, the inspection as per requirements of overhead structures such as towers and electrical appara</w:t>
            </w:r>
            <w:r w:rsidRPr="00BC4AFF">
              <w:t>tus. Overhead structures include towers and overhead conductors and or cables include, underground and overhead transition points, electrical equipment, hardware and or earthing systems. This unit encompasses the repair, and or replacement of components in</w:t>
            </w:r>
            <w:r w:rsidRPr="00BC4AFF">
              <w:t xml:space="preserve"> accordance with construction plans, specifications, work orders and standing enterprise requirements. Maintenance could also involve cleaning and welding. The updating of system data, records and or completion of relevant documentation in accordance with </w:t>
            </w:r>
            <w:r w:rsidRPr="00BC4AFF">
              <w:t>enterprise requirements also forms part of this competency.</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3" w:name="O_461012"/>
      <w:bookmarkEnd w:id="3"/>
      <w:r w:rsidRPr="00BC4AFF">
        <w:t>Application of the Unit</w:t>
      </w:r>
    </w:p>
    <w:tbl>
      <w:tblPr>
        <w:tblW w:w="0" w:type="auto"/>
        <w:tblLayout w:type="fixed"/>
        <w:tblCellMar>
          <w:left w:w="62" w:type="dxa"/>
          <w:right w:w="62" w:type="dxa"/>
        </w:tblCellMar>
        <w:tblLook w:val="0000"/>
      </w:tblPr>
      <w:tblGrid>
        <w:gridCol w:w="2672"/>
        <w:gridCol w:w="5699"/>
      </w:tblGrid>
      <w:tr w:rsidTr="0034055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2)</w:t>
            </w:r>
          </w:p>
        </w:tc>
      </w:tr>
      <w:tr w:rsidTr="0034055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 xml:space="preserve">This Competency Standard Unit is intended </w:t>
            </w:r>
            <w:r w:rsidRPr="00BC4AFF">
              <w:t>to augment formally acquired competencies. It is suitable for employment-based programs under an approved contract of training.</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4" w:name="O_461019"/>
      <w:bookmarkEnd w:id="4"/>
      <w:r w:rsidRPr="00BC4AFF">
        <w:t>Licensing/Regulatory Information</w:t>
      </w:r>
    </w:p>
    <w:tbl>
      <w:tblPr>
        <w:tblW w:w="0" w:type="auto"/>
        <w:tblLayout w:type="fixed"/>
        <w:tblCellMar>
          <w:left w:w="62" w:type="dxa"/>
          <w:right w:w="62" w:type="dxa"/>
        </w:tblCellMar>
        <w:tblLook w:val="0000"/>
      </w:tblPr>
      <w:tblGrid>
        <w:gridCol w:w="2700"/>
        <w:gridCol w:w="5760"/>
      </w:tblGrid>
      <w:tr w:rsidTr="003405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 xml:space="preserve">3) </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The skills and knowledge described in this unit re</w:t>
            </w:r>
            <w:r w:rsidRPr="00BC4AFF">
              <w:t>quires a licence/registration to practice in the work place subject to regulations for undertaking of electrical work. Practice in workplace and during training is also subject to regulations directly related to Occupational Health and Safety, electricity/</w:t>
            </w:r>
            <w:r w:rsidRPr="00BC4AFF">
              <w:t>telecommunications/gas/water industry safety and compliance, industrial relations, environmental protection, anti discrimination and training. Commonwealth, State/Territory or Local Government legislation and regulations may exist that limits the age of op</w:t>
            </w:r>
            <w:r w:rsidRPr="00BC4AFF">
              <w:t>erating certain equipment.</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5" w:name="O_461020"/>
      <w:bookmarkEnd w:id="5"/>
      <w:r w:rsidRPr="00BC4AFF">
        <w:t>Pre-Requisites</w:t>
      </w:r>
    </w:p>
    <w:tbl>
      <w:tblPr>
        <w:tblW w:w="0" w:type="auto"/>
        <w:tblLayout w:type="fixed"/>
        <w:tblCellMar>
          <w:left w:w="62" w:type="dxa"/>
          <w:right w:w="62" w:type="dxa"/>
        </w:tblCellMar>
        <w:tblLook w:val="0000"/>
      </w:tblPr>
      <w:tblGrid>
        <w:gridCol w:w="2700"/>
        <w:gridCol w:w="1980"/>
        <w:gridCol w:w="3769"/>
        <w:gridCol w:w="15"/>
      </w:tblGrid>
      <w:tr w:rsidTr="003405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 xml:space="preserve">4) </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4.1)</w:t>
            </w:r>
          </w:p>
        </w:tc>
      </w:tr>
      <w:tr w:rsidTr="00340550">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Granting of competency in this unit shall be made only after competency in the following unit(s) has/have been confirmed.</w:t>
            </w:r>
          </w:p>
          <w:p w:rsidR="00000000" w:rsidP="00BC4AFF">
            <w:pPr>
              <w:pStyle w:val="BodyText"/>
              <w:rPr>
                <w:lang w:val="en-NZ"/>
              </w:rPr>
            </w:pPr>
            <w:r w:rsidRPr="00BC4AFF">
              <w:t>Where pre-requisite pathways have been identified. All competencies in the Common Unit Group must be have been completed plus all the competencies in one (1) of the identified Pathway Unit Group(s):</w:t>
            </w:r>
          </w:p>
        </w:tc>
      </w:tr>
      <w:tr w:rsidTr="00340550">
        <w:tblPrEx>
          <w:tblW w:w="0" w:type="auto"/>
          <w:tblLayout w:type="fixed"/>
          <w:tblCellMar>
            <w:left w:w="62" w:type="dxa"/>
            <w:right w:w="62" w:type="dxa"/>
          </w:tblCellMar>
          <w:tblLook w:val="0000"/>
        </w:tblPrEx>
        <w:trPr>
          <w:trHeight w:val="27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3"/>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Common Unit Group</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Unit Code</w:t>
            </w:r>
            <w:r w:rsidRPr="00BC4AFF">
              <w:tab/>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Unit Title</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UEENEEE101A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Apply Occupational Health and Safety regulations, codes and practices in the workplace</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UEENEEE102A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Fabricate, assemble and dismantle utilities industry components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UEENEEE104A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Solve problems in d.c.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UEENEEE105A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Fix and secure electrotechnology equipment</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UEENEEE107A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Use drawings, diagrams, schedules, standards, codes and specifications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UEENEEE137A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Document and apply measures to control OHS risks associated with electrotechnology work</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UEENEEG006A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Solve proble</w:t>
            </w:r>
            <w:r w:rsidRPr="00BC4AFF">
              <w:t>ms in single and three phase low voltage machines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UEENEEG033A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Solve problems in single and three phase electrical apparatus and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UEENEEG063A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Arrange circuits, control and protection for general electrical installations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UEENEEG101A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Solve problems in electromagnetic devices and related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UEENEEG102A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Solve problems in electromagnetic devices and related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UEENEEG103A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Install low voltage wiring and accessories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UEENEEG104A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Install appliances, switchgear and associated</w:t>
            </w:r>
            <w:r w:rsidRPr="00BC4AFF">
              <w:t xml:space="preserve"> accessories for low voltage electrical installations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UEENEEG105A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Verify compliance and functionality of low voltage general electrical installations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UEENEEG106A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Terminate cables, cords and accessories for low voltage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UEENEEG107A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Select wiring systems and cables for low voltage general electrical installations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UEENEEG108A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Trouble-shoot and repair faults in low voltage electrical apparatus and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UEENEEG109A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Develop and connect electrical control circuits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UEENEEK142A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App</w:t>
            </w:r>
            <w:r w:rsidRPr="00BC4AFF">
              <w:t>ly environmentally and sustainable energy procedures in the energy sector</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UETTDREL16A</w:t>
            </w:r>
          </w:p>
        </w:tc>
        <w:tc>
          <w:tcPr>
            <w:tcW w:w="3784" w:type="dxa"/>
            <w:gridSpan w:val="2"/>
            <w:tcBorders>
              <w:top w:val="nil"/>
              <w:left w:val="nil"/>
              <w:bottom w:val="nil"/>
              <w:right w:val="nil"/>
            </w:tcBorders>
            <w:tcMar>
              <w:top w:w="0" w:type="dxa"/>
              <w:left w:w="62" w:type="dxa"/>
              <w:bottom w:w="0" w:type="dxa"/>
              <w:right w:w="62" w:type="dxa"/>
            </w:tcMar>
            <w:vAlign w:val="bottom"/>
          </w:tcPr>
          <w:p w:rsidR="00000000" w:rsidP="00BC4AFF">
            <w:pPr>
              <w:pStyle w:val="BodyText"/>
              <w:rPr>
                <w:lang w:val="en-NZ"/>
              </w:rPr>
            </w:pPr>
            <w:r w:rsidRPr="00BC4AFF">
              <w:t xml:space="preserve">Working safely near live electrical apparatus </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UETTDRIS62A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BC4AFF">
            <w:pPr>
              <w:pStyle w:val="BodyText"/>
              <w:rPr>
                <w:lang w:val="en-NZ"/>
              </w:rPr>
            </w:pPr>
            <w:r w:rsidRPr="00BC4AFF">
              <w:t>Implement and monitor the power system organisational OHS policies, procedures and programs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UETTDRIS63A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BC4AFF">
            <w:pPr>
              <w:pStyle w:val="BodyText"/>
              <w:rPr>
                <w:lang w:val="en-NZ"/>
              </w:rPr>
            </w:pPr>
            <w:r w:rsidRPr="00BC4AFF">
              <w:t>Implement and monitor the power system environmental and sustainable energy management policies and procedures</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UETTDRIS67A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P="00BC4AFF">
            <w:pPr>
              <w:pStyle w:val="BodyText"/>
              <w:rPr>
                <w:lang w:val="en-NZ"/>
              </w:rPr>
            </w:pPr>
            <w:r w:rsidRPr="00BC4AFF">
              <w:t>Solve problems in energy supply network equipment</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BC4AFF">
            <w:pPr>
              <w:pStyle w:val="BodyText"/>
              <w:rPr>
                <w:lang w:val="en-NZ"/>
              </w:rPr>
            </w:pPr>
            <w:r w:rsidRPr="00BC4AFF">
              <w:t>UETTDRTP34A</w:t>
            </w:r>
          </w:p>
        </w:tc>
        <w:tc>
          <w:tcPr>
            <w:tcW w:w="3784" w:type="dxa"/>
            <w:gridSpan w:val="2"/>
            <w:tcBorders>
              <w:top w:val="nil"/>
              <w:left w:val="nil"/>
              <w:bottom w:val="nil"/>
              <w:right w:val="nil"/>
            </w:tcBorders>
            <w:tcMar>
              <w:top w:w="0" w:type="dxa"/>
              <w:left w:w="62" w:type="dxa"/>
              <w:bottom w:w="0" w:type="dxa"/>
              <w:right w:w="62" w:type="dxa"/>
            </w:tcMar>
            <w:vAlign w:val="center"/>
          </w:tcPr>
          <w:p w:rsidR="00000000" w:rsidRPr="00BC4AFF" w:rsidP="00BC4AFF">
            <w:pPr>
              <w:pStyle w:val="BodyText"/>
            </w:pPr>
            <w:r w:rsidRPr="00BC4AFF">
              <w:t>Install/maintain overhead transmission network infrastructure</w:t>
            </w:r>
          </w:p>
        </w:tc>
      </w:tr>
    </w:tbl>
    <w:p w:rsidR="00000000" w:rsidRPr="00BC4AFF" w:rsidP="00BC4AF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4055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 xml:space="preserve">4.2) </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Participants are best equipped to achieve this unit if they have reading, writing and numeracy skills indicated by the following scales. Description of each scale is given in Volume 2, Part 3 “Literacy and Numeracy</w:t>
            </w:r>
            <w:r w:rsidRPr="00BC4AFF">
              <w:t>”</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Reading</w:t>
            </w:r>
          </w:p>
        </w:tc>
        <w:tc>
          <w:tcPr>
            <w:tcW w:w="81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4</w:t>
            </w:r>
          </w:p>
        </w:tc>
        <w:tc>
          <w:tcPr>
            <w:tcW w:w="99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Writing</w:t>
            </w:r>
          </w:p>
        </w:tc>
        <w:tc>
          <w:tcPr>
            <w:tcW w:w="90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4</w:t>
            </w:r>
          </w:p>
        </w:tc>
        <w:tc>
          <w:tcPr>
            <w:tcW w:w="12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Numeracy</w:t>
            </w:r>
          </w:p>
        </w:tc>
        <w:tc>
          <w:tcPr>
            <w:tcW w:w="72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4</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6" w:name="O_461016"/>
      <w:bookmarkEnd w:id="6"/>
      <w:r w:rsidRPr="00BC4AFF">
        <w:t>Employability Skills Information</w:t>
      </w:r>
    </w:p>
    <w:tbl>
      <w:tblPr>
        <w:tblW w:w="0" w:type="auto"/>
        <w:tblLayout w:type="fixed"/>
        <w:tblCellMar>
          <w:left w:w="62" w:type="dxa"/>
          <w:right w:w="62" w:type="dxa"/>
        </w:tblCellMar>
        <w:tblLook w:val="0000"/>
      </w:tblPr>
      <w:tblGrid>
        <w:gridCol w:w="2700"/>
        <w:gridCol w:w="5760"/>
      </w:tblGrid>
      <w:tr w:rsidTr="003405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 xml:space="preserve">5) </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C4AFF">
              <w:t>requirements.</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7" w:name="O_461015"/>
      <w:bookmarkEnd w:id="7"/>
      <w:r w:rsidRPr="00BC4AFF">
        <w:t>Elements and Performance Criteria Pre-Content</w:t>
      </w:r>
    </w:p>
    <w:tbl>
      <w:tblPr>
        <w:tblW w:w="0" w:type="auto"/>
        <w:tblLayout w:type="fixed"/>
        <w:tblCellMar>
          <w:left w:w="62" w:type="dxa"/>
          <w:right w:w="62" w:type="dxa"/>
        </w:tblCellMar>
        <w:tblLook w:val="0000"/>
      </w:tblPr>
      <w:tblGrid>
        <w:gridCol w:w="2700"/>
        <w:gridCol w:w="5760"/>
      </w:tblGrid>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6)</w:t>
            </w:r>
            <w:r w:rsidRPr="00BC4AF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Performance Criteria describe the required performance needed to demonstrate achievement of the element</w:t>
            </w:r>
            <w:r w:rsidRPr="00BC4AFF">
              <w:t>. Assessment of performance is to be consistent with the Evidence Guide.</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8" w:name="O_461014"/>
      <w:bookmarkEnd w:id="8"/>
      <w:r w:rsidRPr="00BC4AFF">
        <w:t>Elements and Performance Criteria</w:t>
      </w:r>
    </w:p>
    <w:tbl>
      <w:tblPr>
        <w:tblW w:w="0" w:type="auto"/>
        <w:tblLayout w:type="fixed"/>
        <w:tblCellMar>
          <w:left w:w="62" w:type="dxa"/>
          <w:right w:w="62" w:type="dxa"/>
        </w:tblCellMar>
        <w:tblLook w:val="0000"/>
      </w:tblPr>
      <w:tblGrid>
        <w:gridCol w:w="443"/>
        <w:gridCol w:w="2257"/>
        <w:gridCol w:w="844"/>
        <w:gridCol w:w="4916"/>
      </w:tblGrid>
      <w:tr w:rsidTr="0034055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PERFORMANCE CRITERIA</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w:t>
            </w:r>
          </w:p>
        </w:tc>
        <w:tc>
          <w:tcPr>
            <w:tcW w:w="2257" w:type="dxa"/>
            <w:vMerge w:val="restart"/>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Prepare/plan to install and maintain transmission network infrastructure electrical equipment</w:t>
            </w: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1.1</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Works schedule(s), including drawings, plans, requirements, established procedures, and material lists, are received, analysed and confirmed, if necessary, by site inspection.</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1.2</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Relevant requirements and established procedures for the work are communicated to all personnel and identified for all work sites.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1.3</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OHS policies and procedures related to requirements and established procedures for the installation and maintenance of</w:t>
            </w:r>
            <w:r w:rsidRPr="00BC4AFF">
              <w:t xml:space="preserve"> transmission network infrastructure electrical equipment are obtained and confirmed for the purposes of the work to be performed and communicated.</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1.4</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Work is prioritised and sequenced following consultation with others for completion within acceptable</w:t>
            </w:r>
            <w:r w:rsidRPr="00BC4AFF">
              <w:t xml:space="preserve"> timeframes and in accordance with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1.5</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Hazards are identified, OHS risks assessed and control measures are prioritised, implemented and monitored including emergency exits kept clear according to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1.6</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Resources including personnel, equipment, tools and personal protective equipment required for the job are obtained and confirmed in working order.</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1.7</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Relevant work permits are obtained to access and perform work according to requirements and/or establ</w:t>
            </w:r>
            <w:r w:rsidRPr="00BC4AFF">
              <w:t>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1.8</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Relevant personnel at work site are confirmed current in First Aid, Tower/Pole Top Rescue and other related work procedures according to requirements.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1.9</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Liaison and communication issues with other/authorised personnel, authori</w:t>
            </w:r>
            <w:r w:rsidRPr="00BC4AFF">
              <w:t>ties, clients and land owners are resolved to carry out work where necessary.</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1.10</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Site is prepared according to the work schedule and to minimise risk and damage to property, commerce, and individuals in accordance with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1.11</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Personnel participating in the work, including plant operators and contractors, are fully briefed and respective responsibilities confirmed where applicable in accordance with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1.12</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Traffic management plan is identified and implem</w:t>
            </w:r>
            <w:r w:rsidRPr="00BC4AFF">
              <w:t>ented.</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w:t>
            </w:r>
          </w:p>
        </w:tc>
        <w:tc>
          <w:tcPr>
            <w:tcW w:w="2257" w:type="dxa"/>
            <w:vMerge w:val="restart"/>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Carry out the installation and maintenance of transmission network infrastructure electrical equipment</w:t>
            </w: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2.1</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OHS, sustainable energy and environmental principles and practices to reduce the incidents of accidents and minimise waste are monitored an</w:t>
            </w:r>
            <w:r w:rsidRPr="00BC4AFF">
              <w:t>d followed in accordance with requirements and/or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2.2</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Towers and associated hardware to be erected are stabilised according to requirements.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2.3</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Lifting, climbing, working aloft, and use of power tools/equipment, techniques and practices are safely followed and, currency according to requirements confirmed.</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2.4</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Essential knowledge and associated skills are applied in the safe installation and maintenance of transmission network infrastructure electrical equipment to ensure completion in an agreed timeframe and, to quality standards with a minimum of waste accordi</w:t>
            </w:r>
            <w:r w:rsidRPr="00BC4AFF">
              <w:t>ng to requirements.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2.5</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Hazard warnings and safety signs are recognised and hazards and assessed OHS risks are reported to the immediate authorised persons for directions according to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2.6</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 xml:space="preserve">Inspection of overhead structures and </w:t>
            </w:r>
            <w:r w:rsidRPr="00BC4AFF">
              <w:t>electrical apparatus used on towers is carried out, in accordance with the work schedule and requirements/established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2.7</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Maintenance, including repair and/or replacement of towers is carried out, in accordance with the work schedule and req</w:t>
            </w:r>
            <w:r w:rsidRPr="00BC4AFF">
              <w:t>uirements/established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2.8</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Unplanned events in the erection of towers and associated hardware are undertaken within the scope of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2.9</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Known solutions to a variety of problems are applied using acquired essentia</w:t>
            </w:r>
            <w:r w:rsidRPr="00BC4AFF">
              <w:t>l knowledge and associated skills.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2.10</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Ongoing checks of quality of the work are undertaken in accordance with instructions and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w:t>
            </w:r>
          </w:p>
        </w:tc>
        <w:tc>
          <w:tcPr>
            <w:tcW w:w="2257" w:type="dxa"/>
            <w:vMerge w:val="restart"/>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Complete the installation and maintenance of transmission network infrastructure electrical equip</w:t>
            </w:r>
            <w:r w:rsidRPr="00BC4AFF">
              <w:t>ment</w:t>
            </w: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3.1</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Work undertaken is checked against works schedule for conformance with requirements and anomalies reported in accordance with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3.2</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Accidents and/or injuries are reported in accordance with requirements/established procedures, where applicable.</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3.3</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Work site is rehabilitated, cleaned up and made safe in accordance with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3.4</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Tools, equipment and any surplus resources and materials are, where appropriate, cleaned, checked and returned to storage or disposed of in accordance with established procedures.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3.5</w:t>
            </w:r>
          </w:p>
        </w:tc>
        <w:tc>
          <w:tcPr>
            <w:tcW w:w="4916"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Relevant work permit(s) are signed off and, towers and associated har</w:t>
            </w:r>
            <w:r w:rsidRPr="00BC4AFF">
              <w:t>dware are returned to service in accordance with requirements.</w:t>
            </w:r>
          </w:p>
        </w:tc>
      </w:tr>
      <w:tr w:rsidTr="00340550">
        <w:tblPrEx>
          <w:tblW w:w="0" w:type="auto"/>
          <w:tblLayout w:type="fixed"/>
          <w:tblCellMar>
            <w:left w:w="62" w:type="dxa"/>
            <w:right w:w="62" w:type="dxa"/>
          </w:tblCellMar>
          <w:tblLook w:val="0000"/>
        </w:tblPrEx>
        <w:tc>
          <w:tcPr>
            <w:tcW w:w="4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t>3.6</w:t>
            </w:r>
          </w:p>
        </w:tc>
        <w:tc>
          <w:tcPr>
            <w:tcW w:w="4916"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Works completion records, reports, as installed /modified drawing and/or documentation and information are finalised and processed and appropriate personnel notified.</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9" w:name="O_461022"/>
      <w:bookmarkEnd w:id="9"/>
      <w:r w:rsidRPr="00BC4AFF">
        <w:t>Required Skills and Knowledge</w:t>
      </w:r>
    </w:p>
    <w:tbl>
      <w:tblPr>
        <w:tblW w:w="0" w:type="auto"/>
        <w:tblLayout w:type="fixed"/>
        <w:tblCellMar>
          <w:left w:w="62" w:type="dxa"/>
          <w:right w:w="62" w:type="dxa"/>
        </w:tblCellMar>
        <w:tblLook w:val="0000"/>
      </w:tblPr>
      <w:tblGrid>
        <w:gridCol w:w="8460"/>
      </w:tblGrid>
      <w:tr w:rsidTr="003405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REQUIRED SKILLS AND KNOWLEDGE</w:t>
            </w:r>
          </w:p>
        </w:tc>
      </w:tr>
      <w:tr w:rsidTr="0034055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8)</w:t>
            </w:r>
            <w:r w:rsidRPr="00BC4AFF">
              <w:t xml:space="preserve"> Essential Knowledge and Associated Skills (EKAS): This describes the essential skills and knowledge and their level, required for this unit.</w:t>
            </w:r>
          </w:p>
          <w:p w:rsidR="00000000" w:rsidRPr="00BC4AFF" w:rsidP="00BC4AFF">
            <w:pPr>
              <w:pStyle w:val="BodyText"/>
            </w:pPr>
            <w:r w:rsidRPr="00BC4AFF">
              <w:t xml:space="preserve">Evidence shall show that knowledge has been acquired of maintaining transmission towers and associated hardware. </w:t>
            </w:r>
          </w:p>
          <w:p w:rsidR="00000000" w:rsidRPr="00BC4AFF" w:rsidP="00BC4AFF">
            <w:pPr>
              <w:pStyle w:val="BodyText"/>
            </w:pPr>
            <w:r w:rsidRPr="00BC4AFF">
              <w:t>All knowledge and skills detailed in this unit should be contextualised to current industry practices and technologies.</w:t>
            </w:r>
          </w:p>
          <w:p w:rsidR="00000000" w:rsidRPr="00BC4AFF" w:rsidP="00BC4AFF">
            <w:pPr>
              <w:pStyle w:val="BodyText"/>
            </w:pPr>
            <w:r w:rsidRPr="00BC4AFF">
              <w:t xml:space="preserve">KS01-TTP35A </w:t>
            </w:r>
            <w:r w:rsidRPr="00BC4AFF">
              <w:tab/>
              <w:t xml:space="preserve">Overhead </w:t>
            </w:r>
            <w:r w:rsidRPr="00BC4AFF">
              <w:t>transmission network infrastructure electrical equipment</w:t>
            </w:r>
          </w:p>
          <w:p w:rsidR="00000000" w:rsidRPr="00BC4AFF" w:rsidP="00BC4AFF">
            <w:pPr>
              <w:pStyle w:val="BodyText"/>
            </w:pPr>
            <w:r w:rsidRPr="00BC4AFF">
              <w:t>Evidence shall show an understanding of the installation and maintenance of overhead transmission network infrastructure electrical equipment to an extent indicated by the following aspects:</w:t>
            </w:r>
          </w:p>
          <w:p w:rsidR="00000000" w:rsidRPr="00BC4AFF" w:rsidP="00BC4AFF">
            <w:pPr>
              <w:pStyle w:val="BodyText"/>
            </w:pPr>
            <w:r w:rsidRPr="00BC4AFF">
              <w:t>T1</w:t>
            </w:r>
            <w:r w:rsidRPr="00BC4AFF">
              <w:tab/>
              <w:t>Proce</w:t>
            </w:r>
            <w:r w:rsidRPr="00BC4AFF">
              <w:t>dures for routine maintenance on transmission structures and hardware encompassing:</w:t>
            </w:r>
          </w:p>
          <w:p w:rsidR="00000000" w:rsidRPr="00BC4AFF" w:rsidP="00BC4AFF">
            <w:pPr>
              <w:pStyle w:val="ListBullet"/>
            </w:pPr>
            <w:r w:rsidRPr="00BC4AFF">
              <w:t>Procedures for gaining access permits</w:t>
            </w:r>
          </w:p>
          <w:p w:rsidR="00000000" w:rsidRPr="00BC4AFF" w:rsidP="00BC4AFF">
            <w:pPr>
              <w:pStyle w:val="ListBullet"/>
            </w:pPr>
            <w:r w:rsidRPr="00BC4AFF">
              <w:t>Reasons for gaining access</w:t>
            </w:r>
          </w:p>
          <w:p w:rsidR="00000000" w:rsidRPr="00BC4AFF" w:rsidP="00BC4AFF">
            <w:pPr>
              <w:pStyle w:val="ListBullet"/>
            </w:pPr>
            <w:r w:rsidRPr="00BC4AFF">
              <w:t>Types of maintenance procedures on transmission structures - procedure to follow for inspection/patrols ac</w:t>
            </w:r>
            <w:r w:rsidRPr="00BC4AFF">
              <w:t>cording to the Transmission Supply Authority</w:t>
            </w:r>
          </w:p>
          <w:p w:rsidR="00000000" w:rsidRPr="00BC4AFF" w:rsidP="00BC4AFF">
            <w:pPr>
              <w:pStyle w:val="ListBullet"/>
            </w:pPr>
            <w:r w:rsidRPr="00BC4AFF">
              <w:t>Erecting and removing of transmission equipment and hardware from a tower - climbing procedures, square rigging principles, calculation of forces at work within a given square rigging system, construction of a s</w:t>
            </w:r>
            <w:r w:rsidRPr="00BC4AFF">
              <w:t>quare rigging system.</w:t>
            </w:r>
          </w:p>
          <w:p w:rsidR="00000000" w:rsidRPr="00BC4AFF" w:rsidP="00BC4AFF">
            <w:pPr>
              <w:pStyle w:val="ListBullet"/>
            </w:pPr>
            <w:r w:rsidRPr="00BC4AFF">
              <w:t>Procedures for changing insulators - vertical angle suspension, strain insulator, post insulator (horizontal or vertical) and bridge insulator, calculation of conductor forces</w:t>
            </w:r>
          </w:p>
          <w:p w:rsidR="00000000" w:rsidRPr="00BC4AFF" w:rsidP="00BC4AFF">
            <w:pPr>
              <w:pStyle w:val="ListBullet"/>
            </w:pPr>
            <w:r w:rsidRPr="00BC4AFF">
              <w:t>Installation of temporary work platforms - types and funct</w:t>
            </w:r>
            <w:r w:rsidRPr="00BC4AFF">
              <w:t>ion of installation tools and equipment, precautions and work methods to follow, procedures for installations of temporary work platforms.</w:t>
            </w:r>
          </w:p>
          <w:p w:rsidR="00000000" w:rsidRPr="00BC4AFF" w:rsidP="00BC4AFF">
            <w:pPr>
              <w:pStyle w:val="ListBullet"/>
            </w:pPr>
            <w:r w:rsidRPr="00BC4AFF">
              <w:t>Installation of conductor protective hardware - types and selection of common dampers, tools and equipment, control o</w:t>
            </w:r>
            <w:r w:rsidRPr="00BC4AFF">
              <w:t>f Aeolian vibration, procedures for the installation of dampers onto conductors.</w:t>
            </w:r>
          </w:p>
          <w:p w:rsidR="00000000" w:rsidRPr="00BC4AFF" w:rsidP="00BC4AFF">
            <w:pPr>
              <w:pStyle w:val="ListBullet"/>
            </w:pPr>
            <w:r w:rsidRPr="00BC4AFF">
              <w:t>Dead line insulator washing - Supply Authority regulations, procedure for washing de-energised transmission lines.</w:t>
            </w:r>
          </w:p>
          <w:p w:rsidR="00000000" w:rsidRPr="00BC4AFF" w:rsidP="00BC4AFF">
            <w:pPr>
              <w:pStyle w:val="BodyText"/>
            </w:pPr>
            <w:r w:rsidRPr="00BC4AFF">
              <w:t>T2</w:t>
            </w:r>
            <w:r w:rsidRPr="00BC4AFF">
              <w:tab/>
              <w:t>Inspection of towers and structures used for transmission</w:t>
            </w:r>
            <w:r w:rsidRPr="00BC4AFF">
              <w:t xml:space="preserve"> lines encompassing:</w:t>
            </w:r>
          </w:p>
          <w:p w:rsidR="00000000" w:rsidRPr="00BC4AFF" w:rsidP="00BC4AFF">
            <w:pPr>
              <w:pStyle w:val="ListBullet"/>
            </w:pPr>
            <w:r w:rsidRPr="00BC4AFF">
              <w:t>Standards, codes, legislation, supply authority regulations and or enterprise requirements</w:t>
            </w:r>
          </w:p>
          <w:p w:rsidR="00000000" w:rsidRPr="00BC4AFF" w:rsidP="00BC4AFF">
            <w:pPr>
              <w:pStyle w:val="ListBullet"/>
            </w:pPr>
            <w:r w:rsidRPr="00BC4AFF">
              <w:t>Characteristics of materials used for towers structures within the electrical transmission system - faults that occur that influence the integrity of the structure</w:t>
            </w:r>
          </w:p>
          <w:p w:rsidR="00000000" w:rsidRPr="00BC4AFF" w:rsidP="00BC4AFF">
            <w:pPr>
              <w:pStyle w:val="ListBullet"/>
            </w:pPr>
            <w:r w:rsidRPr="00BC4AFF">
              <w:t>Deterioration prevention techniques - relationship between steel, and other materials, inspe</w:t>
            </w:r>
            <w:r w:rsidRPr="00BC4AFF">
              <w:t>ction procedures for deterioration, deterioration prevention procedures in steel.</w:t>
            </w:r>
          </w:p>
          <w:p w:rsidR="00000000" w:rsidRPr="00BC4AFF" w:rsidP="00BC4AFF">
            <w:pPr>
              <w:pStyle w:val="ListBullet"/>
            </w:pPr>
            <w:r w:rsidRPr="00BC4AFF">
              <w:t>Procedures for the repair of deterioration in steel</w:t>
            </w:r>
          </w:p>
          <w:p w:rsidR="00000000" w:rsidRPr="00BC4AFF" w:rsidP="00BC4AFF">
            <w:pPr>
              <w:pStyle w:val="BodyText"/>
            </w:pPr>
            <w:r w:rsidRPr="00BC4AFF">
              <w:t>T3</w:t>
            </w:r>
            <w:r w:rsidRPr="00BC4AFF">
              <w:tab/>
              <w:t>Inspection of transmission lines encompassing:</w:t>
            </w:r>
          </w:p>
          <w:p w:rsidR="00000000" w:rsidRPr="00BC4AFF" w:rsidP="00BC4AFF">
            <w:pPr>
              <w:pStyle w:val="ListBullet"/>
            </w:pPr>
            <w:r w:rsidRPr="00BC4AFF">
              <w:t>Standards, codes, legislation, supply authority regulations and or ente</w:t>
            </w:r>
            <w:r w:rsidRPr="00BC4AFF">
              <w:t>rprise requirements</w:t>
            </w:r>
          </w:p>
          <w:p w:rsidR="00000000" w:rsidRPr="00BC4AFF" w:rsidP="00BC4AFF">
            <w:pPr>
              <w:pStyle w:val="ListBullet"/>
            </w:pPr>
            <w:r w:rsidRPr="00BC4AFF">
              <w:t>Clearances and safety procedures</w:t>
            </w:r>
          </w:p>
          <w:p w:rsidR="00000000" w:rsidRPr="00BC4AFF" w:rsidP="00BC4AFF">
            <w:pPr>
              <w:pStyle w:val="ListBullet"/>
            </w:pPr>
            <w:r w:rsidRPr="00BC4AFF">
              <w:t>Ground line inspection procedures of electrical transmission lines - requirements for inspection of transmission lines and insulators, use of specific equipment and testing devices during testing/inspect</w:t>
            </w:r>
            <w:r w:rsidRPr="00BC4AFF">
              <w:t>ion, techniques in transmission line inspection, methods of recording data.</w:t>
            </w:r>
          </w:p>
          <w:p w:rsidR="00000000" w:rsidRPr="00BC4AFF" w:rsidP="00BC4AFF">
            <w:pPr>
              <w:pStyle w:val="ListBullet"/>
            </w:pPr>
            <w:r w:rsidRPr="00BC4AFF">
              <w:t>Overhead line inspection procedures of electrical transmission lines - methods and requirements for overhead line inspection on electrical structures, clearances for overhead condu</w:t>
            </w:r>
            <w:r w:rsidRPr="00BC4AFF">
              <w:t>ctors, cables and structures, techniques used to obtain close inspection of transmission lines, use of specific equipment and testing devices during testing/inspection.</w:t>
            </w:r>
          </w:p>
          <w:p w:rsidR="00000000" w:rsidRPr="00BC4AFF" w:rsidP="00BC4AFF">
            <w:pPr>
              <w:pStyle w:val="ListBullet"/>
            </w:pPr>
            <w:r w:rsidRPr="00BC4AFF">
              <w:t>Methods of recording data</w:t>
            </w:r>
          </w:p>
          <w:p w:rsidR="00000000" w:rsidRPr="00BC4AFF" w:rsidP="00BC4AFF">
            <w:pPr>
              <w:pStyle w:val="BodyText"/>
            </w:pPr>
            <w:r w:rsidRPr="00BC4AFF">
              <w:t>T4</w:t>
            </w:r>
            <w:r w:rsidRPr="00BC4AFF">
              <w:tab/>
              <w:t>Powerline safety practices encompassing:</w:t>
            </w:r>
          </w:p>
          <w:p w:rsidR="00000000" w:rsidRPr="00BC4AFF" w:rsidP="00BC4AFF">
            <w:pPr>
              <w:pStyle w:val="ListBullet"/>
            </w:pPr>
            <w:r w:rsidRPr="00BC4AFF">
              <w:t>Protective appar</w:t>
            </w:r>
            <w:r w:rsidRPr="00BC4AFF">
              <w:t>atus and apparel for linework - responsibilities for the selection, use, maintenance and storage of protective apparatus and apparel and the types of protective apparatus and apparel used for the line worker</w:t>
            </w:r>
          </w:p>
          <w:p w:rsidR="00000000" w:rsidRPr="00BC4AFF" w:rsidP="00BC4AFF">
            <w:pPr>
              <w:pStyle w:val="ListBullet"/>
            </w:pPr>
            <w:r w:rsidRPr="00BC4AFF">
              <w:t xml:space="preserve">Requirements for the use of ladders - carrying, </w:t>
            </w:r>
            <w:r w:rsidRPr="00BC4AFF">
              <w:t>erecting, collapsing and lowering different types of extension ladder against a standing pole, maintenance checks on different types of ladders, renewal of extension ropes and the safety issues relating to clearances from overhead conductors</w:t>
            </w:r>
          </w:p>
          <w:p w:rsidR="00000000" w:rsidRPr="00BC4AFF" w:rsidP="00BC4AFF">
            <w:pPr>
              <w:pStyle w:val="ListBullet"/>
            </w:pPr>
            <w:r w:rsidRPr="00BC4AFF">
              <w:t>Requirements f</w:t>
            </w:r>
            <w:r w:rsidRPr="00BC4AFF">
              <w:t>or climbing and working aloft - methods used to identify a pole is safe to climb, methods used to inspect a line worker’s body belt, application of knots and hitches appropriate to the requirements of a line worker, height safety principles including perso</w:t>
            </w:r>
            <w:r w:rsidRPr="00BC4AFF">
              <w:t>nal fall protection, prevention and related requirements, and the practical procedure of climbing an overhead structure and fitting a pole chair</w:t>
            </w:r>
          </w:p>
          <w:p w:rsidR="00000000" w:rsidRPr="00BC4AFF" w:rsidP="00BC4AFF">
            <w:pPr>
              <w:pStyle w:val="ListBullet"/>
            </w:pPr>
            <w:r w:rsidRPr="00BC4AFF">
              <w:t>Traffic management - purpose of traffic management and a line worker’s responsibilities in accordance with rele</w:t>
            </w:r>
            <w:r w:rsidRPr="00BC4AFF">
              <w:t>vant statutory requirements and electricity supply industry requirements, demonstration of the procedure used to provide an effective traffic management scheme and the use of a two-way radio</w:t>
            </w:r>
          </w:p>
          <w:p w:rsidR="00000000" w:rsidRPr="00BC4AFF" w:rsidP="00BC4AFF">
            <w:pPr>
              <w:pStyle w:val="ListBullet"/>
            </w:pPr>
            <w:r w:rsidRPr="00BC4AFF">
              <w:t xml:space="preserve">Control of small fires - identification, selection and operation </w:t>
            </w:r>
            <w:r w:rsidRPr="00BC4AFF">
              <w:t>of the appropriate extinguishing mediums for various types of fires, general fire prevention methods and the precautions for personal protection when fighting small fires</w:t>
            </w:r>
          </w:p>
          <w:p w:rsidR="00000000" w:rsidRPr="00BC4AFF" w:rsidP="00BC4AFF">
            <w:pPr>
              <w:pStyle w:val="ListBullet"/>
            </w:pPr>
            <w:r w:rsidRPr="00BC4AFF">
              <w:t>Rescue victims from heights and confined spaces - planning, identifying, the procedur</w:t>
            </w:r>
            <w:r w:rsidRPr="00BC4AFF">
              <w:t>es, and establishing responses, developing techniques, involvement of external emergency services and practical demonstration/rehearsals of rescuing a person from heights and from confined spaces and emergency procedures for the rescue of an electric shock</w:t>
            </w:r>
            <w:r w:rsidRPr="00BC4AFF">
              <w:t xml:space="preserve"> victim including CPR</w:t>
            </w:r>
          </w:p>
          <w:p w:rsidR="00000000" w:rsidRPr="00BC4AFF" w:rsidP="00BC4AFF">
            <w:pPr>
              <w:pStyle w:val="ListBullet"/>
            </w:pPr>
            <w:r w:rsidRPr="00BC4AFF">
              <w:t>Requirements for aerial linework - planning, establishing and implementing relevant aviation authority clearances, determining system requirements, aircrew familiarisation with network operations and equipment, requirements for effect</w:t>
            </w:r>
            <w:r w:rsidRPr="00BC4AFF">
              <w:t>ive communications operations for aerial work.</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10" w:name="O_461017"/>
      <w:bookmarkEnd w:id="10"/>
      <w:r w:rsidRPr="00BC4AFF">
        <w:t>Evidence Guide</w:t>
      </w:r>
    </w:p>
    <w:tbl>
      <w:tblPr>
        <w:tblW w:w="0" w:type="auto"/>
        <w:tblLayout w:type="fixed"/>
        <w:tblCellMar>
          <w:left w:w="62" w:type="dxa"/>
          <w:right w:w="62" w:type="dxa"/>
        </w:tblCellMar>
        <w:tblLook w:val="0000"/>
      </w:tblPr>
      <w:tblGrid>
        <w:gridCol w:w="8460"/>
      </w:tblGrid>
      <w:tr w:rsidTr="003405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EVIDENCE GUIDE</w:t>
            </w:r>
          </w:p>
        </w:tc>
      </w:tr>
      <w:tr w:rsidTr="003405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9)</w:t>
            </w:r>
            <w:r w:rsidRPr="00BC4AFF">
              <w:t xml:space="preserve"> This provides essential advice for assessment of the unit of competency and must be read in conjunction </w:t>
            </w:r>
            <w:r w:rsidRPr="00BC4AFF">
              <w:t>with the Performance Criteria and the Range Statement of the unit of competency and the Training Package Assessment Guidelines.</w:t>
            </w:r>
          </w:p>
          <w:p w:rsidR="00000000" w:rsidRPr="00BC4AFF" w:rsidP="00BC4AFF">
            <w:pPr>
              <w:pStyle w:val="BodyText"/>
            </w:pPr>
            <w:r w:rsidRPr="00BC4AFF">
              <w:t>The Evidence Guide forms an integral part of this Competency Standard Unit and shall be used in conjunction with all component p</w:t>
            </w:r>
            <w:r w:rsidRPr="00BC4AFF">
              <w:t>arts of this unit and, performed in accordance with the Assessment Guidelines of this Training Package.</w:t>
            </w:r>
          </w:p>
        </w:tc>
      </w:tr>
    </w:tbl>
    <w:p w:rsidR="00000000" w:rsidRPr="00BC4AFF" w:rsidP="00BC4AFF">
      <w:pPr>
        <w:pStyle w:val="BodyText"/>
      </w:pPr>
    </w:p>
    <w:tbl>
      <w:tblPr>
        <w:tblW w:w="0" w:type="auto"/>
        <w:tblLayout w:type="fixed"/>
        <w:tblCellMar>
          <w:left w:w="62" w:type="dxa"/>
          <w:right w:w="62" w:type="dxa"/>
        </w:tblCellMar>
        <w:tblLook w:val="0000"/>
      </w:tblPr>
      <w:tblGrid>
        <w:gridCol w:w="1890"/>
        <w:gridCol w:w="6570"/>
      </w:tblGrid>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9.1)</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Longitudinal competency development approaches to assessment, such as Profiling, require data to be reliably gathered in a form that can be consistently interpreted over time. This approach is best utilised in Apprenticeship programs and reduces assessment</w:t>
            </w:r>
            <w:r w:rsidRPr="00BC4AF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C4AFF">
              <w:t>tency in a realistically simulated work environment. It is recognised that, in some circumstances, assessment in part or full can occur outside the workplace. However, it must be in accord with Industry and, Regulatory policy in this regard.</w:t>
            </w:r>
          </w:p>
          <w:p w:rsidR="00000000" w:rsidRPr="00BC4AFF" w:rsidP="00BC4AFF">
            <w:pPr>
              <w:pStyle w:val="BodyText"/>
            </w:pPr>
            <w:r w:rsidRPr="00BC4AFF">
              <w:t>Methods chosen</w:t>
            </w:r>
            <w:r w:rsidRPr="00BC4AF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BC4AFF">
              <w:t>equired and the critical nature of the competencies being assessed.</w:t>
            </w:r>
          </w:p>
          <w:p w:rsidR="00000000" w:rsidRPr="00BC4AFF" w:rsidP="00BC4AFF">
            <w:pPr>
              <w:pStyle w:val="BodyText"/>
            </w:pPr>
            <w:r w:rsidRPr="00BC4AFF">
              <w:t>The critical safety nature of working with electricity, electrical equipment, gas or any other hazardous substance/material carries risk in deeming a person competent. Hence, sources of ev</w:t>
            </w:r>
            <w:r w:rsidRPr="00BC4AFF">
              <w:t>idence need to be ‘rich’ in nature so as to minimise error in judgment.</w:t>
            </w:r>
          </w:p>
          <w:p w:rsidR="00000000" w:rsidRPr="00BC4AFF" w:rsidP="00BC4AFF">
            <w:pPr>
              <w:pStyle w:val="BodyText"/>
            </w:pPr>
            <w:r w:rsidRPr="00BC4AFF">
              <w:t>Activities associated with normal every day work have a bearing on the decision as to how much and how detailed the data gathered will contribute to its ‘richness’. Some skills are mor</w:t>
            </w:r>
            <w:r w:rsidRPr="00BC4AFF">
              <w:t>e critical to safety and operational requirements while the same skills may be more or less frequently practiced. These points are raised for the assessors to consider when choosing an assessment method and developing assessment instruments. Sample assessm</w:t>
            </w:r>
            <w:r w:rsidRPr="00BC4AFF">
              <w:t>ent instruments are included for Assessors in the Assessment Guidelines of this Training Package.</w:t>
            </w:r>
          </w:p>
        </w:tc>
      </w:tr>
    </w:tbl>
    <w:p w:rsidR="00000000" w:rsidRPr="00BC4AFF" w:rsidP="00BC4AF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9.2)</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Before the critical aspects of evidence are considered all prerequisi</w:t>
            </w:r>
            <w:r w:rsidRPr="00BC4AFF">
              <w:t>tes shall be met.</w:t>
            </w:r>
          </w:p>
          <w:p w:rsidR="00000000" w:rsidRPr="00BC4AFF" w:rsidP="00BC4AFF">
            <w:pPr>
              <w:pStyle w:val="BodyText"/>
            </w:pPr>
            <w:r w:rsidRPr="00BC4AFF">
              <w:t xml:space="preserve">Evidence for competence in this unit shall be considered holistically. Each element and associated Performance Criteria shall be demonstrated on at least two occasions in accordance with the “Assessment Guidelines – UET12”. Evidence </w:t>
            </w:r>
            <w:r w:rsidRPr="00BC4AFF">
              <w:t>shall also comprise:</w:t>
            </w:r>
          </w:p>
          <w:p w:rsidR="00000000" w:rsidRPr="00BC4AFF" w:rsidP="00BC4AFF">
            <w:pPr>
              <w:pStyle w:val="ListBullet"/>
            </w:pPr>
            <w:r w:rsidRPr="00BC4AFF">
              <w:t>A representative body of Performance Criteria demonstrated within the timeframes typically expected of the discipline, work function and industrial environment. In particular this shall incorporate evidence that shows a candidate is a</w:t>
            </w:r>
            <w:r w:rsidRPr="00BC4AFF">
              <w:t>ble to:</w:t>
            </w:r>
          </w:p>
          <w:p w:rsidR="00000000" w:rsidRPr="00BC4AFF" w:rsidP="00BC4AFF">
            <w:pPr>
              <w:pStyle w:val="ListBullet2"/>
            </w:pPr>
            <w:r w:rsidRPr="00BC4AFF">
              <w:t>Implement Occupational Health and Safety workplace procedures and practices including the use of risk control measures as specified in the Performance Criteria and range; and</w:t>
            </w:r>
          </w:p>
          <w:p w:rsidR="00000000" w:rsidRPr="00BC4AFF" w:rsidP="00BC4AFF">
            <w:pPr>
              <w:pStyle w:val="ListBullet2"/>
            </w:pPr>
            <w:r w:rsidRPr="00BC4AFF">
              <w:t>Apply sustainable energy principles and practices as specified in the Pe</w:t>
            </w:r>
            <w:r w:rsidRPr="00BC4AFF">
              <w:t>rformance Criteria and range; and</w:t>
            </w:r>
          </w:p>
          <w:p w:rsidR="00000000" w:rsidRPr="00BC4AFF" w:rsidP="00BC4AFF">
            <w:pPr>
              <w:pStyle w:val="ListBullet2"/>
            </w:pPr>
            <w:r w:rsidRPr="00BC4AFF">
              <w:t>Demonstrate an understanding of the essential knowledge and associated skills as described in this unit to such an extent that the learner’s performance outcome is reported in accordance with the preferred approach; namely</w:t>
            </w:r>
            <w:r w:rsidRPr="00BC4AFF">
              <w:t xml:space="preserve"> a percentile graded result, where required by the regulated environment; and</w:t>
            </w:r>
          </w:p>
          <w:p w:rsidR="00000000" w:rsidRPr="00BC4AFF" w:rsidP="00BC4AFF">
            <w:pPr>
              <w:pStyle w:val="ListBullet2"/>
            </w:pPr>
            <w:r w:rsidRPr="00BC4AFF">
              <w:t>Demonstrate an appropriate level of employability skills; and</w:t>
            </w:r>
          </w:p>
          <w:p w:rsidR="00000000" w:rsidRPr="00BC4AFF" w:rsidP="00BC4AFF">
            <w:pPr>
              <w:pStyle w:val="ListBullet"/>
            </w:pPr>
            <w:r w:rsidRPr="00BC4AFF">
              <w:t>Conduct work observing the relevant Anti Discrimination legislation, regulations, policies and workplace procedures</w:t>
            </w:r>
            <w:r w:rsidRPr="00BC4AFF">
              <w:t>; and</w:t>
            </w:r>
          </w:p>
          <w:p w:rsidR="00000000" w:rsidP="00BC4AFF">
            <w:pPr>
              <w:pStyle w:val="ListBullet2"/>
              <w:rPr>
                <w:lang w:val="en-NZ"/>
              </w:rPr>
            </w:pPr>
            <w:r w:rsidRPr="00BC4AFF">
              <w:t>Demonstrated performance across a representative range of contexts from the prescribed items below:</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C4AF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rPr>
                <w:rStyle w:val="SpecialBold"/>
              </w:rPr>
              <w:t>Range of tools/equipment/materials/procedures/workplaces/other variables</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C4AF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rPr>
                <w:rStyle w:val="SpecialBold"/>
              </w:rPr>
              <w:t>Item List</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Maintain any one of the following types of towers: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 xml:space="preserve">Pyramid </w:t>
            </w:r>
          </w:p>
          <w:p w:rsidR="00000000" w:rsidRPr="00BC4AFF" w:rsidP="00BC4AFF">
            <w:pPr>
              <w:pStyle w:val="BodyText"/>
            </w:pPr>
            <w:r w:rsidRPr="00BC4AFF">
              <w:t>Delta pi</w:t>
            </w:r>
          </w:p>
          <w:p w:rsidR="00000000" w:rsidP="00BC4AFF">
            <w:pPr>
              <w:pStyle w:val="BodyText"/>
              <w:rPr>
                <w:lang w:val="en-NZ"/>
              </w:rPr>
            </w:pPr>
            <w:r w:rsidRPr="00BC4AFF">
              <w:t>Enterprise specific type</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Insulators</w:t>
            </w:r>
          </w:p>
          <w:p w:rsidR="00000000" w:rsidRPr="00BC4AFF" w:rsidP="00BC4AFF">
            <w:pPr>
              <w:pStyle w:val="BodyText"/>
            </w:pPr>
            <w:r w:rsidRPr="00BC4AFF">
              <w:t>Clamps</w:t>
            </w:r>
          </w:p>
          <w:p w:rsidR="00000000" w:rsidRPr="00BC4AFF" w:rsidP="00BC4AFF">
            <w:pPr>
              <w:pStyle w:val="BodyText"/>
            </w:pPr>
            <w:r w:rsidRPr="00BC4AFF">
              <w:t>Bolts</w:t>
            </w:r>
          </w:p>
          <w:p w:rsidR="00000000" w:rsidP="00BC4AFF">
            <w:pPr>
              <w:pStyle w:val="BodyText"/>
              <w:rPr>
                <w:lang w:val="en-NZ"/>
              </w:rPr>
            </w:pPr>
            <w:r w:rsidRPr="00BC4AFF">
              <w:t>Structural components</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Welding</w:t>
            </w:r>
          </w:p>
          <w:p w:rsidR="00000000" w:rsidP="00BC4AFF">
            <w:pPr>
              <w:pStyle w:val="BodyText"/>
              <w:rPr>
                <w:lang w:val="en-NZ"/>
              </w:rPr>
            </w:pPr>
            <w:r w:rsidRPr="00BC4AFF">
              <w:t>Cleaning</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Inspect at least four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Towers</w:t>
            </w:r>
          </w:p>
          <w:p w:rsidR="00000000" w:rsidRPr="00BC4AFF" w:rsidP="00BC4AFF">
            <w:pPr>
              <w:pStyle w:val="BodyText"/>
            </w:pPr>
            <w:r w:rsidRPr="00BC4AFF">
              <w:t>Overhead conductors/cables</w:t>
            </w:r>
          </w:p>
          <w:p w:rsidR="00000000" w:rsidRPr="00BC4AFF" w:rsidP="00BC4AFF">
            <w:pPr>
              <w:pStyle w:val="BodyText"/>
            </w:pPr>
            <w:r w:rsidRPr="00BC4AFF">
              <w:t>Structural fittings</w:t>
            </w:r>
          </w:p>
          <w:p w:rsidR="00000000" w:rsidRPr="00BC4AFF" w:rsidP="00BC4AFF">
            <w:pPr>
              <w:pStyle w:val="BodyText"/>
            </w:pPr>
            <w:r w:rsidRPr="00BC4AFF">
              <w:t>Electrical Equipment</w:t>
            </w:r>
          </w:p>
          <w:p w:rsidR="00000000" w:rsidRPr="00BC4AFF" w:rsidP="00BC4AFF">
            <w:pPr>
              <w:pStyle w:val="BodyText"/>
            </w:pPr>
            <w:r w:rsidRPr="00BC4AFF">
              <w:t>Hardware.</w:t>
            </w:r>
          </w:p>
          <w:p w:rsidR="00000000" w:rsidP="00BC4AFF">
            <w:pPr>
              <w:pStyle w:val="BodyText"/>
              <w:rPr>
                <w:lang w:val="en-NZ"/>
              </w:rPr>
            </w:pPr>
            <w:r w:rsidRPr="00BC4AFF">
              <w:t>Earthing systems</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With regards to "D"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Visual*</w:t>
            </w:r>
          </w:p>
          <w:p w:rsidR="00000000" w:rsidRPr="00BC4AFF" w:rsidP="00BC4AFF">
            <w:pPr>
              <w:pStyle w:val="BodyText"/>
            </w:pPr>
            <w:r w:rsidRPr="00BC4AFF">
              <w:t>Infra-red camera</w:t>
            </w:r>
          </w:p>
          <w:p w:rsidR="00000000" w:rsidRPr="00BC4AFF" w:rsidP="00BC4AFF">
            <w:pPr>
              <w:pStyle w:val="BodyText"/>
            </w:pPr>
            <w:r w:rsidRPr="00BC4AFF">
              <w:t>X-Ray</w:t>
            </w:r>
          </w:p>
          <w:p w:rsidR="00000000" w:rsidRPr="00BC4AFF" w:rsidP="00BC4AFF">
            <w:pPr>
              <w:pStyle w:val="BodyText"/>
            </w:pPr>
            <w:r w:rsidRPr="00BC4AFF">
              <w:t>Camera</w:t>
            </w:r>
          </w:p>
          <w:p w:rsidR="00000000" w:rsidRPr="00BC4AFF" w:rsidP="00BC4AFF">
            <w:pPr>
              <w:pStyle w:val="BodyText"/>
            </w:pPr>
            <w:r w:rsidRPr="00BC4AFF">
              <w:t>Binoculars/telescope</w:t>
            </w:r>
          </w:p>
          <w:p w:rsidR="00000000" w:rsidP="00BC4AFF">
            <w:pPr>
              <w:pStyle w:val="BodyText"/>
              <w:rPr>
                <w:lang w:val="en-NZ"/>
              </w:rPr>
            </w:pPr>
            <w:r w:rsidRPr="00BC4AFF">
              <w:t>(* must do)</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With regards to "D" incorporate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 xml:space="preserve">Reporting procedures </w:t>
            </w:r>
          </w:p>
          <w:p w:rsidR="00000000" w:rsidP="00BC4AFF">
            <w:pPr>
              <w:pStyle w:val="BodyText"/>
              <w:rPr>
                <w:lang w:val="en-NZ"/>
              </w:rPr>
            </w:pPr>
            <w:r w:rsidRPr="00BC4AFF">
              <w:t>Reporting outcomes</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AFF">
            <w:pPr>
              <w:pStyle w:val="BodyText"/>
              <w:rPr>
                <w:lang w:val="en-NZ"/>
              </w:rPr>
            </w:pPr>
            <w:r w:rsidRPr="00BC4AF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AFF" w:rsidP="00BC4AFF">
            <w:pPr>
              <w:pStyle w:val="BodyText"/>
            </w:pPr>
            <w:r w:rsidRPr="00BC4AFF">
              <w:t>Dealing with an unplanned event by drawing on essential knowledge and associated skills to provide appropriate solutions incorporated in the holistic assessment with the above listed items.</w:t>
            </w:r>
          </w:p>
        </w:tc>
      </w:tr>
    </w:tbl>
    <w:p w:rsidR="00000000" w:rsidRPr="00BC4AFF" w:rsidP="00BC4AFF">
      <w:pPr>
        <w:pStyle w:val="BodyText"/>
      </w:pPr>
    </w:p>
    <w:tbl>
      <w:tblPr>
        <w:tblW w:w="0" w:type="auto"/>
        <w:tblLayout w:type="fixed"/>
        <w:tblCellMar>
          <w:left w:w="62" w:type="dxa"/>
          <w:right w:w="62" w:type="dxa"/>
        </w:tblCellMar>
        <w:tblLook w:val="0000"/>
      </w:tblPr>
      <w:tblGrid>
        <w:gridCol w:w="1890"/>
        <w:gridCol w:w="6570"/>
      </w:tblGrid>
      <w:tr w:rsidTr="00340550">
        <w:tblPrEx>
          <w:tblW w:w="0" w:type="auto"/>
          <w:tblLayout w:type="fixed"/>
          <w:tblCellMar>
            <w:left w:w="62" w:type="dxa"/>
            <w:right w:w="62" w:type="dxa"/>
          </w:tblCellMar>
          <w:tblLook w:val="0000"/>
        </w:tblPrEx>
        <w:trPr>
          <w:trHeight w:val="888"/>
        </w:trPr>
        <w:tc>
          <w:tcPr>
            <w:tcW w:w="189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9.3)</w:t>
            </w:r>
          </w:p>
        </w:tc>
      </w:tr>
      <w:tr w:rsidTr="0034055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This unit should be assessed as it relates to normal work practice using procedures, information and resources typical of a workplace. This should include:</w:t>
            </w:r>
          </w:p>
          <w:p w:rsidR="00000000" w:rsidRPr="00BC4AFF" w:rsidP="00BC4AFF">
            <w:pPr>
              <w:pStyle w:val="ListBullet"/>
            </w:pPr>
            <w:r w:rsidRPr="00BC4AFF">
              <w:t>OHS policy and work procedures and instruct</w:t>
            </w:r>
            <w:r w:rsidRPr="00BC4AFF">
              <w:t>ions.</w:t>
            </w:r>
          </w:p>
          <w:p w:rsidR="00000000" w:rsidRPr="00BC4AFF" w:rsidP="00BC4AFF">
            <w:pPr>
              <w:pStyle w:val="ListBullet"/>
            </w:pPr>
            <w:r w:rsidRPr="00BC4AFF">
              <w:t>Suitable work environment, facilities, equipment and materials to undertake actual installation and maintenance of transmission network infrastructure electrical equipment.</w:t>
            </w:r>
          </w:p>
          <w:p w:rsidR="00000000" w:rsidRPr="00BC4AFF" w:rsidP="00BC4AFF">
            <w:pPr>
              <w:pStyle w:val="BodyText"/>
            </w:pPr>
            <w:r w:rsidRPr="00BC4AFF">
              <w:t>In addition to the resources listed above, in Context of and specific resources for assessment, evidence should show demonstrated competency working below ground, in limited spaces, with different structural/construction types and method and in a variety o</w:t>
            </w:r>
            <w:r w:rsidRPr="00BC4AFF">
              <w:t>f environments.</w:t>
            </w:r>
          </w:p>
        </w:tc>
      </w:tr>
    </w:tbl>
    <w:p w:rsidR="00000000" w:rsidRPr="00BC4AFF" w:rsidP="00BC4AFF">
      <w:pPr>
        <w:pStyle w:val="BodyText"/>
      </w:pPr>
    </w:p>
    <w:tbl>
      <w:tblPr>
        <w:tblW w:w="0" w:type="auto"/>
        <w:tblLayout w:type="fixed"/>
        <w:tblCellMar>
          <w:left w:w="62" w:type="dxa"/>
          <w:right w:w="62" w:type="dxa"/>
        </w:tblCellMar>
        <w:tblLook w:val="0000"/>
      </w:tblPr>
      <w:tblGrid>
        <w:gridCol w:w="1890"/>
        <w:gridCol w:w="6570"/>
      </w:tblGrid>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9.4)</w:t>
            </w:r>
          </w:p>
        </w:tc>
      </w:tr>
      <w:tr w:rsidTr="0034055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This Competency Standard Unit shall be assessed by methods given in Volume 1, Part 3 “Assessment Guidelines”.</w:t>
            </w:r>
          </w:p>
          <w:p w:rsidR="00000000" w:rsidRPr="00BC4AFF" w:rsidP="00BC4AFF">
            <w:pPr>
              <w:pStyle w:val="BodyText"/>
            </w:pPr>
            <w:r w:rsidRPr="00BC4AFF">
              <w:t>Note:</w:t>
            </w:r>
          </w:p>
          <w:p w:rsidR="00000000" w:rsidRPr="00BC4AFF" w:rsidP="00BC4AFF">
            <w:pPr>
              <w:pStyle w:val="BodyText"/>
            </w:pPr>
            <w:r w:rsidRPr="00BC4AFF">
              <w:t>Com</w:t>
            </w:r>
            <w:r w:rsidRPr="00BC4AFF">
              <w:t>petent performance with inherent safe working practices is expected in the Transmission, Distribution and Rail Traction Industry. This requires that the specified essential knowledge and associated skills are assessed in a structured environment which is p</w:t>
            </w:r>
            <w:r w:rsidRPr="00BC4AFF">
              <w:t>rimarily intended for learning/assessment and incorporates all necessary equipment and facilities for learners to develop and demonstrate the essential knowledge and associated skills described in this unit.</w:t>
            </w:r>
          </w:p>
        </w:tc>
      </w:tr>
    </w:tbl>
    <w:p w:rsidR="00000000" w:rsidRPr="00BC4AFF" w:rsidP="00BC4AFF">
      <w:pPr>
        <w:pStyle w:val="BodyText"/>
      </w:pPr>
    </w:p>
    <w:tbl>
      <w:tblPr>
        <w:tblW w:w="0" w:type="auto"/>
        <w:tblLayout w:type="fixed"/>
        <w:tblCellMar>
          <w:left w:w="62" w:type="dxa"/>
          <w:right w:w="62" w:type="dxa"/>
        </w:tblCellMar>
        <w:tblLook w:val="0000"/>
      </w:tblPr>
      <w:tblGrid>
        <w:gridCol w:w="1890"/>
        <w:gridCol w:w="6570"/>
      </w:tblGrid>
      <w:tr w:rsidTr="00340550">
        <w:tblPrEx>
          <w:tblW w:w="0" w:type="auto"/>
          <w:tblLayout w:type="fixed"/>
          <w:tblCellMar>
            <w:left w:w="62" w:type="dxa"/>
            <w:right w:w="62" w:type="dxa"/>
          </w:tblCellMar>
          <w:tblLook w:val="0000"/>
        </w:tblPrEx>
        <w:trPr>
          <w:trHeight w:val="1039"/>
        </w:trPr>
        <w:tc>
          <w:tcPr>
            <w:tcW w:w="189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Concurrent assessment and relationship with ot</w:t>
            </w:r>
            <w:r w:rsidRPr="00BC4AFF">
              <w:rPr>
                <w:rStyle w:val="SpecialBold"/>
              </w:rPr>
              <w:t>her units</w:t>
            </w:r>
          </w:p>
        </w:tc>
        <w:tc>
          <w:tcPr>
            <w:tcW w:w="657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9.5)</w:t>
            </w:r>
          </w:p>
        </w:tc>
      </w:tr>
      <w:tr w:rsidTr="00340550">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There are no concurrent assessment recommendations for this unit.</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11" w:name="O_461021"/>
      <w:bookmarkEnd w:id="11"/>
      <w:r w:rsidRPr="00BC4AFF">
        <w:t>Range Statement</w:t>
      </w:r>
    </w:p>
    <w:tbl>
      <w:tblPr>
        <w:tblW w:w="0" w:type="auto"/>
        <w:tblLayout w:type="fixed"/>
        <w:tblCellMar>
          <w:left w:w="62" w:type="dxa"/>
          <w:right w:w="62" w:type="dxa"/>
        </w:tblCellMar>
        <w:tblLook w:val="0000"/>
      </w:tblPr>
      <w:tblGrid>
        <w:gridCol w:w="8460"/>
      </w:tblGrid>
      <w:tr w:rsidTr="0034055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RANGE STATEMENT</w:t>
            </w:r>
          </w:p>
        </w:tc>
      </w:tr>
      <w:tr w:rsidTr="0034055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10)</w:t>
            </w:r>
            <w:r w:rsidRPr="00BC4AFF">
              <w:t xml:space="preserve"> This relates to the unit of competency as a whole providing the range of contexts and conditions </w:t>
            </w:r>
            <w:r w:rsidRPr="00BC4AFF">
              <w:t>to which the Performance Criteria apply. It allows for different work environments and situations that will affect performance.</w:t>
            </w:r>
          </w:p>
          <w:p w:rsidR="00000000" w:rsidRPr="00BC4AFF" w:rsidP="00BC4AFF">
            <w:pPr>
              <w:pStyle w:val="BodyText"/>
            </w:pPr>
            <w:r w:rsidRPr="00BC4AFF">
              <w:t>This Competency Standard Unit shall be demonstrated in relation to the installation and maintenance of transmission network infr</w:t>
            </w:r>
            <w:r w:rsidRPr="00BC4AFF">
              <w:t>astructure electrical equipment in accordance with construction plans and specifications</w:t>
            </w:r>
          </w:p>
          <w:p w:rsidR="00000000" w:rsidRPr="00BC4AFF" w:rsidP="00BC4AFF">
            <w:pPr>
              <w:pStyle w:val="BodyText"/>
            </w:pPr>
            <w:r w:rsidRPr="00BC4AFF">
              <w:t>Tower types may include pyramid, delta and pi and other enterprise specific types.</w:t>
            </w:r>
          </w:p>
          <w:p w:rsidR="00000000" w:rsidRPr="00BC4AFF" w:rsidP="00BC4AFF">
            <w:pPr>
              <w:pStyle w:val="BodyText"/>
            </w:pPr>
            <w:r w:rsidRPr="00BC4AFF">
              <w:t>Maintenance may include the removal, repair and replacement of tower components, inc</w:t>
            </w:r>
            <w:r w:rsidRPr="00BC4AFF">
              <w:t>luding welding where appropriate; and the replacement, repair and cleaning of associated hardware.</w:t>
            </w:r>
          </w:p>
          <w:p w:rsidR="00000000" w:rsidRPr="00BC4AFF" w:rsidP="00BC4AFF">
            <w:pPr>
              <w:pStyle w:val="BodyText"/>
            </w:pPr>
            <w:r w:rsidRPr="00BC4AFF">
              <w:t>Inspection may be carried out on foot, and/or by conventional ground-based vehicle, or from the air. Aircraft may be helicopters or fixed-wing types.</w:t>
            </w:r>
          </w:p>
          <w:p w:rsidR="00000000" w:rsidRPr="00BC4AFF" w:rsidP="00BC4AFF">
            <w:pPr>
              <w:pStyle w:val="BodyText"/>
            </w:pPr>
            <w:r w:rsidRPr="00BC4AFF">
              <w:t>Inspect</w:t>
            </w:r>
            <w:r w:rsidRPr="00BC4AFF">
              <w:t>ion techniques include use of X-ray and infrared camera.</w:t>
            </w:r>
          </w:p>
          <w:p w:rsidR="00000000" w:rsidRPr="00BC4AFF" w:rsidP="00BC4AFF">
            <w:pPr>
              <w:pStyle w:val="BodyText"/>
            </w:pPr>
            <w:r w:rsidRPr="00BC4AFF">
              <w:t>Items to be inspected may include towers but not overhead poles and or structures.</w:t>
            </w:r>
          </w:p>
          <w:p w:rsidR="00000000" w:rsidRPr="00BC4AFF" w:rsidP="00BC4AFF">
            <w:pPr>
              <w:pStyle w:val="BodyText"/>
            </w:pPr>
            <w:r w:rsidRPr="00BC4AFF">
              <w:t>Types of electrical apparatus to be inspected include overhead conductors, cables, hardware and footings, undergroun</w:t>
            </w:r>
            <w:r w:rsidRPr="00BC4AFF">
              <w:t>d cables and overhead transition points and, electrical equipment such as pole-mounted transformers and air-break switches, hardware and or earthing systems.</w:t>
            </w:r>
          </w:p>
          <w:p w:rsidR="00000000" w:rsidRPr="00BC4AFF" w:rsidP="00BC4AFF">
            <w:pPr>
              <w:pStyle w:val="BodyText"/>
            </w:pPr>
            <w:r w:rsidRPr="00BC4AFF">
              <w:t>The following constants and variables included in the element/Performance Criteria in this unit ar</w:t>
            </w:r>
            <w:r w:rsidRPr="00BC4AFF">
              <w:t>e fully described in the Definitions Section 1 of this volume and form an integral part of the Range Statement of this unit:</w:t>
            </w:r>
          </w:p>
          <w:p w:rsidR="00000000" w:rsidRPr="00BC4AFF" w:rsidP="00BC4AFF">
            <w:pPr>
              <w:pStyle w:val="ListBullet3"/>
            </w:pPr>
            <w:r w:rsidRPr="00BC4AFF">
              <w:t>Appropriate and relevant persons (see Personnel)</w:t>
            </w:r>
          </w:p>
          <w:p w:rsidR="00000000" w:rsidRPr="00BC4AFF" w:rsidP="00BC4AFF">
            <w:pPr>
              <w:pStyle w:val="ListBullet3"/>
            </w:pPr>
            <w:r w:rsidRPr="00BC4AFF">
              <w:t>Appropriate authorities</w:t>
            </w:r>
          </w:p>
          <w:p w:rsidR="00000000" w:rsidRPr="00BC4AFF" w:rsidP="00BC4AFF">
            <w:pPr>
              <w:pStyle w:val="ListBullet3"/>
            </w:pPr>
            <w:r w:rsidRPr="00BC4AFF">
              <w:t>Appropriate work platform</w:t>
            </w:r>
          </w:p>
          <w:p w:rsidR="00000000" w:rsidRPr="00BC4AFF" w:rsidP="00BC4AFF">
            <w:pPr>
              <w:pStyle w:val="ListBullet3"/>
            </w:pPr>
            <w:r w:rsidRPr="00BC4AFF">
              <w:t>Assessing risk</w:t>
            </w:r>
          </w:p>
          <w:p w:rsidR="00000000" w:rsidRPr="00BC4AFF" w:rsidP="00BC4AFF">
            <w:pPr>
              <w:pStyle w:val="ListBullet3"/>
            </w:pPr>
            <w:r w:rsidRPr="00BC4AFF">
              <w:t>Assessment</w:t>
            </w:r>
          </w:p>
          <w:p w:rsidR="00000000" w:rsidRPr="00BC4AFF" w:rsidP="00BC4AFF">
            <w:pPr>
              <w:pStyle w:val="ListBullet3"/>
            </w:pPr>
            <w:r w:rsidRPr="00BC4AFF">
              <w:t>Authorisation</w:t>
            </w:r>
          </w:p>
          <w:p w:rsidR="00000000" w:rsidRPr="00BC4AFF" w:rsidP="00BC4AFF">
            <w:pPr>
              <w:pStyle w:val="ListBullet3"/>
            </w:pPr>
            <w:r w:rsidRPr="00BC4AFF">
              <w:t>Diagnostic, testing and restoration</w:t>
            </w:r>
          </w:p>
          <w:p w:rsidR="00000000" w:rsidRPr="00BC4AFF" w:rsidP="00BC4AFF">
            <w:pPr>
              <w:pStyle w:val="ListBullet3"/>
            </w:pPr>
            <w:r w:rsidRPr="00BC4AFF">
              <w:t>Documenting detail work events, record keeping and or storage of information</w:t>
            </w:r>
          </w:p>
          <w:p w:rsidR="00000000" w:rsidRPr="00BC4AFF" w:rsidP="00BC4AFF">
            <w:pPr>
              <w:pStyle w:val="ListBullet3"/>
            </w:pPr>
            <w:r w:rsidRPr="00BC4AFF">
              <w:t>Drawings and specifications</w:t>
            </w:r>
          </w:p>
          <w:p w:rsidR="00000000" w:rsidRPr="00BC4AFF" w:rsidP="00BC4AFF">
            <w:pPr>
              <w:pStyle w:val="ListBullet3"/>
            </w:pPr>
            <w:r w:rsidRPr="00BC4AFF">
              <w:t>Emergency</w:t>
            </w:r>
          </w:p>
          <w:p w:rsidR="00000000" w:rsidRPr="00BC4AFF" w:rsidP="00BC4AFF">
            <w:pPr>
              <w:pStyle w:val="ListBullet3"/>
            </w:pPr>
            <w:r w:rsidRPr="00BC4AFF">
              <w:t>Environmental and sustainable energy procedures</w:t>
            </w:r>
          </w:p>
          <w:p w:rsidR="00000000" w:rsidRPr="00BC4AFF" w:rsidP="00BC4AFF">
            <w:pPr>
              <w:pStyle w:val="ListBullet3"/>
            </w:pPr>
            <w:r w:rsidRPr="00BC4AFF">
              <w:t>Environmental legislation</w:t>
            </w:r>
          </w:p>
          <w:p w:rsidR="00000000" w:rsidRPr="00BC4AFF" w:rsidP="00BC4AFF">
            <w:pPr>
              <w:pStyle w:val="ListBullet3"/>
            </w:pPr>
            <w:r w:rsidRPr="00BC4AFF">
              <w:t>Environmental man</w:t>
            </w:r>
            <w:r w:rsidRPr="00BC4AFF">
              <w:t>agement documentation</w:t>
            </w:r>
          </w:p>
          <w:p w:rsidR="00000000" w:rsidRPr="00BC4AFF" w:rsidP="00BC4AFF">
            <w:pPr>
              <w:pStyle w:val="ListBullet3"/>
            </w:pPr>
            <w:r w:rsidRPr="00BC4AFF">
              <w:t>Established procedures</w:t>
            </w:r>
          </w:p>
          <w:p w:rsidR="00000000" w:rsidRPr="00BC4AFF" w:rsidP="00BC4AFF">
            <w:pPr>
              <w:pStyle w:val="ListBullet3"/>
            </w:pPr>
            <w:r w:rsidRPr="00BC4AFF">
              <w:t>Fall prevention</w:t>
            </w:r>
          </w:p>
          <w:p w:rsidR="00000000" w:rsidRPr="00BC4AFF" w:rsidP="00BC4AFF">
            <w:pPr>
              <w:pStyle w:val="ListBullet3"/>
            </w:pPr>
            <w:r w:rsidRPr="00BC4AFF">
              <w:t>Hazards</w:t>
            </w:r>
          </w:p>
          <w:p w:rsidR="00000000" w:rsidRPr="00BC4AFF" w:rsidP="00BC4AFF">
            <w:pPr>
              <w:pStyle w:val="ListBullet3"/>
            </w:pPr>
            <w:r w:rsidRPr="00BC4AFF">
              <w:t>Identifying hazards</w:t>
            </w:r>
          </w:p>
          <w:p w:rsidR="00000000" w:rsidRPr="00BC4AFF" w:rsidP="00BC4AFF">
            <w:pPr>
              <w:pStyle w:val="ListBullet3"/>
            </w:pPr>
            <w:r w:rsidRPr="00BC4AFF">
              <w:t>Inspect</w:t>
            </w:r>
          </w:p>
          <w:p w:rsidR="00000000" w:rsidRPr="00BC4AFF" w:rsidP="00BC4AFF">
            <w:pPr>
              <w:pStyle w:val="ListBullet3"/>
            </w:pPr>
            <w:r w:rsidRPr="00BC4AFF">
              <w:t>Legislation</w:t>
            </w:r>
          </w:p>
          <w:p w:rsidR="00000000" w:rsidRPr="00BC4AFF" w:rsidP="00BC4AFF">
            <w:pPr>
              <w:pStyle w:val="ListBullet3"/>
            </w:pPr>
            <w:r w:rsidRPr="00BC4AFF">
              <w:t>MSDS</w:t>
            </w:r>
          </w:p>
          <w:p w:rsidR="00000000" w:rsidRPr="00BC4AFF" w:rsidP="00BC4AFF">
            <w:pPr>
              <w:pStyle w:val="ListBullet3"/>
            </w:pPr>
            <w:r w:rsidRPr="00BC4AFF">
              <w:t>Notification</w:t>
            </w:r>
          </w:p>
          <w:p w:rsidR="00000000" w:rsidRPr="00BC4AFF" w:rsidP="00BC4AFF">
            <w:pPr>
              <w:pStyle w:val="ListBullet3"/>
            </w:pPr>
            <w:r w:rsidRPr="00BC4AFF">
              <w:t>OHS practices</w:t>
            </w:r>
          </w:p>
          <w:p w:rsidR="00000000" w:rsidRPr="00BC4AFF" w:rsidP="00BC4AFF">
            <w:pPr>
              <w:pStyle w:val="ListBullet3"/>
            </w:pPr>
            <w:r w:rsidRPr="00BC4AFF">
              <w:t>OHS issues</w:t>
            </w:r>
          </w:p>
          <w:p w:rsidR="00000000" w:rsidRPr="00BC4AFF" w:rsidP="00BC4AFF">
            <w:pPr>
              <w:pStyle w:val="ListBullet3"/>
            </w:pPr>
            <w:r w:rsidRPr="00BC4AFF">
              <w:t>Permits and/or permits to work</w:t>
            </w:r>
          </w:p>
          <w:p w:rsidR="00000000" w:rsidRPr="00BC4AFF" w:rsidP="00BC4AFF">
            <w:pPr>
              <w:pStyle w:val="ListBullet3"/>
            </w:pPr>
            <w:r w:rsidRPr="00BC4AFF">
              <w:t>Personnel</w:t>
            </w:r>
          </w:p>
          <w:p w:rsidR="00000000" w:rsidRPr="00BC4AFF" w:rsidP="00BC4AFF">
            <w:pPr>
              <w:pStyle w:val="ListBullet3"/>
            </w:pPr>
            <w:r w:rsidRPr="00BC4AFF">
              <w:t>Quality assurance systems</w:t>
            </w:r>
          </w:p>
          <w:p w:rsidR="00000000" w:rsidRPr="00BC4AFF" w:rsidP="00BC4AFF">
            <w:pPr>
              <w:pStyle w:val="ListBullet3"/>
            </w:pPr>
            <w:r w:rsidRPr="00BC4AFF">
              <w:t>Requirements</w:t>
            </w:r>
          </w:p>
          <w:p w:rsidR="00000000" w:rsidRPr="00BC4AFF" w:rsidP="00BC4AFF">
            <w:pPr>
              <w:pStyle w:val="ListBullet3"/>
            </w:pPr>
            <w:r w:rsidRPr="00BC4AFF">
              <w:t>Testing procedures</w:t>
            </w:r>
          </w:p>
          <w:p w:rsidR="00000000" w:rsidRPr="00BC4AFF" w:rsidP="00BC4AFF">
            <w:pPr>
              <w:pStyle w:val="ListBullet3"/>
            </w:pPr>
            <w:r w:rsidRPr="00BC4AFF">
              <w:t>Work clearance systems</w:t>
            </w:r>
          </w:p>
        </w:tc>
      </w:tr>
    </w:tbl>
    <w:p w:rsidR="00000000" w:rsidRPr="00BC4AFF" w:rsidP="00BC4AFF">
      <w:pPr>
        <w:pStyle w:val="BodyText"/>
      </w:pPr>
    </w:p>
    <w:p w:rsidR="00000000" w:rsidRPr="00BC4AFF" w:rsidP="00BC4AFF">
      <w:pPr>
        <w:pStyle w:val="AllowPageBreak"/>
      </w:pPr>
    </w:p>
    <w:p w:rsidR="00000000" w:rsidRPr="00BC4AFF" w:rsidP="00BC4AFF">
      <w:pPr>
        <w:pStyle w:val="Heading1"/>
      </w:pPr>
      <w:bookmarkStart w:id="12" w:name="O_461024"/>
      <w:bookmarkEnd w:id="12"/>
      <w:r w:rsidRPr="00BC4AFF">
        <w:t>Unit Sector(s)</w:t>
      </w:r>
    </w:p>
    <w:p w:rsidR="00000000" w:rsidRPr="00BC4AFF" w:rsidP="00BC4AFF">
      <w:pPr>
        <w:pStyle w:val="BodyText"/>
      </w:pPr>
      <w:r w:rsidRPr="00BC4AFF">
        <w:t>Not applicable.</w:t>
      </w:r>
    </w:p>
    <w:p w:rsidR="00000000" w:rsidRPr="00BC4AFF" w:rsidP="00BC4AFF">
      <w:pPr>
        <w:pStyle w:val="AllowPageBreak"/>
      </w:pPr>
    </w:p>
    <w:p w:rsidR="00000000" w:rsidRPr="00BC4AFF" w:rsidP="00BC4AFF">
      <w:pPr>
        <w:pStyle w:val="Heading1"/>
      </w:pPr>
      <w:bookmarkStart w:id="13" w:name="O_461013"/>
      <w:bookmarkEnd w:id="13"/>
      <w:r w:rsidRPr="00BC4AFF">
        <w:t>Competency Field</w:t>
      </w:r>
    </w:p>
    <w:tbl>
      <w:tblPr>
        <w:tblW w:w="0" w:type="auto"/>
        <w:tblLayout w:type="fixed"/>
        <w:tblCellMar>
          <w:left w:w="62" w:type="dxa"/>
          <w:right w:w="62" w:type="dxa"/>
        </w:tblCellMar>
        <w:tblLook w:val="0000"/>
      </w:tblPr>
      <w:tblGrid>
        <w:gridCol w:w="2700"/>
        <w:gridCol w:w="5760"/>
      </w:tblGrid>
      <w:tr w:rsidTr="0034055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4AFF">
            <w:pPr>
              <w:pStyle w:val="BodyText"/>
              <w:rPr>
                <w:lang w:val="en-NZ"/>
              </w:rPr>
            </w:pPr>
            <w:r w:rsidRPr="00BC4AFF">
              <w:rPr>
                <w:rStyle w:val="SpecialBold"/>
              </w:rPr>
              <w:t xml:space="preserve">11) </w:t>
            </w:r>
          </w:p>
        </w:tc>
      </w:tr>
      <w:tr w:rsidTr="0034055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AFF" w:rsidP="00BC4AFF">
            <w:pPr>
              <w:pStyle w:val="BodyText"/>
            </w:pPr>
            <w:r w:rsidRPr="00BC4AFF">
              <w:t>Transmission Units</w:t>
            </w:r>
          </w:p>
        </w:tc>
      </w:tr>
    </w:tbl>
    <w:p w:rsidR="00000000" w:rsidRPr="00BC4AFF" w:rsidP="00BC4AFF">
      <w:pPr>
        <w:pStyle w:val="BodyText"/>
      </w:pPr>
    </w:p>
    <w:p w:rsidR="00000000" w:rsidRPr="00BC4AFF" w:rsidP="00BC4AFF"/>
    <w:sectPr w:rsidSect="00BC4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FF" w:rsidRPr="00340550" w:rsidP="00340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50" w:rsidP="00BC4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40550" w:rsidP="00BC4A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40550" w:rsidP="00BC4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FF" w:rsidRPr="00340550" w:rsidP="003405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550" w:rsidRPr="002D2AF8" w:rsidP="00BC4AFF">
    <w:pPr>
      <w:pStyle w:val="Header"/>
      <w:framePr w:wrap="around"/>
    </w:pPr>
    <w:r>
      <w:fldChar w:fldCharType="begin"/>
    </w:r>
    <w:r>
      <w:instrText xml:space="preserve"> TITLE   \* MERGEFORMAT </w:instrText>
    </w:r>
    <w:r>
      <w:fldChar w:fldCharType="separate"/>
    </w:r>
    <w:r>
      <w:t>UETTDRTP35A Install/maintain transmission network infrastructure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40550" w:rsidP="00BC4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EA4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A0E5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41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AFF"/>
    <w:pPr>
      <w:spacing w:before="360" w:after="60"/>
      <w:outlineLvl w:val="0"/>
    </w:pPr>
    <w:rPr>
      <w:sz w:val="32"/>
    </w:rPr>
  </w:style>
  <w:style w:type="paragraph" w:styleId="Heading2">
    <w:name w:val="heading 2"/>
    <w:basedOn w:val="HeadingBase"/>
    <w:next w:val="BodyText"/>
    <w:link w:val="Heading2Char"/>
    <w:qFormat/>
    <w:rsid w:val="00BC4AFF"/>
    <w:pPr>
      <w:keepLines/>
      <w:spacing w:before="240" w:after="120"/>
      <w:outlineLvl w:val="1"/>
    </w:pPr>
    <w:rPr>
      <w:sz w:val="28"/>
      <w:szCs w:val="40"/>
    </w:rPr>
  </w:style>
  <w:style w:type="paragraph" w:styleId="Heading3">
    <w:name w:val="heading 3"/>
    <w:basedOn w:val="HeadingBase"/>
    <w:next w:val="BodyText"/>
    <w:link w:val="Heading3Char"/>
    <w:qFormat/>
    <w:rsid w:val="00BC4AFF"/>
    <w:pPr>
      <w:spacing w:before="180" w:after="120"/>
      <w:outlineLvl w:val="2"/>
    </w:pPr>
    <w:rPr>
      <w:spacing w:val="-10"/>
      <w:kern w:val="32"/>
    </w:rPr>
  </w:style>
  <w:style w:type="paragraph" w:styleId="Heading4">
    <w:name w:val="heading 4"/>
    <w:basedOn w:val="HeadingBase"/>
    <w:next w:val="BodyText"/>
    <w:link w:val="Heading4Char"/>
    <w:qFormat/>
    <w:rsid w:val="00BC4AFF"/>
    <w:pPr>
      <w:spacing w:before="160" w:after="120"/>
      <w:outlineLvl w:val="3"/>
    </w:pPr>
    <w:rPr>
      <w:sz w:val="22"/>
    </w:rPr>
  </w:style>
  <w:style w:type="paragraph" w:styleId="Heading5">
    <w:name w:val="heading 5"/>
    <w:basedOn w:val="HeadingBase"/>
    <w:next w:val="Normal"/>
    <w:link w:val="Heading5Char"/>
    <w:qFormat/>
    <w:rsid w:val="00BC4AFF"/>
    <w:pPr>
      <w:spacing w:before="80"/>
      <w:outlineLvl w:val="4"/>
    </w:pPr>
    <w:rPr>
      <w:color w:val="918585"/>
      <w:sz w:val="20"/>
    </w:rPr>
  </w:style>
  <w:style w:type="paragraph" w:styleId="Heading6">
    <w:name w:val="heading 6"/>
    <w:basedOn w:val="HeadingBase"/>
    <w:next w:val="Normal"/>
    <w:link w:val="Heading6Char"/>
    <w:qFormat/>
    <w:rsid w:val="00BC4AFF"/>
    <w:pPr>
      <w:spacing w:before="60"/>
      <w:outlineLvl w:val="5"/>
    </w:pPr>
    <w:rPr>
      <w:color w:val="918585"/>
      <w:sz w:val="20"/>
    </w:rPr>
  </w:style>
  <w:style w:type="paragraph" w:styleId="Heading7">
    <w:name w:val="heading 7"/>
    <w:basedOn w:val="Normal"/>
    <w:next w:val="Normal"/>
    <w:link w:val="Heading7Char"/>
    <w:qFormat/>
    <w:rsid w:val="00BC4AFF"/>
    <w:pPr>
      <w:ind w:left="720"/>
      <w:outlineLvl w:val="6"/>
    </w:pPr>
    <w:rPr>
      <w:i/>
    </w:rPr>
  </w:style>
  <w:style w:type="paragraph" w:styleId="Heading8">
    <w:name w:val="heading 8"/>
    <w:basedOn w:val="Normal"/>
    <w:next w:val="Normal"/>
    <w:link w:val="Heading8Char"/>
    <w:qFormat/>
    <w:rsid w:val="00BC4AFF"/>
    <w:pPr>
      <w:ind w:left="720"/>
      <w:outlineLvl w:val="7"/>
    </w:pPr>
    <w:rPr>
      <w:i/>
    </w:rPr>
  </w:style>
  <w:style w:type="paragraph" w:styleId="Heading9">
    <w:name w:val="heading 9"/>
    <w:basedOn w:val="Normal"/>
    <w:next w:val="Normal"/>
    <w:link w:val="Heading9Char"/>
    <w:qFormat/>
    <w:rsid w:val="00BC4AFF"/>
    <w:pPr>
      <w:ind w:left="720"/>
      <w:outlineLvl w:val="8"/>
    </w:pPr>
    <w:rPr>
      <w:i/>
    </w:rPr>
  </w:style>
  <w:style w:type="character" w:default="1" w:styleId="DefaultParagraphFont">
    <w:name w:val="Default Paragraph Font"/>
    <w:uiPriority w:val="1"/>
    <w:unhideWhenUsed/>
    <w:rsid w:val="00BC4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AFF"/>
  </w:style>
  <w:style w:type="character" w:customStyle="1" w:styleId="Heading1Char">
    <w:name w:val="Heading 1 Char"/>
    <w:basedOn w:val="DefaultParagraphFont"/>
    <w:link w:val="Heading1"/>
    <w:rsid w:val="00BC4AFF"/>
    <w:rPr>
      <w:rFonts w:ascii="Times New Roman" w:eastAsia="Times New Roman" w:hAnsi="Times New Roman" w:cs="Times New Roman"/>
      <w:b/>
      <w:sz w:val="32"/>
      <w:szCs w:val="20"/>
      <w:lang w:eastAsia="en-US"/>
    </w:rPr>
  </w:style>
  <w:style w:type="paragraph" w:styleId="BodyText">
    <w:name w:val="Body Text"/>
    <w:basedOn w:val="Normal"/>
    <w:link w:val="BodyTextChar"/>
    <w:rsid w:val="00BC4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AFF"/>
    <w:rPr>
      <w:rFonts w:ascii="Times New Roman" w:eastAsia="Times New Roman" w:hAnsi="Times New Roman" w:cs="Times New Roman"/>
      <w:sz w:val="24"/>
      <w:lang w:eastAsia="en-US"/>
    </w:rPr>
  </w:style>
  <w:style w:type="paragraph" w:styleId="ListBullet">
    <w:name w:val="List Bullet"/>
    <w:basedOn w:val="List"/>
    <w:rsid w:val="00BC4AFF"/>
    <w:pPr>
      <w:numPr>
        <w:numId w:val="14"/>
      </w:numPr>
      <w:tabs>
        <w:tab w:val="clear" w:pos="340"/>
      </w:tabs>
      <w:spacing w:before="40" w:after="40"/>
    </w:pPr>
  </w:style>
  <w:style w:type="character" w:customStyle="1" w:styleId="SpecialBold">
    <w:name w:val="Special Bold"/>
    <w:basedOn w:val="DefaultParagraphFont"/>
    <w:rsid w:val="00BC4AFF"/>
    <w:rPr>
      <w:b/>
      <w:spacing w:val="0"/>
    </w:rPr>
  </w:style>
  <w:style w:type="paragraph" w:styleId="ListBullet2">
    <w:name w:val="List Bullet 2"/>
    <w:basedOn w:val="List2"/>
    <w:rsid w:val="00BC4AFF"/>
    <w:pPr>
      <w:numPr>
        <w:numId w:val="15"/>
      </w:numPr>
      <w:tabs>
        <w:tab w:val="clear" w:pos="680"/>
      </w:tabs>
    </w:pPr>
  </w:style>
  <w:style w:type="paragraph" w:customStyle="1" w:styleId="SuperHeading">
    <w:name w:val="SuperHeading"/>
    <w:basedOn w:val="Normal"/>
    <w:rsid w:val="00BC4AFF"/>
    <w:pPr>
      <w:spacing w:before="240" w:after="120"/>
      <w:outlineLvl w:val="0"/>
    </w:pPr>
    <w:rPr>
      <w:rFonts w:ascii="Times New Roman" w:hAnsi="Times New Roman"/>
      <w:b/>
      <w:sz w:val="32"/>
    </w:rPr>
  </w:style>
  <w:style w:type="paragraph" w:customStyle="1" w:styleId="AllowPageBreak">
    <w:name w:val="AllowPageBreak"/>
    <w:rsid w:val="00BC4A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AFF"/>
    <w:pPr>
      <w:numPr>
        <w:numId w:val="3"/>
      </w:numPr>
      <w:tabs>
        <w:tab w:val="clear" w:pos="1021"/>
      </w:tabs>
      <w:ind w:left="1037" w:hanging="357"/>
    </w:pPr>
  </w:style>
  <w:style w:type="character" w:customStyle="1" w:styleId="Heading2Char">
    <w:name w:val="Heading 2 Char"/>
    <w:basedOn w:val="DefaultParagraphFont"/>
    <w:link w:val="Heading2"/>
    <w:rsid w:val="00BC4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AFF"/>
    <w:rPr>
      <w:rFonts w:ascii="Courier New" w:eastAsia="Times New Roman" w:hAnsi="Courier New" w:cs="Times New Roman"/>
      <w:i/>
      <w:szCs w:val="20"/>
      <w:lang w:eastAsia="en-US"/>
    </w:rPr>
  </w:style>
  <w:style w:type="paragraph" w:customStyle="1" w:styleId="HeadingBase">
    <w:name w:val="Heading Base"/>
    <w:rsid w:val="00BC4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AFF"/>
    <w:pPr>
      <w:tabs>
        <w:tab w:val="right" w:leader="dot" w:pos="9072"/>
      </w:tabs>
      <w:ind w:left="567"/>
    </w:pPr>
    <w:rPr>
      <w:szCs w:val="22"/>
    </w:rPr>
  </w:style>
  <w:style w:type="paragraph" w:customStyle="1" w:styleId="TOCBase">
    <w:name w:val="TOC Base"/>
    <w:rsid w:val="00BC4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AFF"/>
    <w:pPr>
      <w:tabs>
        <w:tab w:val="right" w:leader="dot" w:pos="9072"/>
      </w:tabs>
      <w:spacing w:before="40" w:after="40"/>
      <w:ind w:left="284"/>
    </w:pPr>
    <w:rPr>
      <w:rFonts w:ascii="Times New Roman" w:hAnsi="Times New Roman"/>
    </w:rPr>
  </w:style>
  <w:style w:type="paragraph" w:styleId="TOC1">
    <w:name w:val="toc 1"/>
    <w:basedOn w:val="TOCBase"/>
    <w:next w:val="Normal"/>
    <w:rsid w:val="00BC4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AFF"/>
    <w:rPr>
      <w:rFonts w:ascii="Times New Roman" w:eastAsia="Times New Roman" w:hAnsi="Times New Roman" w:cs="Times New Roman"/>
      <w:sz w:val="16"/>
      <w:lang w:eastAsia="en-US"/>
    </w:rPr>
  </w:style>
  <w:style w:type="paragraph" w:styleId="Title">
    <w:name w:val="Title"/>
    <w:basedOn w:val="HeadingBase"/>
    <w:link w:val="TitleChar"/>
    <w:qFormat/>
    <w:rsid w:val="00BC4AFF"/>
    <w:pPr>
      <w:spacing w:before="5040"/>
      <w:jc w:val="center"/>
    </w:pPr>
    <w:rPr>
      <w:sz w:val="48"/>
      <w:szCs w:val="72"/>
      <w:lang w:val="en-US"/>
    </w:rPr>
  </w:style>
  <w:style w:type="character" w:customStyle="1" w:styleId="TitleChar">
    <w:name w:val="Title Char"/>
    <w:basedOn w:val="DefaultParagraphFont"/>
    <w:link w:val="Title"/>
    <w:rsid w:val="00BC4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AFF"/>
    <w:pPr>
      <w:tabs>
        <w:tab w:val="left" w:pos="3600"/>
        <w:tab w:val="left" w:pos="3958"/>
      </w:tabs>
    </w:pPr>
  </w:style>
  <w:style w:type="paragraph" w:styleId="List">
    <w:name w:val="List"/>
    <w:basedOn w:val="BodyText"/>
    <w:next w:val="BodyText"/>
    <w:rsid w:val="00BC4AFF"/>
    <w:pPr>
      <w:tabs>
        <w:tab w:val="left" w:pos="340"/>
      </w:tabs>
      <w:spacing w:before="60" w:after="60"/>
      <w:ind w:left="340" w:hanging="340"/>
    </w:pPr>
  </w:style>
  <w:style w:type="paragraph" w:customStyle="1" w:styleId="Note">
    <w:name w:val="Note"/>
    <w:basedOn w:val="BodyText"/>
    <w:rsid w:val="00BC4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AFF"/>
    <w:pPr>
      <w:framePr w:wrap="auto" w:hAnchor="text" w:y="6049"/>
    </w:pPr>
    <w:rPr>
      <w:color w:val="000000"/>
      <w:sz w:val="40"/>
    </w:rPr>
  </w:style>
  <w:style w:type="paragraph" w:customStyle="1" w:styleId="TOCTitle">
    <w:name w:val="TOCTitle"/>
    <w:basedOn w:val="Heading1"/>
    <w:rsid w:val="00BC4AFF"/>
    <w:pPr>
      <w:spacing w:after="240"/>
      <w:jc w:val="center"/>
      <w:outlineLvl w:val="9"/>
    </w:pPr>
    <w:rPr>
      <w:caps/>
    </w:rPr>
  </w:style>
  <w:style w:type="paragraph" w:customStyle="1" w:styleId="Version">
    <w:name w:val="Version"/>
    <w:rsid w:val="00BC4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AFF"/>
    <w:pPr>
      <w:keepNext w:val="0"/>
      <w:tabs>
        <w:tab w:val="right" w:pos="4176"/>
      </w:tabs>
      <w:ind w:left="198" w:hanging="198"/>
    </w:pPr>
    <w:rPr>
      <w:rFonts w:ascii="Garamond" w:hAnsi="Garamond"/>
    </w:rPr>
  </w:style>
  <w:style w:type="paragraph" w:styleId="IndexHeading">
    <w:name w:val="index heading"/>
    <w:basedOn w:val="Normal"/>
    <w:next w:val="Index1"/>
    <w:semiHidden/>
    <w:rsid w:val="00BC4AFF"/>
    <w:pPr>
      <w:spacing w:before="120" w:after="120"/>
    </w:pPr>
    <w:rPr>
      <w:rFonts w:ascii="Arial" w:hAnsi="Arial"/>
      <w:b/>
      <w:color w:val="918585"/>
      <w:sz w:val="24"/>
    </w:rPr>
  </w:style>
  <w:style w:type="paragraph" w:styleId="Header">
    <w:name w:val="header"/>
    <w:basedOn w:val="Normal"/>
    <w:link w:val="HeaderChar"/>
    <w:rsid w:val="00BC4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AFF"/>
    <w:rPr>
      <w:rFonts w:ascii="Times New Roman" w:eastAsia="Times New Roman" w:hAnsi="Times New Roman" w:cs="Times New Roman"/>
      <w:sz w:val="16"/>
      <w:szCs w:val="20"/>
      <w:lang w:val="en-GB" w:eastAsia="en-US"/>
    </w:rPr>
  </w:style>
  <w:style w:type="paragraph" w:customStyle="1" w:styleId="Chapter">
    <w:name w:val="Chapter"/>
    <w:basedOn w:val="Normal"/>
    <w:rsid w:val="00BC4AFF"/>
    <w:pPr>
      <w:spacing w:before="240"/>
    </w:pPr>
    <w:rPr>
      <w:rFonts w:ascii="Times New Roman" w:hAnsi="Times New Roman"/>
      <w:smallCaps/>
      <w:spacing w:val="80"/>
      <w:sz w:val="28"/>
    </w:rPr>
  </w:style>
  <w:style w:type="paragraph" w:customStyle="1" w:styleId="InChapter">
    <w:name w:val="InChapter"/>
    <w:basedOn w:val="Heading3"/>
    <w:rsid w:val="00BC4AFF"/>
    <w:pPr>
      <w:spacing w:after="240"/>
      <w:outlineLvl w:val="9"/>
    </w:pPr>
    <w:rPr>
      <w:noProof/>
    </w:rPr>
  </w:style>
  <w:style w:type="paragraph" w:styleId="Index2">
    <w:name w:val="index 2"/>
    <w:basedOn w:val="Normal"/>
    <w:next w:val="Normal"/>
    <w:semiHidden/>
    <w:rsid w:val="00BC4AFF"/>
    <w:pPr>
      <w:tabs>
        <w:tab w:val="right" w:pos="4176"/>
      </w:tabs>
      <w:ind w:left="568" w:hanging="284"/>
    </w:pPr>
    <w:rPr>
      <w:rFonts w:ascii="Garamond" w:hAnsi="Garamond"/>
    </w:rPr>
  </w:style>
  <w:style w:type="paragraph" w:customStyle="1" w:styleId="Byline">
    <w:name w:val="Byline"/>
    <w:rsid w:val="00BC4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AFF"/>
    <w:pPr>
      <w:tabs>
        <w:tab w:val="clear" w:pos="3600"/>
        <w:tab w:val="clear" w:pos="3958"/>
      </w:tabs>
      <w:jc w:val="right"/>
    </w:pPr>
  </w:style>
  <w:style w:type="character" w:styleId="Emphasis">
    <w:name w:val="Emphasis"/>
    <w:basedOn w:val="DefaultParagraphFont"/>
    <w:qFormat/>
    <w:rsid w:val="00BC4AFF"/>
    <w:rPr>
      <w:i/>
    </w:rPr>
  </w:style>
  <w:style w:type="paragraph" w:styleId="Caption">
    <w:name w:val="caption"/>
    <w:basedOn w:val="BodyText"/>
    <w:next w:val="Normal"/>
    <w:qFormat/>
    <w:rsid w:val="00BC4AFF"/>
    <w:pPr>
      <w:framePr w:w="2268" w:hSpace="181" w:vSpace="181" w:wrap="around" w:vAnchor="text" w:hAnchor="page" w:x="1135" w:y="285" w:anchorLock="1"/>
    </w:pPr>
    <w:rPr>
      <w:i/>
    </w:rPr>
  </w:style>
  <w:style w:type="paragraph" w:customStyle="1" w:styleId="MiniTOCTitle">
    <w:name w:val="MiniTOCTitle"/>
    <w:basedOn w:val="Heading4"/>
    <w:rsid w:val="00BC4AFF"/>
    <w:pPr>
      <w:spacing w:before="240"/>
      <w:outlineLvl w:val="9"/>
    </w:pPr>
    <w:rPr>
      <w:noProof/>
      <w:sz w:val="24"/>
    </w:rPr>
  </w:style>
  <w:style w:type="paragraph" w:customStyle="1" w:styleId="MiniTOCItem">
    <w:name w:val="MiniTOCItem"/>
    <w:basedOn w:val="ListBullet"/>
    <w:rsid w:val="00BC4AFF"/>
    <w:pPr>
      <w:numPr>
        <w:numId w:val="0"/>
      </w:numPr>
      <w:tabs>
        <w:tab w:val="right" w:leader="dot" w:pos="6521"/>
      </w:tabs>
      <w:spacing w:before="0" w:after="0"/>
    </w:pPr>
  </w:style>
  <w:style w:type="paragraph" w:customStyle="1" w:styleId="TOFTitle">
    <w:name w:val="TOFTitle"/>
    <w:basedOn w:val="TOCTitle"/>
    <w:rsid w:val="00BC4AFF"/>
  </w:style>
  <w:style w:type="paragraph" w:styleId="TableofFigures">
    <w:name w:val="table of figures"/>
    <w:basedOn w:val="Normal"/>
    <w:next w:val="Normal"/>
    <w:semiHidden/>
    <w:rsid w:val="00BC4AFF"/>
    <w:pPr>
      <w:tabs>
        <w:tab w:val="right" w:leader="dot" w:pos="9072"/>
      </w:tabs>
      <w:ind w:left="970" w:hanging="403"/>
    </w:pPr>
    <w:rPr>
      <w:rFonts w:ascii="Times New Roman" w:hAnsi="Times New Roman"/>
      <w:b/>
    </w:rPr>
  </w:style>
  <w:style w:type="paragraph" w:styleId="ListNumber">
    <w:name w:val="List Number"/>
    <w:basedOn w:val="List"/>
    <w:rsid w:val="00BC4AFF"/>
    <w:pPr>
      <w:numPr>
        <w:numId w:val="12"/>
      </w:numPr>
    </w:pPr>
  </w:style>
  <w:style w:type="character" w:customStyle="1" w:styleId="WingdingSymbols">
    <w:name w:val="Wingding Symbols"/>
    <w:rsid w:val="00BC4AFF"/>
    <w:rPr>
      <w:rFonts w:ascii="Wingdings" w:hAnsi="Wingdings"/>
    </w:rPr>
  </w:style>
  <w:style w:type="paragraph" w:customStyle="1" w:styleId="TableHeading">
    <w:name w:val="Table Heading"/>
    <w:basedOn w:val="HeadingBase"/>
    <w:rsid w:val="00BC4AFF"/>
    <w:pPr>
      <w:keepLines/>
      <w:pBdr>
        <w:bottom w:val="single" w:sz="6" w:space="1" w:color="918585"/>
      </w:pBdr>
      <w:spacing w:before="240"/>
    </w:pPr>
  </w:style>
  <w:style w:type="character" w:customStyle="1" w:styleId="HotSpot">
    <w:name w:val="HotSpot"/>
    <w:rsid w:val="00BC4AFF"/>
    <w:rPr>
      <w:color w:val="0033CC"/>
      <w:u w:val="none"/>
    </w:rPr>
  </w:style>
  <w:style w:type="paragraph" w:customStyle="1" w:styleId="BodyTextRight">
    <w:name w:val="Body Text Right"/>
    <w:basedOn w:val="BodyText"/>
    <w:rsid w:val="00BC4AFF"/>
    <w:pPr>
      <w:spacing w:before="0" w:after="0"/>
      <w:jc w:val="right"/>
    </w:pPr>
  </w:style>
  <w:style w:type="paragraph" w:styleId="Index3">
    <w:name w:val="index 3"/>
    <w:basedOn w:val="ListNumber2"/>
    <w:next w:val="Normal"/>
    <w:semiHidden/>
    <w:rsid w:val="00BC4AFF"/>
    <w:pPr>
      <w:numPr>
        <w:numId w:val="0"/>
      </w:numPr>
      <w:tabs>
        <w:tab w:val="right" w:leader="dot" w:pos="4176"/>
      </w:tabs>
    </w:pPr>
  </w:style>
  <w:style w:type="paragraph" w:styleId="ListNumber2">
    <w:name w:val="List Number 2"/>
    <w:basedOn w:val="List2"/>
    <w:rsid w:val="00BC4AFF"/>
    <w:pPr>
      <w:numPr>
        <w:numId w:val="11"/>
      </w:numPr>
      <w:tabs>
        <w:tab w:val="clear" w:pos="1060"/>
      </w:tabs>
    </w:pPr>
  </w:style>
  <w:style w:type="paragraph" w:customStyle="1" w:styleId="MarginNote">
    <w:name w:val="Margin Note"/>
    <w:basedOn w:val="BodyText"/>
    <w:rsid w:val="00BC4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AFF"/>
    <w:rPr>
      <w:sz w:val="32"/>
    </w:rPr>
  </w:style>
  <w:style w:type="paragraph" w:customStyle="1" w:styleId="HeadingProcedure">
    <w:name w:val="Heading Procedure"/>
    <w:basedOn w:val="HeadingBase"/>
    <w:next w:val="Normal"/>
    <w:rsid w:val="00BC4AFF"/>
    <w:pPr>
      <w:tabs>
        <w:tab w:val="left" w:pos="0"/>
      </w:tabs>
      <w:spacing w:before="120" w:after="60"/>
    </w:pPr>
    <w:rPr>
      <w:i/>
      <w:color w:val="918585"/>
      <w:sz w:val="22"/>
    </w:rPr>
  </w:style>
  <w:style w:type="paragraph" w:customStyle="1" w:styleId="TableBodyText">
    <w:name w:val="Table Body Text"/>
    <w:basedOn w:val="BodyText"/>
    <w:rsid w:val="00BC4AFF"/>
    <w:pPr>
      <w:spacing w:before="60" w:after="60"/>
    </w:pPr>
  </w:style>
  <w:style w:type="paragraph" w:styleId="ListContinue">
    <w:name w:val="List Continue"/>
    <w:basedOn w:val="List"/>
    <w:rsid w:val="00BC4AFF"/>
    <w:pPr>
      <w:ind w:firstLine="0"/>
    </w:pPr>
  </w:style>
  <w:style w:type="paragraph" w:customStyle="1" w:styleId="ListNote">
    <w:name w:val="List Note"/>
    <w:basedOn w:val="List"/>
    <w:rsid w:val="00BC4AFF"/>
    <w:pPr>
      <w:pBdr>
        <w:top w:val="single" w:sz="6" w:space="2" w:color="918585"/>
        <w:bottom w:val="single" w:sz="6" w:space="2" w:color="918585"/>
      </w:pBdr>
      <w:tabs>
        <w:tab w:val="left" w:pos="1021"/>
      </w:tabs>
      <w:ind w:firstLine="0"/>
    </w:pPr>
  </w:style>
  <w:style w:type="paragraph" w:customStyle="1" w:styleId="Warning">
    <w:name w:val="Warning"/>
    <w:basedOn w:val="BodyText"/>
    <w:rsid w:val="00BC4AFF"/>
    <w:pPr>
      <w:shd w:val="clear" w:color="auto" w:fill="D9D9D9"/>
      <w:tabs>
        <w:tab w:val="left" w:pos="992"/>
      </w:tabs>
      <w:ind w:left="119" w:right="119"/>
    </w:pPr>
    <w:rPr>
      <w:sz w:val="20"/>
    </w:rPr>
  </w:style>
  <w:style w:type="paragraph" w:customStyle="1" w:styleId="MarginIcons">
    <w:name w:val="Margin Icons"/>
    <w:basedOn w:val="BodyText"/>
    <w:rsid w:val="00BC4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AFF"/>
    <w:rPr>
      <w:rFonts w:ascii="Courier New" w:hAnsi="Courier New"/>
    </w:rPr>
  </w:style>
  <w:style w:type="paragraph" w:customStyle="1" w:styleId="NoteBullet">
    <w:name w:val="Note Bullet"/>
    <w:basedOn w:val="Note"/>
    <w:rsid w:val="00BC4AFF"/>
    <w:pPr>
      <w:tabs>
        <w:tab w:val="clear" w:pos="680"/>
      </w:tabs>
      <w:spacing w:before="60" w:after="60"/>
    </w:pPr>
  </w:style>
  <w:style w:type="paragraph" w:customStyle="1" w:styleId="SubHeading2">
    <w:name w:val="SubHeading2"/>
    <w:basedOn w:val="HeadingBase"/>
    <w:rsid w:val="00BC4AFF"/>
    <w:pPr>
      <w:spacing w:before="240" w:after="60"/>
    </w:pPr>
    <w:rPr>
      <w:sz w:val="20"/>
    </w:rPr>
  </w:style>
  <w:style w:type="paragraph" w:customStyle="1" w:styleId="SubHeading1">
    <w:name w:val="SubHeading1"/>
    <w:basedOn w:val="HeadingBase"/>
    <w:rsid w:val="00BC4AFF"/>
    <w:pPr>
      <w:spacing w:before="240" w:after="60"/>
    </w:pPr>
    <w:rPr>
      <w:color w:val="918585"/>
      <w:sz w:val="22"/>
    </w:rPr>
  </w:style>
  <w:style w:type="paragraph" w:customStyle="1" w:styleId="SideHeading">
    <w:name w:val="Side Heading"/>
    <w:basedOn w:val="HeadingBase"/>
    <w:rsid w:val="00BC4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AFF"/>
    <w:pPr>
      <w:numPr>
        <w:numId w:val="13"/>
      </w:numPr>
    </w:pPr>
  </w:style>
  <w:style w:type="paragraph" w:styleId="PlainText">
    <w:name w:val="Plain Text"/>
    <w:basedOn w:val="Normal"/>
    <w:link w:val="PlainTextChar"/>
    <w:rsid w:val="00BC4AFF"/>
    <w:rPr>
      <w:sz w:val="20"/>
    </w:rPr>
  </w:style>
  <w:style w:type="character" w:customStyle="1" w:styleId="PlainTextChar">
    <w:name w:val="Plain Text Char"/>
    <w:basedOn w:val="DefaultParagraphFont"/>
    <w:link w:val="PlainText"/>
    <w:rsid w:val="00BC4AFF"/>
    <w:rPr>
      <w:rFonts w:ascii="Courier New" w:eastAsia="Times New Roman" w:hAnsi="Courier New" w:cs="Times New Roman"/>
      <w:sz w:val="20"/>
      <w:szCs w:val="20"/>
      <w:lang w:eastAsia="en-US"/>
    </w:rPr>
  </w:style>
  <w:style w:type="character" w:customStyle="1" w:styleId="MenuOption">
    <w:name w:val="Menu Option"/>
    <w:basedOn w:val="DefaultParagraphFont"/>
    <w:rsid w:val="00BC4AFF"/>
    <w:rPr>
      <w:b/>
      <w:smallCaps/>
    </w:rPr>
  </w:style>
  <w:style w:type="paragraph" w:customStyle="1" w:styleId="TableListNumber">
    <w:name w:val="Table List Number"/>
    <w:basedOn w:val="ListNumber"/>
    <w:rsid w:val="00BC4AFF"/>
    <w:pPr>
      <w:numPr>
        <w:numId w:val="0"/>
      </w:numPr>
    </w:pPr>
  </w:style>
  <w:style w:type="paragraph" w:styleId="TOC4">
    <w:name w:val="toc 4"/>
    <w:basedOn w:val="TOCBase"/>
    <w:next w:val="Normal"/>
    <w:semiHidden/>
    <w:rsid w:val="00BC4AFF"/>
    <w:pPr>
      <w:tabs>
        <w:tab w:val="right" w:leader="dot" w:pos="9071"/>
      </w:tabs>
      <w:ind w:left="1701"/>
    </w:pPr>
  </w:style>
  <w:style w:type="paragraph" w:customStyle="1" w:styleId="ListAlpha">
    <w:name w:val="List Alpha"/>
    <w:basedOn w:val="List"/>
    <w:rsid w:val="00BC4AFF"/>
    <w:pPr>
      <w:numPr>
        <w:numId w:val="10"/>
      </w:numPr>
    </w:pPr>
  </w:style>
  <w:style w:type="paragraph" w:customStyle="1" w:styleId="ListAlpha2">
    <w:name w:val="List Alpha 2"/>
    <w:basedOn w:val="List2"/>
    <w:rsid w:val="00BC4AFF"/>
    <w:pPr>
      <w:numPr>
        <w:numId w:val="9"/>
      </w:numPr>
    </w:pPr>
  </w:style>
  <w:style w:type="paragraph" w:styleId="List2">
    <w:name w:val="List 2"/>
    <w:basedOn w:val="BodyText"/>
    <w:rsid w:val="00BC4AFF"/>
    <w:pPr>
      <w:tabs>
        <w:tab w:val="left" w:pos="680"/>
      </w:tabs>
      <w:spacing w:before="60" w:after="60"/>
      <w:ind w:left="680" w:hanging="340"/>
    </w:pPr>
  </w:style>
  <w:style w:type="paragraph" w:styleId="List3">
    <w:name w:val="List 3"/>
    <w:basedOn w:val="BodyText"/>
    <w:rsid w:val="00BC4AFF"/>
    <w:pPr>
      <w:tabs>
        <w:tab w:val="left" w:pos="1021"/>
      </w:tabs>
      <w:spacing w:before="60" w:after="60"/>
      <w:ind w:left="1020" w:hanging="340"/>
    </w:pPr>
  </w:style>
  <w:style w:type="paragraph" w:styleId="List4">
    <w:name w:val="List 4"/>
    <w:basedOn w:val="BodyText"/>
    <w:rsid w:val="00BC4AFF"/>
    <w:pPr>
      <w:tabs>
        <w:tab w:val="left" w:pos="1361"/>
      </w:tabs>
      <w:spacing w:before="60" w:after="60"/>
      <w:ind w:left="1361" w:hanging="340"/>
    </w:pPr>
  </w:style>
  <w:style w:type="paragraph" w:styleId="List5">
    <w:name w:val="List 5"/>
    <w:basedOn w:val="BodyText"/>
    <w:rsid w:val="00BC4AFF"/>
    <w:pPr>
      <w:tabs>
        <w:tab w:val="left" w:pos="1701"/>
      </w:tabs>
      <w:spacing w:before="60" w:after="60"/>
      <w:ind w:left="1701" w:hanging="340"/>
    </w:pPr>
  </w:style>
  <w:style w:type="paragraph" w:styleId="ListBullet4">
    <w:name w:val="List Bullet 4"/>
    <w:basedOn w:val="List4"/>
    <w:rsid w:val="00BC4AFF"/>
    <w:pPr>
      <w:numPr>
        <w:numId w:val="4"/>
      </w:numPr>
    </w:pPr>
  </w:style>
  <w:style w:type="paragraph" w:styleId="ListBullet5">
    <w:name w:val="List Bullet 5"/>
    <w:basedOn w:val="List5"/>
    <w:rsid w:val="00BC4AFF"/>
    <w:pPr>
      <w:numPr>
        <w:numId w:val="5"/>
      </w:numPr>
    </w:pPr>
  </w:style>
  <w:style w:type="paragraph" w:styleId="ListContinue2">
    <w:name w:val="List Continue 2"/>
    <w:basedOn w:val="List2"/>
    <w:rsid w:val="00BC4AFF"/>
    <w:pPr>
      <w:ind w:firstLine="0"/>
    </w:pPr>
  </w:style>
  <w:style w:type="paragraph" w:styleId="ListContinue3">
    <w:name w:val="List Continue 3"/>
    <w:basedOn w:val="List3"/>
    <w:rsid w:val="00BC4AFF"/>
    <w:pPr>
      <w:ind w:left="1021" w:firstLine="0"/>
    </w:pPr>
  </w:style>
  <w:style w:type="paragraph" w:styleId="ListContinue4">
    <w:name w:val="List Continue 4"/>
    <w:basedOn w:val="List4"/>
    <w:rsid w:val="00BC4AFF"/>
    <w:pPr>
      <w:ind w:firstLine="0"/>
    </w:pPr>
  </w:style>
  <w:style w:type="paragraph" w:styleId="ListContinue5">
    <w:name w:val="List Continue 5"/>
    <w:basedOn w:val="List5"/>
    <w:rsid w:val="00BC4AFF"/>
    <w:pPr>
      <w:ind w:firstLine="0"/>
    </w:pPr>
  </w:style>
  <w:style w:type="paragraph" w:styleId="ListNumber3">
    <w:name w:val="List Number 3"/>
    <w:basedOn w:val="List3"/>
    <w:rsid w:val="00BC4AFF"/>
    <w:pPr>
      <w:numPr>
        <w:numId w:val="6"/>
      </w:numPr>
    </w:pPr>
  </w:style>
  <w:style w:type="paragraph" w:styleId="ListNumber4">
    <w:name w:val="List Number 4"/>
    <w:basedOn w:val="List4"/>
    <w:rsid w:val="00BC4AFF"/>
    <w:pPr>
      <w:numPr>
        <w:numId w:val="7"/>
      </w:numPr>
    </w:pPr>
  </w:style>
  <w:style w:type="paragraph" w:styleId="ListNumber5">
    <w:name w:val="List Number 5"/>
    <w:basedOn w:val="List5"/>
    <w:rsid w:val="00BC4AFF"/>
    <w:pPr>
      <w:numPr>
        <w:numId w:val="8"/>
      </w:numPr>
    </w:pPr>
  </w:style>
  <w:style w:type="paragraph" w:styleId="BlockText">
    <w:name w:val="Block Text"/>
    <w:basedOn w:val="Normal"/>
    <w:rsid w:val="00BC4AFF"/>
    <w:pPr>
      <w:spacing w:after="120"/>
      <w:ind w:left="1440" w:right="1440"/>
    </w:pPr>
  </w:style>
  <w:style w:type="character" w:customStyle="1" w:styleId="Subscript">
    <w:name w:val="Subscript"/>
    <w:basedOn w:val="DefaultParagraphFont"/>
    <w:rsid w:val="00BC4AFF"/>
    <w:rPr>
      <w:sz w:val="16"/>
      <w:vertAlign w:val="subscript"/>
    </w:rPr>
  </w:style>
  <w:style w:type="character" w:customStyle="1" w:styleId="Superscript">
    <w:name w:val="Superscript"/>
    <w:basedOn w:val="DefaultParagraphFont"/>
    <w:rsid w:val="00BC4AFF"/>
    <w:rPr>
      <w:sz w:val="16"/>
      <w:vertAlign w:val="superscript"/>
    </w:rPr>
  </w:style>
  <w:style w:type="character" w:customStyle="1" w:styleId="Symbols">
    <w:name w:val="Symbols"/>
    <w:basedOn w:val="DefaultParagraphFont"/>
    <w:rsid w:val="00BC4AFF"/>
    <w:rPr>
      <w:rFonts w:ascii="Symbol" w:hAnsi="Symbol"/>
    </w:rPr>
  </w:style>
  <w:style w:type="character" w:customStyle="1" w:styleId="MenuOptions">
    <w:name w:val="Menu Options"/>
    <w:basedOn w:val="DefaultParagraphFont"/>
    <w:rsid w:val="00BC4AFF"/>
    <w:rPr>
      <w:rFonts w:ascii="Arial Narrow" w:hAnsi="Arial Narrow"/>
      <w:smallCaps/>
    </w:rPr>
  </w:style>
  <w:style w:type="character" w:customStyle="1" w:styleId="Buttons">
    <w:name w:val="Buttons"/>
    <w:basedOn w:val="DefaultParagraphFont"/>
    <w:rsid w:val="00BC4AFF"/>
    <w:rPr>
      <w:b/>
    </w:rPr>
  </w:style>
  <w:style w:type="character" w:customStyle="1" w:styleId="Underlined">
    <w:name w:val="Underlined"/>
    <w:basedOn w:val="DefaultParagraphFont"/>
    <w:rsid w:val="00BC4AFF"/>
    <w:rPr>
      <w:u w:val="single"/>
    </w:rPr>
  </w:style>
  <w:style w:type="paragraph" w:customStyle="1" w:styleId="TableBodyTextRight">
    <w:name w:val="Table Body Text Right"/>
    <w:basedOn w:val="TableBodyText"/>
    <w:rsid w:val="00BC4AFF"/>
    <w:pPr>
      <w:widowControl w:val="0"/>
      <w:autoSpaceDE w:val="0"/>
      <w:autoSpaceDN w:val="0"/>
      <w:adjustRightInd w:val="0"/>
      <w:jc w:val="right"/>
    </w:pPr>
    <w:rPr>
      <w:rFonts w:cs="Arial"/>
      <w:szCs w:val="18"/>
    </w:rPr>
  </w:style>
  <w:style w:type="paragraph" w:customStyle="1" w:styleId="CopyrightText">
    <w:name w:val="Copyright Text"/>
    <w:basedOn w:val="BodyText"/>
    <w:rsid w:val="00BC4AFF"/>
    <w:rPr>
      <w:sz w:val="18"/>
    </w:rPr>
  </w:style>
  <w:style w:type="paragraph" w:customStyle="1" w:styleId="BodySmallRight">
    <w:name w:val="Body Small Right"/>
    <w:basedOn w:val="BodyTextRight"/>
    <w:rsid w:val="00BC4AFF"/>
    <w:rPr>
      <w:sz w:val="18"/>
      <w:szCs w:val="18"/>
    </w:rPr>
  </w:style>
  <w:style w:type="paragraph" w:customStyle="1" w:styleId="MarginEdition">
    <w:name w:val="Margin Edition"/>
    <w:basedOn w:val="MarginNote"/>
    <w:rsid w:val="00BC4AFF"/>
    <w:pPr>
      <w:spacing w:before="0" w:after="0"/>
    </w:pPr>
    <w:rPr>
      <w:rFonts w:ascii="Times New Roman" w:hAnsi="Times New Roman"/>
      <w:color w:val="999999"/>
    </w:rPr>
  </w:style>
  <w:style w:type="paragraph" w:customStyle="1" w:styleId="Spacer">
    <w:name w:val="Spacer"/>
    <w:basedOn w:val="Normal"/>
    <w:rsid w:val="00BC4AFF"/>
    <w:rPr>
      <w:sz w:val="2"/>
      <w:szCs w:val="2"/>
    </w:rPr>
  </w:style>
  <w:style w:type="character" w:customStyle="1" w:styleId="Small">
    <w:name w:val="Small"/>
    <w:basedOn w:val="DefaultParagraphFont"/>
    <w:rsid w:val="00BC4AFF"/>
    <w:rPr>
      <w:sz w:val="16"/>
    </w:rPr>
  </w:style>
  <w:style w:type="paragraph" w:customStyle="1" w:styleId="WideTable">
    <w:name w:val="Wide Table"/>
    <w:basedOn w:val="Normal"/>
    <w:rsid w:val="00BC4AFF"/>
    <w:pPr>
      <w:ind w:left="-1418"/>
    </w:pPr>
    <w:rPr>
      <w:sz w:val="2"/>
      <w:szCs w:val="2"/>
    </w:rPr>
  </w:style>
  <w:style w:type="character" w:styleId="PageNumber">
    <w:name w:val="page number"/>
    <w:basedOn w:val="DefaultParagraphFont"/>
    <w:rsid w:val="00BC4AFF"/>
  </w:style>
  <w:style w:type="paragraph" w:styleId="Quote">
    <w:name w:val="Quote"/>
    <w:basedOn w:val="Heading1"/>
    <w:link w:val="QuoteChar"/>
    <w:qFormat/>
    <w:rsid w:val="00BC4AFF"/>
    <w:rPr>
      <w:b w:val="0"/>
      <w:sz w:val="72"/>
      <w:szCs w:val="72"/>
      <w:lang w:val="en-NZ"/>
    </w:rPr>
  </w:style>
  <w:style w:type="character" w:customStyle="1" w:styleId="QuoteChar">
    <w:name w:val="Quote Char"/>
    <w:basedOn w:val="DefaultParagraphFont"/>
    <w:link w:val="Quote"/>
    <w:rsid w:val="00BC4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AFF"/>
    <w:pPr>
      <w:pageBreakBefore/>
    </w:pPr>
  </w:style>
  <w:style w:type="paragraph" w:customStyle="1" w:styleId="Border">
    <w:name w:val="Border"/>
    <w:basedOn w:val="Normal"/>
    <w:qFormat/>
    <w:rsid w:val="00BC4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AFF"/>
    <w:rPr>
      <w:b/>
      <w:bCs/>
      <w:i/>
      <w:iCs/>
      <w:color w:val="auto"/>
    </w:rPr>
  </w:style>
  <w:style w:type="paragraph" w:styleId="IntenseQuote">
    <w:name w:val="Intense Quote"/>
    <w:basedOn w:val="Normal"/>
    <w:next w:val="Normal"/>
    <w:link w:val="IntenseQuoteChar"/>
    <w:uiPriority w:val="30"/>
    <w:qFormat/>
    <w:rsid w:val="00BC4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AFF"/>
    <w:rPr>
      <w:smallCaps/>
      <w:color w:val="auto"/>
      <w:u w:val="single"/>
    </w:rPr>
  </w:style>
  <w:style w:type="character" w:styleId="IntenseReference">
    <w:name w:val="Intense Reference"/>
    <w:basedOn w:val="DefaultParagraphFont"/>
    <w:uiPriority w:val="32"/>
    <w:qFormat/>
    <w:rsid w:val="00BC4AFF"/>
    <w:rPr>
      <w:b/>
      <w:bCs/>
      <w:smallCaps/>
      <w:color w:val="auto"/>
      <w:spacing w:val="5"/>
      <w:u w:val="single"/>
    </w:rPr>
  </w:style>
  <w:style w:type="paragraph" w:customStyle="1" w:styleId="2ColumnHeading">
    <w:name w:val="2Column Heading"/>
    <w:basedOn w:val="BodyText"/>
    <w:qFormat/>
    <w:rsid w:val="00BC4AFF"/>
    <w:pPr>
      <w:spacing w:after="60"/>
      <w:ind w:left="-2268"/>
    </w:pPr>
    <w:rPr>
      <w:b/>
    </w:rPr>
  </w:style>
  <w:style w:type="paragraph" w:customStyle="1" w:styleId="Heading1TOC">
    <w:name w:val="Heading1 TOC"/>
    <w:basedOn w:val="Normal"/>
    <w:qFormat/>
    <w:rsid w:val="00BC4AFF"/>
    <w:pPr>
      <w:spacing w:before="240" w:after="120"/>
    </w:pPr>
    <w:rPr>
      <w:rFonts w:ascii="Times New Roman" w:hAnsi="Times New Roman"/>
      <w:b/>
      <w:sz w:val="32"/>
    </w:rPr>
  </w:style>
  <w:style w:type="paragraph" w:customStyle="1" w:styleId="Heading2TOC">
    <w:name w:val="Heading2 TOC"/>
    <w:basedOn w:val="Normal"/>
    <w:qFormat/>
    <w:rsid w:val="00BC4AFF"/>
    <w:pPr>
      <w:spacing w:before="240" w:after="60"/>
    </w:pPr>
    <w:rPr>
      <w:rFonts w:ascii="Times New Roman" w:hAnsi="Times New Roman"/>
      <w:b/>
      <w:sz w:val="28"/>
    </w:rPr>
  </w:style>
  <w:style w:type="character" w:customStyle="1" w:styleId="Underline">
    <w:name w:val="Underline"/>
    <w:basedOn w:val="DefaultParagraphFont"/>
    <w:qFormat/>
    <w:rsid w:val="00BC4AFF"/>
    <w:rPr>
      <w:u w:val="single"/>
    </w:rPr>
  </w:style>
  <w:style w:type="character" w:customStyle="1" w:styleId="BoldandItalics">
    <w:name w:val="Bold and Italics"/>
    <w:qFormat/>
    <w:rsid w:val="00BC4AFF"/>
    <w:rPr>
      <w:b/>
      <w:i/>
      <w:u w:val="none"/>
    </w:rPr>
  </w:style>
  <w:style w:type="paragraph" w:styleId="BalloonText">
    <w:name w:val="Balloon Text"/>
    <w:basedOn w:val="Normal"/>
    <w:link w:val="BalloonTextChar"/>
    <w:rsid w:val="00BC4AFF"/>
    <w:rPr>
      <w:rFonts w:ascii="Tahoma" w:hAnsi="Tahoma" w:cs="Tahoma"/>
      <w:sz w:val="16"/>
      <w:szCs w:val="16"/>
    </w:rPr>
  </w:style>
  <w:style w:type="character" w:customStyle="1" w:styleId="BalloonTextChar">
    <w:name w:val="Balloon Text Char"/>
    <w:basedOn w:val="DefaultParagraphFont"/>
    <w:link w:val="BalloonText"/>
    <w:rsid w:val="00BC4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AFF"/>
    <w:rPr>
      <w:b/>
      <w:color w:val="660033"/>
      <w:spacing w:val="0"/>
    </w:rPr>
  </w:style>
  <w:style w:type="paragraph" w:customStyle="1" w:styleId="Nameditemlist">
    <w:name w:val="Named item list"/>
    <w:basedOn w:val="BodyText"/>
    <w:qFormat/>
    <w:rsid w:val="00BC4A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3289</Words>
  <Characters>21013</Characters>
  <Application>Microsoft Office Word</Application>
  <DocSecurity>0</DocSecurity>
  <Lines>799</Lines>
  <Paragraphs>315</Paragraphs>
  <ScaleCrop>false</ScaleCrop>
  <Company>Author-it Software Corporation Ltd.</Company>
  <LinksUpToDate>false</LinksUpToDate>
  <CharactersWithSpaces>24060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UETTDRTP35A Install/maintain transmission network infrastructure electrical equipment</dc:title>
  <dc:subject>Approved</dc:subject>
  <dc:creator>E-OZ Training Standards</dc:creator>
  <cp:keywords>Release: 1</cp:keywords>
  <dc:description>Review Date: 12 April 2008</dc:description>
  <cp:lastModifiedBy>HSD_TPCMSd.prod</cp:lastModifiedBy>
  <cp:revision>3</cp:revision>
  <dcterms:created xsi:type="dcterms:W3CDTF">2013-10-25T06:20:00Z</dcterms:created>
  <dcterms:modified xsi:type="dcterms:W3CDTF">2013-10-25T06:21:00Z</dcterms:modified>
</cp:coreProperties>
</file>