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350" w:rsidP="00A76350">
      <w:pPr>
        <w:pStyle w:val="Title"/>
      </w:pPr>
      <w:bookmarkStart w:id="0" w:name="_GoBack"/>
      <w:bookmarkEnd w:id="0"/>
      <w:r>
        <w:fldChar w:fldCharType="begin"/>
      </w:r>
      <w:r>
        <w:instrText xml:space="preserve"> TITLE   \* MERGEFORMAT </w:instrText>
      </w:r>
      <w:r>
        <w:fldChar w:fldCharType="separate"/>
      </w:r>
      <w:r>
        <w:t>UETTDRTP31A Maintain energised transmission lines using high voltage live work stick method</w:t>
      </w:r>
      <w:r>
        <w:fldChar w:fldCharType="end"/>
      </w:r>
    </w:p>
    <w:p w:rsidR="00A76350" w:rsidP="00A76350">
      <w:pPr>
        <w:pStyle w:val="Version"/>
        <w:sectPr w:rsidSect="00215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D1F" w:rsidP="00215D1F">
      <w:pPr>
        <w:pStyle w:val="SuperHeading"/>
      </w:pPr>
      <w:r w:rsidRPr="00215D1F">
        <w:t>UETTDRTP31A Maintain energised transmission lines using high voltage live work stick method</w:t>
      </w:r>
    </w:p>
    <w:p w:rsidR="00000000" w:rsidRPr="00215D1F" w:rsidP="00215D1F">
      <w:pPr>
        <w:pStyle w:val="Heading1"/>
      </w:pPr>
      <w:bookmarkStart w:id="1" w:name="O_460855"/>
      <w:bookmarkEnd w:id="1"/>
      <w:r w:rsidRPr="00215D1F">
        <w:t>Modification History</w:t>
      </w:r>
    </w:p>
    <w:p w:rsidR="00000000" w:rsidRPr="00215D1F" w:rsidP="00215D1F">
      <w:pPr>
        <w:pStyle w:val="BodyText"/>
      </w:pPr>
      <w:r w:rsidRPr="00215D1F">
        <w:t>Not applicable.</w:t>
      </w:r>
    </w:p>
    <w:p w:rsidR="00000000" w:rsidRPr="00215D1F" w:rsidP="00215D1F">
      <w:pPr>
        <w:pStyle w:val="AllowPageBreak"/>
      </w:pPr>
    </w:p>
    <w:p w:rsidR="00000000" w:rsidRPr="00215D1F" w:rsidP="00215D1F">
      <w:pPr>
        <w:pStyle w:val="Heading1"/>
      </w:pPr>
      <w:bookmarkStart w:id="2" w:name="O_460853"/>
      <w:bookmarkEnd w:id="2"/>
      <w:r w:rsidRPr="00215D1F">
        <w:t>Unit</w:t>
      </w:r>
      <w:r w:rsidRPr="00215D1F">
        <w:t xml:space="preserve"> Descriptor</w:t>
      </w:r>
    </w:p>
    <w:tbl>
      <w:tblPr>
        <w:tblW w:w="0" w:type="auto"/>
        <w:tblLayout w:type="fixed"/>
        <w:tblCellMar>
          <w:left w:w="62" w:type="dxa"/>
          <w:right w:w="62" w:type="dxa"/>
        </w:tblCellMar>
        <w:tblLook w:val="0000"/>
      </w:tblPr>
      <w:tblGrid>
        <w:gridCol w:w="2700"/>
        <w:gridCol w:w="5760"/>
      </w:tblGrid>
      <w:tr w:rsidTr="00A763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1)</w:t>
            </w:r>
            <w:r w:rsidRPr="00215D1F">
              <w:t xml:space="preserve"> </w:t>
            </w:r>
            <w:r w:rsidRPr="00215D1F">
              <w:rPr>
                <w:rStyle w:val="SpecialBold"/>
              </w:rPr>
              <w:t>Scope:</w:t>
            </w:r>
          </w:p>
        </w:tc>
      </w:tr>
      <w:tr w:rsidTr="00A76350">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215D1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1.1) Descriptor</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 xml:space="preserve">This Competency Standard Unit covers the maintenance of energised high voltage transmission overhead electrical apparatus, i.e. live line work </w:t>
            </w:r>
            <w:r w:rsidRPr="00215D1F">
              <w:t>using line Stick techniques and includes the verification of the site conditions and the potential hazards, the conformation and calculation of physical loads and the selection of appropriate and authorised work method. It includes the preparation and clea</w:t>
            </w:r>
            <w:r w:rsidRPr="00215D1F">
              <w:t xml:space="preserve">ning of specialist material and tools in accordance with authorised technical instructions. It also encompasses the undertaking of OHS and safe working practices and the rendering inoperative of the automatic re-closing device including its restoration in </w:t>
            </w:r>
            <w:r w:rsidRPr="00215D1F">
              <w:t>accordance with the work plan and the procedure of issuing/accepting electrical access permits and or relevant work document.</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3" w:name="O_460842"/>
      <w:bookmarkEnd w:id="3"/>
      <w:r w:rsidRPr="00215D1F">
        <w:t>Application of the Unit</w:t>
      </w:r>
    </w:p>
    <w:tbl>
      <w:tblPr>
        <w:tblW w:w="0" w:type="auto"/>
        <w:tblLayout w:type="fixed"/>
        <w:tblCellMar>
          <w:left w:w="62" w:type="dxa"/>
          <w:right w:w="62" w:type="dxa"/>
        </w:tblCellMar>
        <w:tblLook w:val="0000"/>
      </w:tblPr>
      <w:tblGrid>
        <w:gridCol w:w="2672"/>
        <w:gridCol w:w="5699"/>
      </w:tblGrid>
      <w:tr w:rsidTr="00A7635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2)</w:t>
            </w:r>
          </w:p>
        </w:tc>
      </w:tr>
      <w:tr w:rsidTr="00A7635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This Competency Standard Unit is intended to augment fo</w:t>
            </w:r>
            <w:r w:rsidRPr="00215D1F">
              <w:t>rmally acquired competencies. It is suitable for employment-based programs under an approved contract of training.</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4" w:name="O_460849"/>
      <w:bookmarkEnd w:id="4"/>
      <w:r w:rsidRPr="00215D1F">
        <w:t>Licensing/Regulatory Information</w:t>
      </w:r>
    </w:p>
    <w:tbl>
      <w:tblPr>
        <w:tblW w:w="0" w:type="auto"/>
        <w:tblLayout w:type="fixed"/>
        <w:tblCellMar>
          <w:left w:w="62" w:type="dxa"/>
          <w:right w:w="62" w:type="dxa"/>
        </w:tblCellMar>
        <w:tblLook w:val="0000"/>
      </w:tblPr>
      <w:tblGrid>
        <w:gridCol w:w="2700"/>
        <w:gridCol w:w="5760"/>
      </w:tblGrid>
      <w:tr w:rsidTr="00A763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 xml:space="preserve">3)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The skills and knowledge described in this unit may require a l</w:t>
            </w:r>
            <w:r w:rsidRPr="00215D1F">
              <w:t>icence/registration to practice in the work place subject to regulations for undertaking of electrical work. Practice in workplace and during training is also subject to regulations directly related to Occupational Health and Safety, electricity/telecommun</w:t>
            </w:r>
            <w:r w:rsidRPr="00215D1F">
              <w:t>ications/gas/water industry safety and compliance, industrial relations, environmental protection, anti discrimination and training. Commonwealth, State/Territory or Local Government legislation and regulations may exist that limits the age of operating ce</w:t>
            </w:r>
            <w:r w:rsidRPr="00215D1F">
              <w:t>rtain equipment.</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5" w:name="O_460850"/>
      <w:bookmarkEnd w:id="5"/>
      <w:r w:rsidRPr="00215D1F">
        <w:t>Pre-Requisites</w:t>
      </w:r>
    </w:p>
    <w:tbl>
      <w:tblPr>
        <w:tblW w:w="0" w:type="auto"/>
        <w:tblLayout w:type="fixed"/>
        <w:tblCellMar>
          <w:left w:w="62" w:type="dxa"/>
          <w:right w:w="62" w:type="dxa"/>
        </w:tblCellMar>
        <w:tblLook w:val="0000"/>
      </w:tblPr>
      <w:tblGrid>
        <w:gridCol w:w="2700"/>
        <w:gridCol w:w="1890"/>
        <w:gridCol w:w="3870"/>
      </w:tblGrid>
      <w:tr w:rsidTr="00A763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 xml:space="preserve">4)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4.1)</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Granting of competency in this unit shall be made only after competency in the following unit(s) has/have been confirmed.</w:t>
            </w:r>
          </w:p>
          <w:p w:rsidR="00000000" w:rsidRPr="00215D1F" w:rsidP="00215D1F">
            <w:pPr>
              <w:pStyle w:val="BodyText"/>
            </w:pPr>
            <w:r w:rsidRPr="00215D1F">
              <w:t>Where pre-requisite pathways have been identified. All competencies in the Common Unit Group must be have been completed.</w:t>
            </w:r>
          </w:p>
          <w:p w:rsidR="00000000" w:rsidRPr="00215D1F" w:rsidP="00215D1F">
            <w:pPr>
              <w:pStyle w:val="BodyText"/>
            </w:pPr>
            <w:r w:rsidRPr="00215D1F">
              <w:t>Pathway 1</w:t>
            </w:r>
          </w:p>
          <w:p w:rsidR="00000000" w:rsidRPr="00215D1F" w:rsidP="00215D1F">
            <w:pPr>
              <w:pStyle w:val="BodyText"/>
            </w:pPr>
            <w:r w:rsidRPr="00215D1F">
              <w:t>Certificate III Transmission overhead powerline worker or a qualified transmission powerline worker.</w:t>
            </w:r>
          </w:p>
          <w:p w:rsidR="00000000" w:rsidP="00215D1F">
            <w:pPr>
              <w:pStyle w:val="BodyText"/>
              <w:rPr>
                <w:lang w:val="en-NZ"/>
              </w:rPr>
            </w:pPr>
            <w:r w:rsidRPr="00215D1F">
              <w:t>Pathway 2</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Unit Code</w:t>
            </w:r>
            <w:r w:rsidRPr="00215D1F">
              <w:tab/>
            </w:r>
          </w:p>
        </w:tc>
        <w:tc>
          <w:tcPr>
            <w:tcW w:w="387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Unit Title</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BSBWOR402A</w:t>
            </w:r>
          </w:p>
        </w:tc>
        <w:tc>
          <w:tcPr>
            <w:tcW w:w="387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Promote team effectiveness</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Apply Occupational Health and Safety regulations, codes and practices in the workplace</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Fabricate, assemble and dismantle utilities industry components</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UEENEEE104A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Solve problems in d.c. Circuits</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Fix and secure electrotechnology equipment</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Use drawings, diagrams, schedules, standards, codes and specifications</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UEENEEG101A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Solve problems in electromagnetic devices and related circuits</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UEENEEG102A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Solve problems in low voltage a.c. Circuits</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 xml:space="preserve">Apply sustainable energy and environmental procedures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 xml:space="preserve">Operate plant and equipment near live electrical conductors and apparatus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Working safely near live ele</w:t>
            </w:r>
            <w:r w:rsidRPr="00215D1F">
              <w:t xml:space="preserve">ctrical apparatus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 xml:space="preserve">Install and maintain poles, structures, overhead conductors and cables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UETTDRIS65A</w:t>
            </w:r>
          </w:p>
        </w:tc>
        <w:tc>
          <w:tcPr>
            <w:tcW w:w="387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Contribute to coordinated HV live working</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UETTDRTP26A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 xml:space="preserve">Install transmission structures and associated hardware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UETTDRTP27A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 xml:space="preserve">Maintain transmission structures and associated hardware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UETTDRTP29A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 xml:space="preserve">Install and maintain transmission overhead conductors and cables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UETTDRTP30A</w:t>
            </w:r>
          </w:p>
        </w:tc>
        <w:tc>
          <w:tcPr>
            <w:tcW w:w="3870" w:type="dxa"/>
            <w:tcBorders>
              <w:top w:val="nil"/>
              <w:left w:val="nil"/>
              <w:bottom w:val="nil"/>
              <w:right w:val="nil"/>
            </w:tcBorders>
            <w:tcMar>
              <w:top w:w="0" w:type="dxa"/>
              <w:left w:w="62" w:type="dxa"/>
              <w:bottom w:w="0" w:type="dxa"/>
              <w:right w:w="62" w:type="dxa"/>
            </w:tcMar>
            <w:vAlign w:val="bottom"/>
          </w:tcPr>
          <w:p w:rsidR="00000000" w:rsidP="00215D1F">
            <w:pPr>
              <w:pStyle w:val="BodyText"/>
              <w:rPr>
                <w:lang w:val="en-NZ"/>
              </w:rPr>
            </w:pPr>
            <w:r w:rsidRPr="00215D1F">
              <w:t xml:space="preserve">Inspect transmission overhead structures and electrical apparatus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15D1F">
            <w:pPr>
              <w:pStyle w:val="BodyText"/>
              <w:rPr>
                <w:lang w:val="en-NZ"/>
              </w:rPr>
            </w:pPr>
            <w:r w:rsidRPr="00215D1F">
              <w:t>UETTDRTP99A</w:t>
            </w:r>
          </w:p>
        </w:tc>
        <w:tc>
          <w:tcPr>
            <w:tcW w:w="3870" w:type="dxa"/>
            <w:tcBorders>
              <w:top w:val="nil"/>
              <w:left w:val="nil"/>
              <w:bottom w:val="nil"/>
              <w:right w:val="nil"/>
            </w:tcBorders>
            <w:tcMar>
              <w:top w:w="0" w:type="dxa"/>
              <w:left w:w="62" w:type="dxa"/>
              <w:bottom w:w="0" w:type="dxa"/>
              <w:right w:w="62" w:type="dxa"/>
            </w:tcMar>
            <w:vAlign w:val="center"/>
          </w:tcPr>
          <w:p w:rsidR="00000000" w:rsidRPr="00215D1F" w:rsidP="00215D1F">
            <w:pPr>
              <w:pStyle w:val="BodyText"/>
            </w:pPr>
            <w:r w:rsidRPr="00215D1F">
              <w:t>Test and verify transmission overhead installations</w:t>
            </w:r>
          </w:p>
        </w:tc>
      </w:tr>
    </w:tbl>
    <w:p w:rsidR="00000000" w:rsidRPr="00215D1F" w:rsidP="00215D1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7635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 xml:space="preserve">4.2)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 xml:space="preserve">Participants are best equipped to achieve this unit if they have reading, writing and numeracy skills indicated by the following scales. Description </w:t>
            </w:r>
            <w:r w:rsidRPr="00215D1F">
              <w:t>of each scale is given in Volume 2, Part 3 “Literacy and Numeracy”</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Reading</w:t>
            </w:r>
          </w:p>
        </w:tc>
        <w:tc>
          <w:tcPr>
            <w:tcW w:w="81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4</w:t>
            </w:r>
          </w:p>
        </w:tc>
        <w:tc>
          <w:tcPr>
            <w:tcW w:w="99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Writing</w:t>
            </w:r>
          </w:p>
        </w:tc>
        <w:tc>
          <w:tcPr>
            <w:tcW w:w="90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4</w:t>
            </w:r>
          </w:p>
        </w:tc>
        <w:tc>
          <w:tcPr>
            <w:tcW w:w="126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Numeracy</w:t>
            </w:r>
          </w:p>
        </w:tc>
        <w:tc>
          <w:tcPr>
            <w:tcW w:w="72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4</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6" w:name="O_460846"/>
      <w:bookmarkEnd w:id="6"/>
      <w:r w:rsidRPr="00215D1F">
        <w:t>Employability Skills Information</w:t>
      </w:r>
    </w:p>
    <w:tbl>
      <w:tblPr>
        <w:tblW w:w="0" w:type="auto"/>
        <w:tblLayout w:type="fixed"/>
        <w:tblCellMar>
          <w:left w:w="62" w:type="dxa"/>
          <w:right w:w="62" w:type="dxa"/>
        </w:tblCellMar>
        <w:tblLook w:val="0000"/>
      </w:tblPr>
      <w:tblGrid>
        <w:gridCol w:w="2700"/>
        <w:gridCol w:w="5760"/>
      </w:tblGrid>
      <w:tr w:rsidTr="00A763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 xml:space="preserve">5)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The r</w:t>
            </w:r>
            <w:r w:rsidRPr="00215D1F">
              <w:t>equired outcomes described in this unit of competency contain applicable facets of Employability Skills. The Employability Skills Summary of the qualification in which this unit of competency is packaged will assist in identifying Employability Skill requi</w:t>
            </w:r>
            <w:r w:rsidRPr="00215D1F">
              <w:t>rements.</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7" w:name="O_460845"/>
      <w:bookmarkEnd w:id="7"/>
      <w:r w:rsidRPr="00215D1F">
        <w:t>Elements and Performance Criteria Pre-Content</w:t>
      </w:r>
    </w:p>
    <w:tbl>
      <w:tblPr>
        <w:tblW w:w="0" w:type="auto"/>
        <w:tblLayout w:type="fixed"/>
        <w:tblCellMar>
          <w:left w:w="62" w:type="dxa"/>
          <w:right w:w="62" w:type="dxa"/>
        </w:tblCellMar>
        <w:tblLook w:val="0000"/>
      </w:tblPr>
      <w:tblGrid>
        <w:gridCol w:w="2700"/>
        <w:gridCol w:w="5760"/>
      </w:tblGrid>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6)</w:t>
            </w:r>
            <w:r w:rsidRPr="00215D1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Performance Criteria describe the required performance needed to demonstrate achievement of the element. Assessment of performance is to be consistent with the Evidence Guide.</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8" w:name="O_460844"/>
      <w:bookmarkEnd w:id="8"/>
      <w:r w:rsidRPr="00215D1F">
        <w:t>Elements and Performance Criteria</w:t>
      </w:r>
    </w:p>
    <w:tbl>
      <w:tblPr>
        <w:tblW w:w="0" w:type="auto"/>
        <w:tblLayout w:type="fixed"/>
        <w:tblCellMar>
          <w:left w:w="62" w:type="dxa"/>
          <w:right w:w="62" w:type="dxa"/>
        </w:tblCellMar>
        <w:tblLook w:val="0000"/>
      </w:tblPr>
      <w:tblGrid>
        <w:gridCol w:w="405"/>
        <w:gridCol w:w="2295"/>
        <w:gridCol w:w="831"/>
        <w:gridCol w:w="4929"/>
      </w:tblGrid>
      <w:tr w:rsidTr="00A7635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PERFORMANCE CRITER</w:t>
            </w:r>
            <w:r w:rsidRPr="00215D1F">
              <w:rPr>
                <w:rStyle w:val="SpecialBold"/>
              </w:rPr>
              <w:t>IA</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w:t>
            </w:r>
          </w:p>
        </w:tc>
        <w:tc>
          <w:tcPr>
            <w:tcW w:w="2295"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Prepare/plan to maintain energised transmission lines using high voltage live work stick method</w:t>
            </w: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1.1</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 xml:space="preserve">Works schedule(s), including drawings, plans, requirements, established procedures, and material lists, are obtained, analysed, if necessary, </w:t>
            </w:r>
            <w:r w:rsidRPr="00215D1F">
              <w:t>by site inspection and the extent of the preparation of the work determined for planning and coordination.</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1.2</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Relevant requirements and established procedures for the work are communicated to all personnel and identified for all work sites.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1.3</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Haza</w:t>
            </w:r>
            <w:r w:rsidRPr="00215D1F">
              <w:t>rds are identified, OHS risks assessed and control measures are prioritised, implemented and monitored including emergency exits kept clear, to ensure safe systems of work are followed and according to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1.4</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Work is prioritised and sequenced for the most efficient and effective outcome following consultation with others for completion within acceptable timeframes, to a quality standard and in accordance with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1.5</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Risk control measures</w:t>
            </w:r>
            <w:r w:rsidRPr="00215D1F">
              <w:t xml:space="preserve"> are identified, prioritised and evaluated against the work schedule.</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1.6</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Relevant work permits are secured to coordinate the performance of work according to requirements and/or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1.7</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Resources including personnel, equipment, t</w:t>
            </w:r>
            <w:r w:rsidRPr="00215D1F">
              <w:t>ools and personal protective equipment required for the job are identified, scheduled and coordinated and confirmed in a safe and technical working order.</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1.8</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Relevant personnel at work site are confirmed current in First Aid, CPR, and other rescue procedures according to requirements.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1.9</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Liaison and communication issues with other/authorised personnel, authorities, clients and land owners are resolved and a</w:t>
            </w:r>
            <w:r w:rsidRPr="00215D1F">
              <w:t>ctivities coordinated to carry out work.</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1.10</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Site is prepared according to the work schedule and to minimise risk and damage to property, commerce, and individuals in accordance with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1.11</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 xml:space="preserve">Personnel participating in the work, </w:t>
            </w:r>
            <w:r w:rsidRPr="00215D1F">
              <w:t>including plant operators and contractors, are fully briefed and respective responsibilities coordinated and authorised where applicable in accordance with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1.12</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Positioning of road signs, barriers and warning devices is planned in accordance with requirements.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w:t>
            </w:r>
          </w:p>
        </w:tc>
        <w:tc>
          <w:tcPr>
            <w:tcW w:w="2295" w:type="dxa"/>
            <w:vMerge w:val="restart"/>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Carry out the maintenance of energised transmission lines using high voltage live work stick method</w:t>
            </w: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2.1</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OHS and sustainable energy principles and practic</w:t>
            </w:r>
            <w:r w:rsidRPr="00215D1F">
              <w:t>es to reduce the incidents of accidents and minimise waste are monitored and actioned in accordance with requirements and/or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2.2</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First Aid, CPR and other Rescue procedures and other related work procedures are performed according</w:t>
            </w:r>
            <w:r w:rsidRPr="00215D1F">
              <w:t xml:space="preserve"> to requirements and/or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2.3</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Lifting, climbing, working aloft, and tools/equipment, techniques and practices are safely exercised according to requirements.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2.4</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Hazard warnings and safety signs are recognised and hazards and assessed OHS risks are reported to the immediate authorised persons for directions according to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2.5</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Auto reclose devices associated with the circuits being worked on</w:t>
            </w:r>
            <w:r w:rsidRPr="00215D1F">
              <w:t xml:space="preserve"> have been rendered inoperative and necessary work documentation acquired in accordance with enterprise requirements.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2.6</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Remedial actions are taken to overcome any shortfalls encountered in the work schedule according to requirements and/or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2.7</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Maintenance of energised high voltage overhead electrical transmission apparatus is carried out, in accor</w:t>
            </w:r>
            <w:r w:rsidRPr="00215D1F">
              <w:t>dance with the work schedule and requirements and/or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2.8</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Essential knowledge and associated skills are applied in the safe maintenance of energised high voltage overhead electrical transmission apparatus to ensure completion in a</w:t>
            </w:r>
            <w:r w:rsidRPr="00215D1F">
              <w:t>n agreed timeframe and, to quality standards with a minimum of waste according to requirements.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2.9</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Solutions to non-routine problems are identified and actioned using acquired essential knowledge and associated skills according to requirements.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2.10</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Ongoing checks of quality of the work are undertaken in accordance with requirements and established procedures to ensure a quality like outcome is achieved for the client/customer and to a community/industry standard.</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3</w:t>
            </w:r>
          </w:p>
        </w:tc>
        <w:tc>
          <w:tcPr>
            <w:tcW w:w="2295" w:type="dxa"/>
            <w:vMerge w:val="restart"/>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Complete the maintenance of energ</w:t>
            </w:r>
            <w:r w:rsidRPr="00215D1F">
              <w:t>ised transmission lines using high voltage live work stick method</w:t>
            </w: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3.1</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Work is checked against schedule for conformance, anomalies reported in accordance with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3.2</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Accidents and /or injuries are reported and followed up in accordan</w:t>
            </w:r>
            <w:r w:rsidRPr="00215D1F">
              <w:t>ce with requirements/established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3.3</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Work site is rehabilitated, cleaned up and confirmed safe in accordance with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3.4</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Tools, equipment and any surplus resources and materials are, where appropriate, cleaned, checked and returned to storage in accordance with established procedures.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3.5</w:t>
            </w:r>
          </w:p>
        </w:tc>
        <w:tc>
          <w:tcPr>
            <w:tcW w:w="4929"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Relevant work permit(s) (live line) are signed off and client/customer advised in ac</w:t>
            </w:r>
            <w:r w:rsidRPr="00215D1F">
              <w:t>cordance with requirements.</w:t>
            </w:r>
          </w:p>
        </w:tc>
      </w:tr>
      <w:tr w:rsidTr="00A76350">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t>3.6</w:t>
            </w:r>
          </w:p>
        </w:tc>
        <w:tc>
          <w:tcPr>
            <w:tcW w:w="4929"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Works completion records, reports, as installed/modified drawing(s) and/or documentation and information are confirmed, processed and appropriate personnel notified.</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9" w:name="O_460852"/>
      <w:bookmarkEnd w:id="9"/>
      <w:r w:rsidRPr="00215D1F">
        <w:t>Required Skills and Knowledge</w:t>
      </w:r>
    </w:p>
    <w:tbl>
      <w:tblPr>
        <w:tblW w:w="0" w:type="auto"/>
        <w:tblLayout w:type="fixed"/>
        <w:tblCellMar>
          <w:left w:w="62" w:type="dxa"/>
          <w:right w:w="62" w:type="dxa"/>
        </w:tblCellMar>
        <w:tblLook w:val="0000"/>
      </w:tblPr>
      <w:tblGrid>
        <w:gridCol w:w="8460"/>
      </w:tblGrid>
      <w:tr w:rsidTr="00A763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REQUIRED SKILLS AND KNOWLEDGE</w:t>
            </w:r>
          </w:p>
        </w:tc>
      </w:tr>
      <w:tr w:rsidTr="00A7635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8)</w:t>
            </w:r>
            <w:r w:rsidRPr="00215D1F">
              <w:t xml:space="preserve"> Essential Knowledge and Associated Skills (EKAS): This describes the essential skills and knowledge and their level, required for this unit.</w:t>
            </w:r>
          </w:p>
          <w:p w:rsidR="00000000" w:rsidRPr="00215D1F" w:rsidP="00215D1F">
            <w:pPr>
              <w:pStyle w:val="BodyText"/>
            </w:pPr>
            <w:r w:rsidRPr="00215D1F">
              <w:t>Evidence shall show that knowledge has been acquired of maintaining energised lin</w:t>
            </w:r>
            <w:r w:rsidRPr="00215D1F">
              <w:t xml:space="preserve">es (transmission) using live line stick technique. </w:t>
            </w:r>
          </w:p>
          <w:p w:rsidR="00000000" w:rsidRPr="00215D1F" w:rsidP="00215D1F">
            <w:pPr>
              <w:pStyle w:val="BodyText"/>
            </w:pPr>
            <w:r w:rsidRPr="00215D1F">
              <w:t>All knowledge and skills detailed in this unit should be contextualised to current industry practices and technologies.</w:t>
            </w:r>
          </w:p>
          <w:p w:rsidR="00000000" w:rsidRPr="00215D1F" w:rsidP="00215D1F">
            <w:pPr>
              <w:pStyle w:val="BodyText"/>
            </w:pPr>
            <w:r w:rsidRPr="00215D1F">
              <w:t xml:space="preserve">KS01-TTP31A </w:t>
            </w:r>
            <w:r w:rsidRPr="00215D1F">
              <w:tab/>
              <w:t>Transmission live stick work for voltages from 66 kV up to 500 kV on st</w:t>
            </w:r>
            <w:r w:rsidRPr="00215D1F">
              <w:t>ructures and poles</w:t>
            </w:r>
          </w:p>
          <w:p w:rsidR="00000000" w:rsidRPr="00215D1F" w:rsidP="00215D1F">
            <w:pPr>
              <w:pStyle w:val="BodyText"/>
            </w:pPr>
            <w:r w:rsidRPr="00215D1F">
              <w:t>Evidence shall show an understanding of working on energised lines for voltages from 66 kV up to 500 kV utilising live work stick method on structures and poles to an extent indicated by the following aspects:</w:t>
            </w:r>
          </w:p>
          <w:p w:rsidR="00000000" w:rsidRPr="00215D1F" w:rsidP="00215D1F">
            <w:pPr>
              <w:pStyle w:val="BodyText"/>
            </w:pPr>
            <w:r w:rsidRPr="00215D1F">
              <w:t>T1</w:t>
            </w:r>
            <w:r w:rsidRPr="00215D1F">
              <w:tab/>
            </w:r>
            <w:r w:rsidRPr="00215D1F">
              <w:t>Commonwealth/State/Territory legislation, Standards, codes, supply authority regulations and or enterprise requirements associated with working on energised lines for voltages from 66 kV up to 500 kV utilising live work stick method.</w:t>
            </w:r>
          </w:p>
          <w:p w:rsidR="00000000" w:rsidRPr="00215D1F" w:rsidP="00215D1F">
            <w:pPr>
              <w:pStyle w:val="BodyText"/>
            </w:pPr>
            <w:r w:rsidRPr="00215D1F">
              <w:t>T2</w:t>
            </w:r>
            <w:r w:rsidRPr="00215D1F">
              <w:tab/>
              <w:t>Relationship and re</w:t>
            </w:r>
            <w:r w:rsidRPr="00215D1F">
              <w:t>sponsibilities of each team member encompassing:</w:t>
            </w:r>
          </w:p>
          <w:p w:rsidR="00000000" w:rsidRPr="00215D1F" w:rsidP="00215D1F">
            <w:pPr>
              <w:pStyle w:val="ListBullet"/>
            </w:pPr>
            <w:r w:rsidRPr="00215D1F">
              <w:t>Roles of the individual in the team</w:t>
            </w:r>
          </w:p>
          <w:p w:rsidR="00000000" w:rsidRPr="00215D1F" w:rsidP="00215D1F">
            <w:pPr>
              <w:pStyle w:val="ListBullet"/>
            </w:pPr>
            <w:r w:rsidRPr="00215D1F">
              <w:t>Contribution to joint outcomes</w:t>
            </w:r>
          </w:p>
          <w:p w:rsidR="00000000" w:rsidRPr="00215D1F" w:rsidP="00215D1F">
            <w:pPr>
              <w:pStyle w:val="ListBullet"/>
            </w:pPr>
            <w:r w:rsidRPr="00215D1F">
              <w:t>Goals/plans and objectives of the team</w:t>
            </w:r>
          </w:p>
          <w:p w:rsidR="00000000" w:rsidRPr="00215D1F" w:rsidP="00215D1F">
            <w:pPr>
              <w:pStyle w:val="ListBullet"/>
            </w:pPr>
            <w:r w:rsidRPr="00215D1F">
              <w:t>Team communication</w:t>
            </w:r>
          </w:p>
          <w:p w:rsidR="00000000" w:rsidRPr="00215D1F" w:rsidP="00215D1F">
            <w:pPr>
              <w:pStyle w:val="ListBullet"/>
            </w:pPr>
            <w:r w:rsidRPr="00215D1F">
              <w:t>Effective teamwork</w:t>
            </w:r>
          </w:p>
          <w:p w:rsidR="00000000" w:rsidRPr="00215D1F" w:rsidP="00215D1F">
            <w:pPr>
              <w:pStyle w:val="BodyText"/>
            </w:pPr>
            <w:r w:rsidRPr="00215D1F">
              <w:t>T3</w:t>
            </w:r>
            <w:r w:rsidRPr="00215D1F">
              <w:tab/>
              <w:t>Safety precautions for working on energised lines encompassi</w:t>
            </w:r>
            <w:r w:rsidRPr="00215D1F">
              <w:t>ng:</w:t>
            </w:r>
          </w:p>
          <w:p w:rsidR="00000000" w:rsidRPr="00215D1F" w:rsidP="00215D1F">
            <w:pPr>
              <w:pStyle w:val="ListBullet"/>
            </w:pPr>
            <w:r w:rsidRPr="00215D1F">
              <w:t xml:space="preserve">Live work minimum approach distances for persons and plant </w:t>
            </w:r>
          </w:p>
          <w:p w:rsidR="00000000" w:rsidRPr="00215D1F" w:rsidP="00215D1F">
            <w:pPr>
              <w:pStyle w:val="ListBullet"/>
            </w:pPr>
            <w:r w:rsidRPr="00215D1F">
              <w:t>Calculation of forces supported by live working equipment</w:t>
            </w:r>
          </w:p>
          <w:p w:rsidR="00000000" w:rsidRPr="00215D1F" w:rsidP="00215D1F">
            <w:pPr>
              <w:pStyle w:val="ListBullet"/>
            </w:pPr>
            <w:r w:rsidRPr="00215D1F">
              <w:t>Identification of OHS hazards, assessing and controlling risks</w:t>
            </w:r>
          </w:p>
          <w:p w:rsidR="00000000" w:rsidRPr="00215D1F" w:rsidP="00215D1F">
            <w:pPr>
              <w:pStyle w:val="ListBullet"/>
            </w:pPr>
            <w:r w:rsidRPr="00215D1F">
              <w:t>Types, selection, maintenance, storage and uses of personnel protective</w:t>
            </w:r>
            <w:r w:rsidRPr="00215D1F">
              <w:t xml:space="preserve"> equipment required for live stick work</w:t>
            </w:r>
          </w:p>
          <w:p w:rsidR="00000000" w:rsidRPr="00215D1F" w:rsidP="00215D1F">
            <w:pPr>
              <w:pStyle w:val="ListBullet"/>
            </w:pPr>
            <w:r w:rsidRPr="00215D1F">
              <w:t>Types and functions, safe working policies, procedures and practices for use of specialised live work plant, equipment and tools</w:t>
            </w:r>
          </w:p>
          <w:p w:rsidR="00000000" w:rsidRPr="00215D1F" w:rsidP="00215D1F">
            <w:pPr>
              <w:pStyle w:val="ListBullet"/>
            </w:pPr>
            <w:r w:rsidRPr="00215D1F">
              <w:t>Emergency response and rescue</w:t>
            </w:r>
          </w:p>
          <w:p w:rsidR="00000000" w:rsidRPr="00215D1F" w:rsidP="00215D1F">
            <w:pPr>
              <w:pStyle w:val="BodyText"/>
            </w:pPr>
            <w:r w:rsidRPr="00215D1F">
              <w:t>T4</w:t>
            </w:r>
            <w:r w:rsidRPr="00215D1F">
              <w:tab/>
              <w:t>Electrical and electrostatic principles encompassing:</w:t>
            </w:r>
          </w:p>
          <w:p w:rsidR="00000000" w:rsidRPr="00215D1F" w:rsidP="00215D1F">
            <w:pPr>
              <w:pStyle w:val="ListBullet"/>
            </w:pPr>
            <w:r w:rsidRPr="00215D1F">
              <w:t>Relationship of the resistance of a human body to different levels of current and voltage</w:t>
            </w:r>
          </w:p>
          <w:p w:rsidR="00000000" w:rsidRPr="00215D1F" w:rsidP="00215D1F">
            <w:pPr>
              <w:pStyle w:val="ListBullet"/>
            </w:pPr>
            <w:r w:rsidRPr="00215D1F">
              <w:t>Relationship of a human body to an electric field</w:t>
            </w:r>
          </w:p>
          <w:p w:rsidR="00000000" w:rsidRPr="00215D1F" w:rsidP="00215D1F">
            <w:pPr>
              <w:pStyle w:val="ListBullet"/>
            </w:pPr>
            <w:r w:rsidRPr="00215D1F">
              <w:t>Effects of electrostatic induction for live stick work</w:t>
            </w:r>
          </w:p>
          <w:p w:rsidR="00000000" w:rsidRPr="00215D1F" w:rsidP="00215D1F">
            <w:pPr>
              <w:pStyle w:val="ListBullet"/>
            </w:pPr>
            <w:r w:rsidRPr="00215D1F">
              <w:t>Relationship of phase voltage and respective line voltages</w:t>
            </w:r>
          </w:p>
          <w:p w:rsidR="00000000" w:rsidRPr="00215D1F" w:rsidP="00215D1F">
            <w:pPr>
              <w:pStyle w:val="ListBullet"/>
            </w:pPr>
            <w:r w:rsidRPr="00215D1F">
              <w:t>Ef</w:t>
            </w:r>
            <w:r w:rsidRPr="00215D1F">
              <w:t>fect of distance</w:t>
            </w:r>
          </w:p>
          <w:p w:rsidR="00000000" w:rsidRPr="00215D1F" w:rsidP="00215D1F">
            <w:pPr>
              <w:pStyle w:val="ListBullet"/>
            </w:pPr>
            <w:r w:rsidRPr="00215D1F">
              <w:t xml:space="preserve">Potential of an object within the field and the effect of distances to the potential </w:t>
            </w:r>
          </w:p>
          <w:p w:rsidR="00000000" w:rsidRPr="00215D1F" w:rsidP="00215D1F">
            <w:pPr>
              <w:pStyle w:val="BodyText"/>
            </w:pPr>
            <w:r w:rsidRPr="00215D1F">
              <w:t>T5</w:t>
            </w:r>
            <w:r w:rsidRPr="00215D1F">
              <w:tab/>
              <w:t>HV feeder auto-reclosing suppression encompassing:</w:t>
            </w:r>
          </w:p>
          <w:p w:rsidR="00000000" w:rsidRPr="00215D1F" w:rsidP="00215D1F">
            <w:pPr>
              <w:pStyle w:val="ListBullet"/>
            </w:pPr>
            <w:r w:rsidRPr="00215D1F">
              <w:t>Function</w:t>
            </w:r>
          </w:p>
          <w:p w:rsidR="00000000" w:rsidRPr="00215D1F" w:rsidP="00215D1F">
            <w:pPr>
              <w:pStyle w:val="ListBullet"/>
            </w:pPr>
            <w:r w:rsidRPr="00215D1F">
              <w:t>Application</w:t>
            </w:r>
          </w:p>
          <w:p w:rsidR="00000000" w:rsidRPr="00215D1F" w:rsidP="00215D1F">
            <w:pPr>
              <w:pStyle w:val="ListBullet"/>
            </w:pPr>
            <w:r w:rsidRPr="00215D1F">
              <w:t>Live work access authority/permit systems</w:t>
            </w:r>
          </w:p>
          <w:p w:rsidR="00000000" w:rsidRPr="00215D1F" w:rsidP="00215D1F">
            <w:pPr>
              <w:pStyle w:val="BodyText"/>
            </w:pPr>
            <w:r w:rsidRPr="00215D1F">
              <w:t>T6</w:t>
            </w:r>
            <w:r w:rsidRPr="00215D1F">
              <w:tab/>
            </w:r>
            <w:r w:rsidRPr="00215D1F">
              <w:t>Selection care, use and maintenance of sticks for live work encompassing:</w:t>
            </w:r>
          </w:p>
          <w:p w:rsidR="00000000" w:rsidRPr="00215D1F" w:rsidP="00215D1F">
            <w:pPr>
              <w:pStyle w:val="ListBullet"/>
            </w:pPr>
            <w:r w:rsidRPr="00215D1F">
              <w:t>Care of live work sticks</w:t>
            </w:r>
          </w:p>
          <w:p w:rsidR="00000000" w:rsidRPr="00215D1F" w:rsidP="00215D1F">
            <w:pPr>
              <w:pStyle w:val="ListBullet"/>
            </w:pPr>
            <w:r w:rsidRPr="00215D1F">
              <w:t>Use and load limitations of live work sticks</w:t>
            </w:r>
          </w:p>
          <w:p w:rsidR="00000000" w:rsidRPr="00215D1F" w:rsidP="00215D1F">
            <w:pPr>
              <w:pStyle w:val="ListBullet"/>
            </w:pPr>
            <w:r w:rsidRPr="00215D1F">
              <w:t>Cleaning live work sticks</w:t>
            </w:r>
          </w:p>
          <w:p w:rsidR="00000000" w:rsidRPr="00215D1F" w:rsidP="00215D1F">
            <w:pPr>
              <w:pStyle w:val="ListBullet"/>
            </w:pPr>
            <w:r w:rsidRPr="00215D1F">
              <w:t>Restoring gloss surfaces of live work sticks</w:t>
            </w:r>
          </w:p>
          <w:p w:rsidR="00000000" w:rsidRPr="00215D1F" w:rsidP="00215D1F">
            <w:pPr>
              <w:pStyle w:val="ListBullet"/>
            </w:pPr>
            <w:r w:rsidRPr="00215D1F">
              <w:t>Repairing small ruptures of live work sti</w:t>
            </w:r>
            <w:r w:rsidRPr="00215D1F">
              <w:t>cks</w:t>
            </w:r>
          </w:p>
          <w:p w:rsidR="00000000" w:rsidRPr="00215D1F" w:rsidP="00215D1F">
            <w:pPr>
              <w:pStyle w:val="ListBullet"/>
            </w:pPr>
            <w:r w:rsidRPr="00215D1F">
              <w:t>Repairing broken fittings of live work sticks</w:t>
            </w:r>
          </w:p>
          <w:p w:rsidR="00000000" w:rsidRPr="00215D1F" w:rsidP="00215D1F">
            <w:pPr>
              <w:pStyle w:val="BodyText"/>
            </w:pPr>
            <w:r w:rsidRPr="00215D1F">
              <w:t>T7</w:t>
            </w:r>
            <w:r w:rsidRPr="00215D1F">
              <w:tab/>
              <w:t>Selection, care, use and maintenance of ropes for live work encompassing:</w:t>
            </w:r>
          </w:p>
          <w:p w:rsidR="00000000" w:rsidRPr="00215D1F" w:rsidP="00215D1F">
            <w:pPr>
              <w:pStyle w:val="ListBullet"/>
            </w:pPr>
            <w:r w:rsidRPr="00215D1F">
              <w:t>Identification of ropes used for live stick work</w:t>
            </w:r>
          </w:p>
          <w:p w:rsidR="00000000" w:rsidRPr="00215D1F" w:rsidP="00215D1F">
            <w:pPr>
              <w:pStyle w:val="ListBullet"/>
            </w:pPr>
            <w:r w:rsidRPr="00215D1F">
              <w:t>Characteristics</w:t>
            </w:r>
          </w:p>
          <w:p w:rsidR="00000000" w:rsidRPr="00215D1F" w:rsidP="00215D1F">
            <w:pPr>
              <w:pStyle w:val="ListBullet"/>
            </w:pPr>
            <w:r w:rsidRPr="00215D1F">
              <w:t>Types</w:t>
            </w:r>
          </w:p>
          <w:p w:rsidR="00000000" w:rsidRPr="00215D1F" w:rsidP="00215D1F">
            <w:pPr>
              <w:pStyle w:val="ListBullet"/>
            </w:pPr>
            <w:r w:rsidRPr="00215D1F">
              <w:t>Application</w:t>
            </w:r>
          </w:p>
          <w:p w:rsidR="00000000" w:rsidRPr="00215D1F" w:rsidP="00215D1F">
            <w:pPr>
              <w:pStyle w:val="ListBullet"/>
            </w:pPr>
            <w:r w:rsidRPr="00215D1F">
              <w:t xml:space="preserve">Restrictions </w:t>
            </w:r>
          </w:p>
          <w:p w:rsidR="00000000" w:rsidRPr="00215D1F" w:rsidP="00215D1F">
            <w:pPr>
              <w:pStyle w:val="ListBullet"/>
            </w:pPr>
            <w:r w:rsidRPr="00215D1F">
              <w:t>Storage</w:t>
            </w:r>
          </w:p>
          <w:p w:rsidR="00000000" w:rsidRPr="00215D1F" w:rsidP="00215D1F">
            <w:pPr>
              <w:pStyle w:val="ListBullet"/>
            </w:pPr>
            <w:r w:rsidRPr="00215D1F">
              <w:t>Transport</w:t>
            </w:r>
          </w:p>
          <w:p w:rsidR="00000000" w:rsidRPr="00215D1F" w:rsidP="00215D1F">
            <w:pPr>
              <w:pStyle w:val="ListBullet"/>
            </w:pPr>
            <w:r w:rsidRPr="00215D1F">
              <w:t>Cleaning</w:t>
            </w:r>
          </w:p>
          <w:p w:rsidR="00000000" w:rsidRPr="00215D1F" w:rsidP="00215D1F">
            <w:pPr>
              <w:pStyle w:val="ListBullet"/>
            </w:pPr>
            <w:r w:rsidRPr="00215D1F">
              <w:t>Label</w:t>
            </w:r>
            <w:r w:rsidRPr="00215D1F">
              <w:t>ing</w:t>
            </w:r>
          </w:p>
          <w:p w:rsidR="00000000" w:rsidRPr="00215D1F" w:rsidP="00215D1F">
            <w:pPr>
              <w:pStyle w:val="ListBullet"/>
            </w:pPr>
            <w:r w:rsidRPr="00215D1F">
              <w:t>Testing</w:t>
            </w:r>
          </w:p>
          <w:p w:rsidR="00000000" w:rsidRPr="00215D1F" w:rsidP="00215D1F">
            <w:pPr>
              <w:pStyle w:val="ListBullet"/>
            </w:pPr>
            <w:r w:rsidRPr="00215D1F">
              <w:t>Records</w:t>
            </w:r>
          </w:p>
          <w:p w:rsidR="00000000" w:rsidRPr="00215D1F" w:rsidP="00215D1F">
            <w:pPr>
              <w:pStyle w:val="ListBullet"/>
            </w:pPr>
            <w:r w:rsidRPr="00215D1F">
              <w:t>Techniques in splicing</w:t>
            </w:r>
          </w:p>
          <w:p w:rsidR="00000000" w:rsidRPr="00215D1F" w:rsidP="00215D1F">
            <w:pPr>
              <w:pStyle w:val="ListBullet"/>
            </w:pPr>
            <w:r w:rsidRPr="00215D1F">
              <w:t>Determining suitability of the rope for continued use</w:t>
            </w:r>
          </w:p>
          <w:p w:rsidR="00000000" w:rsidRPr="00215D1F" w:rsidP="00215D1F">
            <w:pPr>
              <w:pStyle w:val="BodyText"/>
            </w:pPr>
            <w:r w:rsidRPr="00215D1F">
              <w:t>T8</w:t>
            </w:r>
            <w:r w:rsidRPr="00215D1F">
              <w:tab/>
              <w:t>Live stick work techniques performed in accordance with enterprise requirements encompassing:</w:t>
            </w:r>
          </w:p>
          <w:p w:rsidR="00000000" w:rsidRPr="00215D1F" w:rsidP="00215D1F">
            <w:pPr>
              <w:pStyle w:val="ListBullet"/>
            </w:pPr>
            <w:r w:rsidRPr="00215D1F">
              <w:t>Connecting and/or disconnecting HV bypass bridges</w:t>
            </w:r>
          </w:p>
          <w:p w:rsidR="00000000" w:rsidRPr="00215D1F" w:rsidP="00215D1F">
            <w:pPr>
              <w:pStyle w:val="ListBullet"/>
            </w:pPr>
            <w:r w:rsidRPr="00215D1F">
              <w:t>Erect and us</w:t>
            </w:r>
            <w:r w:rsidRPr="00215D1F">
              <w:t>e boom pole and insulator cradle</w:t>
            </w:r>
          </w:p>
          <w:p w:rsidR="00000000" w:rsidRPr="00215D1F" w:rsidP="00215D1F">
            <w:pPr>
              <w:pStyle w:val="ListBullet"/>
            </w:pPr>
            <w:r w:rsidRPr="00215D1F">
              <w:t>Erection and/or replacement of structures and poles</w:t>
            </w:r>
          </w:p>
          <w:p w:rsidR="00000000" w:rsidRPr="00215D1F" w:rsidP="00215D1F">
            <w:pPr>
              <w:pStyle w:val="ListBullet"/>
            </w:pPr>
            <w:r w:rsidRPr="00215D1F">
              <w:t>Installing and/or replacing HV cross-arms</w:t>
            </w:r>
          </w:p>
          <w:p w:rsidR="00000000" w:rsidRPr="00215D1F" w:rsidP="00215D1F">
            <w:pPr>
              <w:pStyle w:val="ListBullet"/>
            </w:pPr>
            <w:r w:rsidRPr="00215D1F">
              <w:t>Installing and/or replacing HV suspension insulators</w:t>
            </w:r>
          </w:p>
          <w:p w:rsidR="00000000" w:rsidRPr="00215D1F" w:rsidP="00215D1F">
            <w:pPr>
              <w:pStyle w:val="ListBullet"/>
            </w:pPr>
            <w:r w:rsidRPr="00215D1F">
              <w:t>Installing and/or replacing HV strain insulators</w:t>
            </w:r>
          </w:p>
          <w:p w:rsidR="00000000" w:rsidRPr="00215D1F" w:rsidP="00215D1F">
            <w:pPr>
              <w:pStyle w:val="ListBullet"/>
            </w:pPr>
            <w:r w:rsidRPr="00215D1F">
              <w:t xml:space="preserve">Installing and/or replacing suspension clamp unit </w:t>
            </w:r>
          </w:p>
          <w:p w:rsidR="00000000" w:rsidRPr="00215D1F" w:rsidP="00215D1F">
            <w:pPr>
              <w:pStyle w:val="ListBullet"/>
            </w:pPr>
            <w:r w:rsidRPr="00215D1F">
              <w:t>Installing and/or replacing fittings and hardware to conductors</w:t>
            </w:r>
          </w:p>
          <w:p w:rsidR="00000000" w:rsidRPr="00215D1F" w:rsidP="00215D1F">
            <w:pPr>
              <w:pStyle w:val="ListBullet"/>
            </w:pPr>
            <w:r w:rsidRPr="00215D1F">
              <w:t xml:space="preserve">Installing and/or replacing vibration dampers </w:t>
            </w:r>
          </w:p>
          <w:p w:rsidR="00000000" w:rsidRPr="00215D1F" w:rsidP="00215D1F">
            <w:pPr>
              <w:pStyle w:val="ListBullet"/>
            </w:pPr>
            <w:r w:rsidRPr="00215D1F">
              <w:t xml:space="preserve">Installing and/or replacing preformed repair rods </w:t>
            </w:r>
          </w:p>
          <w:p w:rsidR="00000000" w:rsidRPr="00215D1F" w:rsidP="00215D1F">
            <w:pPr>
              <w:pStyle w:val="BodyText"/>
            </w:pPr>
            <w:r w:rsidRPr="00215D1F">
              <w:t>T9</w:t>
            </w:r>
            <w:r w:rsidRPr="00215D1F">
              <w:tab/>
              <w:t>Checking electrical integrity of insulat</w:t>
            </w:r>
            <w:r w:rsidRPr="00215D1F">
              <w:t>ors prior to work</w:t>
            </w:r>
          </w:p>
          <w:p w:rsidR="00000000" w:rsidRPr="00215D1F" w:rsidP="00215D1F">
            <w:pPr>
              <w:pStyle w:val="ListBullet"/>
            </w:pPr>
            <w:r w:rsidRPr="00215D1F">
              <w:t>Visual and audible assessment</w:t>
            </w:r>
          </w:p>
          <w:p w:rsidR="00000000" w:rsidRPr="00215D1F" w:rsidP="00215D1F">
            <w:pPr>
              <w:pStyle w:val="ListBullet"/>
            </w:pPr>
            <w:r w:rsidRPr="00215D1F">
              <w:t>Test for disc voltage difference</w:t>
            </w:r>
          </w:p>
          <w:p w:rsidR="00000000" w:rsidRPr="00215D1F" w:rsidP="00215D1F">
            <w:pPr>
              <w:pStyle w:val="ListBullet"/>
            </w:pPr>
            <w:r w:rsidRPr="00215D1F">
              <w:t>Plot data</w:t>
            </w:r>
          </w:p>
          <w:p w:rsidR="00000000" w:rsidRPr="00215D1F" w:rsidP="00215D1F">
            <w:pPr>
              <w:pStyle w:val="ListBullet"/>
            </w:pPr>
            <w:r w:rsidRPr="00215D1F">
              <w:t>Assess data</w:t>
            </w:r>
          </w:p>
          <w:p w:rsidR="00000000" w:rsidRPr="00215D1F" w:rsidP="00215D1F">
            <w:pPr>
              <w:pStyle w:val="ListBullet"/>
            </w:pPr>
            <w:r w:rsidRPr="00215D1F">
              <w:t>Determine condition of a insulator string</w:t>
            </w:r>
          </w:p>
          <w:p w:rsidR="00000000" w:rsidRPr="00215D1F" w:rsidP="00215D1F">
            <w:pPr>
              <w:pStyle w:val="BodyText"/>
            </w:pPr>
            <w:r w:rsidRPr="00215D1F">
              <w:t>T10</w:t>
            </w:r>
            <w:r w:rsidRPr="00215D1F">
              <w:tab/>
              <w:t>Rigging procedures for live work encompassing</w:t>
            </w:r>
          </w:p>
          <w:p w:rsidR="00000000" w:rsidRPr="00215D1F" w:rsidP="00215D1F">
            <w:pPr>
              <w:pStyle w:val="ListBullet"/>
            </w:pPr>
            <w:r w:rsidRPr="00215D1F">
              <w:t>Identification of rigging points on structures</w:t>
            </w:r>
          </w:p>
          <w:p w:rsidR="00000000" w:rsidRPr="00215D1F" w:rsidP="00215D1F">
            <w:pPr>
              <w:pStyle w:val="ListBullet"/>
            </w:pPr>
            <w:r w:rsidRPr="00215D1F">
              <w:t xml:space="preserve">Selection and </w:t>
            </w:r>
            <w:r w:rsidRPr="00215D1F">
              <w:t>positioning of rigging equipment on structures</w:t>
            </w:r>
          </w:p>
          <w:p w:rsidR="00000000" w:rsidRPr="00215D1F" w:rsidP="00215D1F">
            <w:pPr>
              <w:pStyle w:val="ListBullet"/>
            </w:pPr>
            <w:r w:rsidRPr="00215D1F">
              <w:t>Selection of and operation of rope tackles</w:t>
            </w:r>
          </w:p>
          <w:p w:rsidR="00000000" w:rsidRPr="00215D1F" w:rsidP="00215D1F">
            <w:pPr>
              <w:pStyle w:val="BodyText"/>
            </w:pPr>
            <w:r w:rsidRPr="00215D1F">
              <w:t>T11</w:t>
            </w:r>
            <w:r w:rsidRPr="00215D1F">
              <w:tab/>
              <w:t>Safety observer principles and responsibilities encompassing:</w:t>
            </w:r>
          </w:p>
          <w:p w:rsidR="00000000" w:rsidRPr="00215D1F" w:rsidP="00215D1F">
            <w:pPr>
              <w:pStyle w:val="ListBullet"/>
            </w:pPr>
            <w:r w:rsidRPr="00215D1F">
              <w:t>Areas of responsibility</w:t>
            </w:r>
          </w:p>
          <w:p w:rsidR="00000000" w:rsidRPr="00215D1F" w:rsidP="00215D1F">
            <w:pPr>
              <w:pStyle w:val="ListBullet"/>
            </w:pPr>
            <w:r w:rsidRPr="00215D1F">
              <w:t>Supervisor skills</w:t>
            </w:r>
          </w:p>
          <w:p w:rsidR="00000000" w:rsidRPr="00215D1F" w:rsidP="00215D1F">
            <w:pPr>
              <w:pStyle w:val="ListBullet"/>
            </w:pPr>
            <w:r w:rsidRPr="00215D1F">
              <w:t>Protocols and procedures</w:t>
            </w:r>
          </w:p>
          <w:p w:rsidR="00000000" w:rsidRPr="00215D1F" w:rsidP="00215D1F">
            <w:pPr>
              <w:pStyle w:val="ListBullet"/>
            </w:pPr>
            <w:r w:rsidRPr="00215D1F">
              <w:t>Specific duties of a safety obser</w:t>
            </w:r>
            <w:r w:rsidRPr="00215D1F">
              <w:t>ver</w:t>
            </w:r>
          </w:p>
          <w:p w:rsidR="00000000" w:rsidRPr="00215D1F" w:rsidP="00215D1F">
            <w:pPr>
              <w:pStyle w:val="ListBullet"/>
            </w:pPr>
            <w:r w:rsidRPr="00215D1F">
              <w:t>Techniques in observing others in the safe performance of their work</w:t>
            </w:r>
          </w:p>
          <w:p w:rsidR="00000000" w:rsidRPr="00215D1F" w:rsidP="00215D1F">
            <w:pPr>
              <w:pStyle w:val="ListBullet"/>
            </w:pPr>
            <w:r w:rsidRPr="00215D1F">
              <w:t>Minimum approach distances for personnel and hand held tools</w:t>
            </w:r>
          </w:p>
          <w:p w:rsidR="00000000" w:rsidRPr="00215D1F" w:rsidP="00215D1F">
            <w:pPr>
              <w:pStyle w:val="ListBullet"/>
            </w:pPr>
            <w:r w:rsidRPr="00215D1F">
              <w:t>Special Limits of Approach.</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10" w:name="O_460847"/>
      <w:bookmarkEnd w:id="10"/>
      <w:r w:rsidRPr="00215D1F">
        <w:t>Evidence Guide</w:t>
      </w:r>
    </w:p>
    <w:tbl>
      <w:tblPr>
        <w:tblW w:w="0" w:type="auto"/>
        <w:tblLayout w:type="fixed"/>
        <w:tblCellMar>
          <w:left w:w="62" w:type="dxa"/>
          <w:right w:w="62" w:type="dxa"/>
        </w:tblCellMar>
        <w:tblLook w:val="0000"/>
      </w:tblPr>
      <w:tblGrid>
        <w:gridCol w:w="8460"/>
      </w:tblGrid>
      <w:tr w:rsidTr="00A763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EVIDENCE GUIDE</w:t>
            </w:r>
          </w:p>
        </w:tc>
      </w:tr>
      <w:tr w:rsidTr="00A763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9)</w:t>
            </w:r>
            <w:r w:rsidRPr="00215D1F">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15D1F" w:rsidP="00215D1F">
            <w:pPr>
              <w:pStyle w:val="BodyText"/>
            </w:pPr>
            <w:r w:rsidRPr="00215D1F">
              <w:t>The Evidence Guide form</w:t>
            </w:r>
            <w:r w:rsidRPr="00215D1F">
              <w:t>s an integral part of this Competency Standard Unit and shall be used in conjunction with all component parts of this unit and, performed in accordance with the Assessment Guidelines of this Training Package.</w:t>
            </w:r>
          </w:p>
        </w:tc>
      </w:tr>
    </w:tbl>
    <w:p w:rsidR="00000000" w:rsidRPr="00215D1F" w:rsidP="00215D1F">
      <w:pPr>
        <w:pStyle w:val="BodyText"/>
      </w:pPr>
    </w:p>
    <w:tbl>
      <w:tblPr>
        <w:tblW w:w="0" w:type="auto"/>
        <w:tblLayout w:type="fixed"/>
        <w:tblCellMar>
          <w:left w:w="62" w:type="dxa"/>
          <w:right w:w="62" w:type="dxa"/>
        </w:tblCellMar>
        <w:tblLook w:val="0000"/>
      </w:tblPr>
      <w:tblGrid>
        <w:gridCol w:w="1890"/>
        <w:gridCol w:w="6570"/>
      </w:tblGrid>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9.1)</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Longitudinal competency development approaches to assessment, such as Profiling, require data to be reliably gathered in a form that can be consistently interpreted over time. This approach is best utilised in Apprenticeship programs and reduces assessment</w:t>
            </w:r>
            <w:r w:rsidRPr="00215D1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15D1F">
              <w:t>tency in a realistically simulated work environment. It is recognised that, in some circumstances, assessment in part or full can occur outside the workplace. However, it must be in accord with Industry and, Regulatory policy in this regard.</w:t>
            </w:r>
          </w:p>
          <w:p w:rsidR="00000000" w:rsidRPr="00215D1F" w:rsidP="00215D1F">
            <w:pPr>
              <w:pStyle w:val="BodyText"/>
            </w:pPr>
            <w:r w:rsidRPr="00215D1F">
              <w:t>Methods chosen</w:t>
            </w:r>
            <w:r w:rsidRPr="00215D1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15D1F">
              <w:t>equired and the critical nature of the competencies being assessed.</w:t>
            </w:r>
          </w:p>
          <w:p w:rsidR="00000000" w:rsidRPr="00215D1F" w:rsidP="00215D1F">
            <w:pPr>
              <w:pStyle w:val="BodyText"/>
            </w:pPr>
            <w:r w:rsidRPr="00215D1F">
              <w:t>The critical safety nature of working with electricity, electrical equipment, gas or any other hazardous substance/material carries risk in deeming a person competent. Hence, sources of ev</w:t>
            </w:r>
            <w:r w:rsidRPr="00215D1F">
              <w:t>idence need to be ‘rich’ in nature so as to minimise error in judgment.</w:t>
            </w:r>
          </w:p>
          <w:p w:rsidR="00000000" w:rsidRPr="00215D1F" w:rsidP="00215D1F">
            <w:pPr>
              <w:pStyle w:val="BodyText"/>
            </w:pPr>
            <w:r w:rsidRPr="00215D1F">
              <w:t>Activities associated with normal every day work have a bearing on the decision as to how much and how detailed the data gathered will contribute to its ‘richness’. Some skills are mor</w:t>
            </w:r>
            <w:r w:rsidRPr="00215D1F">
              <w:t>e critical to safety and operational requirements while the same skills may be more or less frequently practiced. These points are raised for the assessors to consider when choosing an assessment method and developing assessment instruments. Sample assessm</w:t>
            </w:r>
            <w:r w:rsidRPr="00215D1F">
              <w:t>ent instruments are included for Assessors in the Assessment Guidelines of this Training Package.</w:t>
            </w:r>
          </w:p>
        </w:tc>
      </w:tr>
    </w:tbl>
    <w:p w:rsidR="00000000" w:rsidRPr="00215D1F" w:rsidP="00215D1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76350">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9.2)</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Before the critical aspects of evidence are considered all prerequisites shall be met.</w:t>
            </w:r>
          </w:p>
          <w:p w:rsidR="00000000" w:rsidRPr="00215D1F" w:rsidP="00215D1F">
            <w:pPr>
              <w:pStyle w:val="BodyText"/>
            </w:pPr>
            <w:r w:rsidRPr="00215D1F">
              <w:t>Evidence for competence in this unit shall be considered holistically. Each element and associated Performance Criteria shall be demonstrated on at least two occasions i</w:t>
            </w:r>
            <w:r w:rsidRPr="00215D1F">
              <w:t>n accordance with the “Assessment Guidelines – UET12”. Evidence shall also comprise:</w:t>
            </w:r>
          </w:p>
          <w:p w:rsidR="00000000" w:rsidRPr="00215D1F" w:rsidP="00215D1F">
            <w:pPr>
              <w:pStyle w:val="ListBullet"/>
            </w:pPr>
            <w:r w:rsidRPr="00215D1F">
              <w:t>A representative body of Performance Criteria demonstrated within the timeframes typically expected of the discipline, work function and industrial environment. In particu</w:t>
            </w:r>
            <w:r w:rsidRPr="00215D1F">
              <w:t>lar this shall incorporate evidence that shows a candidate is able to:</w:t>
            </w:r>
          </w:p>
          <w:p w:rsidR="00000000" w:rsidRPr="00215D1F" w:rsidP="00215D1F">
            <w:pPr>
              <w:pStyle w:val="ListBullet2"/>
            </w:pPr>
            <w:r w:rsidRPr="00215D1F">
              <w:t>Implement Occupational Health and Safety workplace procedures and practices including the use of risk control measures as specified in the Performance Criteria and range; and</w:t>
            </w:r>
          </w:p>
          <w:p w:rsidR="00000000" w:rsidRPr="00215D1F" w:rsidP="00215D1F">
            <w:pPr>
              <w:pStyle w:val="ListBullet2"/>
            </w:pPr>
            <w:r w:rsidRPr="00215D1F">
              <w:t>Apply sus</w:t>
            </w:r>
            <w:r w:rsidRPr="00215D1F">
              <w:t>tainable energy principles and practices as specified in the Performance Criteria and range; and</w:t>
            </w:r>
          </w:p>
          <w:p w:rsidR="00000000" w:rsidRPr="00215D1F" w:rsidP="00215D1F">
            <w:pPr>
              <w:pStyle w:val="ListBullet2"/>
            </w:pPr>
            <w:r w:rsidRPr="00215D1F">
              <w:t>Demonstrate an understanding of the essential knowledge and associated skills as described in this unit to such an extent that the learner’s performance outcom</w:t>
            </w:r>
            <w:r w:rsidRPr="00215D1F">
              <w:t>e is reported in accordance with the preferred approach; namely a percentile graded result, where required by the regulated environment; and</w:t>
            </w:r>
          </w:p>
          <w:p w:rsidR="00000000" w:rsidRPr="00215D1F" w:rsidP="00215D1F">
            <w:pPr>
              <w:pStyle w:val="ListBullet2"/>
            </w:pPr>
            <w:r w:rsidRPr="00215D1F">
              <w:t>Demonstrate an appropriate level of employability skills; and</w:t>
            </w:r>
          </w:p>
          <w:p w:rsidR="00000000" w:rsidRPr="00215D1F" w:rsidP="00215D1F">
            <w:pPr>
              <w:pStyle w:val="ListBullet"/>
            </w:pPr>
            <w:r w:rsidRPr="00215D1F">
              <w:t>Conduct work observing the relevant Anti Discriminati</w:t>
            </w:r>
            <w:r w:rsidRPr="00215D1F">
              <w:t>on legislation, regulations, policies and workplace procedures; and</w:t>
            </w:r>
          </w:p>
          <w:p w:rsidR="00000000" w:rsidP="00215D1F">
            <w:pPr>
              <w:pStyle w:val="ListBullet2"/>
              <w:rPr>
                <w:lang w:val="en-NZ"/>
              </w:rPr>
            </w:pPr>
            <w:r w:rsidRPr="00215D1F">
              <w:t>Demonstrated performance across a representative range of contexts from the prescribed items below:</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15D1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rPr>
                <w:rStyle w:val="SpecialBold"/>
              </w:rPr>
              <w:t>Range of tools/equipment/materials/procedures/workplaces/other variables</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15D1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D1F" w:rsidP="00215D1F">
            <w:pPr>
              <w:pStyle w:val="BodyText"/>
            </w:pPr>
            <w:r w:rsidRPr="00215D1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D1F" w:rsidP="00215D1F">
            <w:pPr>
              <w:pStyle w:val="BodyText"/>
            </w:pPr>
            <w:r w:rsidRPr="00215D1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rPr>
                <w:rStyle w:val="SpecialBold"/>
              </w:rPr>
              <w:t>Item List</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D1F" w:rsidP="00215D1F">
            <w:pPr>
              <w:pStyle w:val="BodyText"/>
            </w:pPr>
            <w:r w:rsidRPr="00215D1F">
              <w:t>Ladder access</w:t>
            </w:r>
          </w:p>
          <w:p w:rsidR="00000000" w:rsidRPr="00215D1F" w:rsidP="00215D1F">
            <w:pPr>
              <w:pStyle w:val="BodyText"/>
            </w:pPr>
            <w:r w:rsidRPr="00215D1F">
              <w:t>EWP access</w:t>
            </w:r>
          </w:p>
          <w:p w:rsidR="00000000" w:rsidRPr="00215D1F" w:rsidP="00215D1F">
            <w:pPr>
              <w:pStyle w:val="BodyText"/>
            </w:pPr>
            <w:r w:rsidRPr="00215D1F">
              <w:t>EWB access</w:t>
            </w:r>
          </w:p>
          <w:p w:rsidR="00000000" w:rsidP="00215D1F">
            <w:pPr>
              <w:pStyle w:val="BodyText"/>
              <w:rPr>
                <w:lang w:val="en-NZ"/>
              </w:rPr>
            </w:pPr>
            <w:r w:rsidRPr="00215D1F">
              <w:t>Structure access</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D1F" w:rsidP="00215D1F">
            <w:pPr>
              <w:pStyle w:val="BodyText"/>
            </w:pPr>
            <w:r w:rsidRPr="00215D1F">
              <w:t>Electrical integrity of insulators</w:t>
            </w:r>
          </w:p>
          <w:p w:rsidR="00000000" w:rsidRPr="00215D1F" w:rsidP="00215D1F">
            <w:pPr>
              <w:pStyle w:val="BodyText"/>
            </w:pPr>
            <w:r w:rsidRPr="00215D1F">
              <w:t>Replace strain insulators</w:t>
            </w:r>
          </w:p>
          <w:p w:rsidR="00000000" w:rsidP="00215D1F">
            <w:pPr>
              <w:pStyle w:val="BodyText"/>
              <w:rPr>
                <w:lang w:val="en-NZ"/>
              </w:rPr>
            </w:pPr>
            <w:r w:rsidRPr="00215D1F">
              <w:t>Replace suspension insulators</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D1F" w:rsidP="00215D1F">
            <w:pPr>
              <w:pStyle w:val="BodyText"/>
            </w:pPr>
            <w:r w:rsidRPr="00215D1F">
              <w:t>Replace/install vibration dampers</w:t>
            </w:r>
          </w:p>
          <w:p w:rsidR="00000000" w:rsidRPr="00215D1F" w:rsidP="00215D1F">
            <w:pPr>
              <w:pStyle w:val="BodyText"/>
            </w:pPr>
            <w:r w:rsidRPr="00215D1F">
              <w:t>Repair/replace conductor spacers</w:t>
            </w:r>
          </w:p>
          <w:p w:rsidR="00000000" w:rsidRPr="00215D1F" w:rsidP="00215D1F">
            <w:pPr>
              <w:pStyle w:val="BodyText"/>
            </w:pPr>
            <w:r w:rsidRPr="00215D1F">
              <w:t>Repair/replace conductor fittings and hardware</w:t>
            </w:r>
          </w:p>
          <w:p w:rsidR="00000000" w:rsidRPr="00215D1F" w:rsidP="00215D1F">
            <w:pPr>
              <w:pStyle w:val="BodyText"/>
            </w:pPr>
            <w:r w:rsidRPr="00215D1F">
              <w:t>Apply pre-formed helical fittings</w:t>
            </w:r>
          </w:p>
          <w:p w:rsidR="00000000" w:rsidRPr="00215D1F" w:rsidP="00215D1F">
            <w:pPr>
              <w:pStyle w:val="BodyText"/>
            </w:pPr>
            <w:r w:rsidRPr="00215D1F">
              <w:t>Install/remove vibration meter</w:t>
            </w:r>
          </w:p>
          <w:p w:rsidR="00000000" w:rsidRPr="00215D1F" w:rsidP="00215D1F">
            <w:pPr>
              <w:pStyle w:val="BodyText"/>
            </w:pPr>
            <w:r w:rsidRPr="00215D1F">
              <w:t>Replace crossarm</w:t>
            </w:r>
          </w:p>
          <w:p w:rsidR="00000000" w:rsidP="00215D1F">
            <w:pPr>
              <w:pStyle w:val="BodyText"/>
              <w:rPr>
                <w:lang w:val="en-NZ"/>
              </w:rPr>
            </w:pPr>
            <w:r w:rsidRPr="00215D1F">
              <w:t>Replace pole/s</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D1F">
            <w:pPr>
              <w:pStyle w:val="BodyText"/>
              <w:rPr>
                <w:lang w:val="en-NZ"/>
              </w:rPr>
            </w:pPr>
            <w:r w:rsidRPr="00215D1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D1F" w:rsidP="00215D1F">
            <w:pPr>
              <w:pStyle w:val="BodyText"/>
            </w:pPr>
            <w:r w:rsidRPr="00215D1F">
              <w:t xml:space="preserve">Dealing with an unplanned event by drawing on essential knowledge and associated skills to provide appropriate solutions incorporated in the holistic assessment with </w:t>
            </w:r>
            <w:r w:rsidRPr="00215D1F">
              <w:t>the above listed items.</w:t>
            </w:r>
          </w:p>
        </w:tc>
      </w:tr>
    </w:tbl>
    <w:p w:rsidR="00000000" w:rsidRPr="00215D1F" w:rsidP="00215D1F">
      <w:pPr>
        <w:pStyle w:val="BodyText"/>
      </w:pPr>
    </w:p>
    <w:tbl>
      <w:tblPr>
        <w:tblW w:w="0" w:type="auto"/>
        <w:tblLayout w:type="fixed"/>
        <w:tblCellMar>
          <w:left w:w="62" w:type="dxa"/>
          <w:right w:w="62" w:type="dxa"/>
        </w:tblCellMar>
        <w:tblLook w:val="0000"/>
      </w:tblPr>
      <w:tblGrid>
        <w:gridCol w:w="1890"/>
        <w:gridCol w:w="6570"/>
      </w:tblGrid>
      <w:tr w:rsidTr="00A7635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9.3)</w:t>
            </w:r>
          </w:p>
        </w:tc>
      </w:tr>
      <w:tr w:rsidTr="00A7635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This unit should be assessed as it relates to normal work practice using procedures, information and resources typical of a workplace. This should include:</w:t>
            </w:r>
          </w:p>
          <w:p w:rsidR="00000000" w:rsidRPr="00215D1F" w:rsidP="00215D1F">
            <w:pPr>
              <w:pStyle w:val="ListBullet"/>
            </w:pPr>
            <w:r w:rsidRPr="00215D1F">
              <w:t>OHS policy and work procedures and instructions.</w:t>
            </w:r>
          </w:p>
          <w:p w:rsidR="00000000" w:rsidRPr="00215D1F" w:rsidP="00215D1F">
            <w:pPr>
              <w:pStyle w:val="ListBullet"/>
            </w:pPr>
            <w:r w:rsidRPr="00215D1F">
              <w:t>Suitable work environment, facilities, equipment and materials to undertake actual live line stick technique application on energised transmission lines.</w:t>
            </w:r>
          </w:p>
          <w:p w:rsidR="00000000" w:rsidRPr="00215D1F" w:rsidP="00215D1F">
            <w:pPr>
              <w:pStyle w:val="BodyText"/>
            </w:pPr>
            <w:r w:rsidRPr="00215D1F">
              <w:t>In addition to the resources listed above, in Context</w:t>
            </w:r>
            <w:r w:rsidRPr="00215D1F">
              <w:t xml:space="preserve"> of and specific resources for assessment, evidence should show demonstrated competency working at realistic heights above ground i.e. above 3 metres, in limited spaces, with different structural/construction types and method and in a variety of environmen</w:t>
            </w:r>
            <w:r w:rsidRPr="00215D1F">
              <w:t>ts.</w:t>
            </w:r>
          </w:p>
        </w:tc>
      </w:tr>
    </w:tbl>
    <w:p w:rsidR="00000000" w:rsidRPr="00215D1F" w:rsidP="00215D1F">
      <w:pPr>
        <w:pStyle w:val="BodyText"/>
      </w:pPr>
    </w:p>
    <w:tbl>
      <w:tblPr>
        <w:tblW w:w="0" w:type="auto"/>
        <w:tblLayout w:type="fixed"/>
        <w:tblCellMar>
          <w:left w:w="62" w:type="dxa"/>
          <w:right w:w="62" w:type="dxa"/>
        </w:tblCellMar>
        <w:tblLook w:val="0000"/>
      </w:tblPr>
      <w:tblGrid>
        <w:gridCol w:w="1890"/>
        <w:gridCol w:w="6570"/>
      </w:tblGrid>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9.4)</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This Competency Standard Unit shall be assessed by methods given in Volume 1, Part 3 “Assessment Guidelines”.</w:t>
            </w:r>
          </w:p>
          <w:p w:rsidR="00000000" w:rsidRPr="00215D1F" w:rsidP="00215D1F">
            <w:pPr>
              <w:pStyle w:val="BodyText"/>
            </w:pPr>
            <w:r w:rsidRPr="00215D1F">
              <w:t>Note:</w:t>
            </w:r>
          </w:p>
          <w:p w:rsidR="00000000" w:rsidRPr="00215D1F" w:rsidP="00215D1F">
            <w:pPr>
              <w:pStyle w:val="BodyText"/>
            </w:pPr>
            <w:r w:rsidRPr="00215D1F">
              <w:t>Competent performance with inherent safe working practices is expected in the Transmission, Distribution and Rail Traction Industry. This requires that the specified essential knowledge and associated skills are assessed in a structured environment which i</w:t>
            </w:r>
            <w:r w:rsidRPr="00215D1F">
              <w:t>s primarily intended for learning/assessment and incorporates all necessary equipment and facilities for learners to develop and demonstrate the essential knowledge and associated skills described in this unit.</w:t>
            </w:r>
          </w:p>
        </w:tc>
      </w:tr>
    </w:tbl>
    <w:p w:rsidR="00000000" w:rsidRPr="00215D1F" w:rsidP="00215D1F">
      <w:pPr>
        <w:pStyle w:val="BodyText"/>
      </w:pPr>
    </w:p>
    <w:tbl>
      <w:tblPr>
        <w:tblW w:w="0" w:type="auto"/>
        <w:tblLayout w:type="fixed"/>
        <w:tblCellMar>
          <w:left w:w="62" w:type="dxa"/>
          <w:right w:w="62" w:type="dxa"/>
        </w:tblCellMar>
        <w:tblLook w:val="0000"/>
      </w:tblPr>
      <w:tblGrid>
        <w:gridCol w:w="1890"/>
        <w:gridCol w:w="6570"/>
      </w:tblGrid>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Concurrent assessment and relationship with</w:t>
            </w:r>
            <w:r w:rsidRPr="00215D1F">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9.5)</w:t>
            </w:r>
          </w:p>
        </w:tc>
      </w:tr>
      <w:tr w:rsidTr="00A763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There are no concurrent assessment recommendations for this unit.</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11" w:name="O_460851"/>
      <w:bookmarkEnd w:id="11"/>
      <w:r w:rsidRPr="00215D1F">
        <w:t>Range Statement</w:t>
      </w:r>
    </w:p>
    <w:tbl>
      <w:tblPr>
        <w:tblW w:w="0" w:type="auto"/>
        <w:tblLayout w:type="fixed"/>
        <w:tblCellMar>
          <w:left w:w="62" w:type="dxa"/>
          <w:right w:w="62" w:type="dxa"/>
        </w:tblCellMar>
        <w:tblLook w:val="0000"/>
      </w:tblPr>
      <w:tblGrid>
        <w:gridCol w:w="8460"/>
      </w:tblGrid>
      <w:tr w:rsidTr="00A763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RANGE STATEMENT</w:t>
            </w:r>
          </w:p>
        </w:tc>
      </w:tr>
      <w:tr w:rsidTr="00A763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10)</w:t>
            </w:r>
            <w:r w:rsidRPr="00215D1F">
              <w:t xml:space="preserve"> This relates to the unit of competency as a whole providing the range of contexts and conditions </w:t>
            </w:r>
            <w:r w:rsidRPr="00215D1F">
              <w:t>to which the Performance Criteria apply. It allows for different work environments and situations that will affect performance.</w:t>
            </w:r>
          </w:p>
          <w:p w:rsidR="00000000" w:rsidRPr="00215D1F" w:rsidP="00215D1F">
            <w:pPr>
              <w:pStyle w:val="BodyText"/>
            </w:pPr>
            <w:r w:rsidRPr="00215D1F">
              <w:t xml:space="preserve">This Competency Standard Unit shall be demonstrated in relation to the maintenance of energised lines (transmission) using live </w:t>
            </w:r>
            <w:r w:rsidRPr="00215D1F">
              <w:t>line stick technique and includes the replacement of suspension and tension insulators, the calculating of conductor loads being both vertical and tension and conductor repairs.</w:t>
            </w:r>
          </w:p>
          <w:p w:rsidR="00000000" w:rsidRPr="00215D1F" w:rsidP="00215D1F">
            <w:pPr>
              <w:pStyle w:val="BodyText"/>
            </w:pPr>
            <w:r w:rsidRPr="00215D1F">
              <w:t xml:space="preserve">Maintenance includes: </w:t>
            </w:r>
          </w:p>
          <w:p w:rsidR="00000000" w:rsidRPr="00215D1F" w:rsidP="00215D1F">
            <w:pPr>
              <w:pStyle w:val="BodyText"/>
            </w:pPr>
            <w:r w:rsidRPr="00215D1F">
              <w:t>Live line Stick care and maintenance including mandator</w:t>
            </w:r>
            <w:r w:rsidRPr="00215D1F">
              <w:t>y testing.</w:t>
            </w:r>
          </w:p>
          <w:p w:rsidR="00000000" w:rsidRPr="00215D1F" w:rsidP="00215D1F">
            <w:pPr>
              <w:pStyle w:val="BodyText"/>
            </w:pPr>
            <w:r w:rsidRPr="00215D1F">
              <w:t>Rope care and maintenance including mandatory testing.</w:t>
            </w:r>
          </w:p>
          <w:p w:rsidR="00000000" w:rsidRPr="00215D1F" w:rsidP="00215D1F">
            <w:pPr>
              <w:pStyle w:val="BodyText"/>
            </w:pPr>
            <w:r w:rsidRPr="00215D1F">
              <w:t>Electrical testing of insulators.</w:t>
            </w:r>
          </w:p>
          <w:p w:rsidR="00000000" w:rsidRPr="00215D1F" w:rsidP="00215D1F">
            <w:pPr>
              <w:pStyle w:val="BodyText"/>
            </w:pPr>
            <w:r w:rsidRPr="00215D1F">
              <w:t>Repair conductors.</w:t>
            </w:r>
          </w:p>
          <w:p w:rsidR="00000000" w:rsidRPr="00215D1F" w:rsidP="00215D1F">
            <w:pPr>
              <w:pStyle w:val="BodyText"/>
            </w:pPr>
            <w:r w:rsidRPr="00215D1F">
              <w:t>The following constants and variables included in the element/Performance Criteria in this unit are fully described in the Definitions Se</w:t>
            </w:r>
            <w:r w:rsidRPr="00215D1F">
              <w:t>ction 1 of this volume and form an integral part of the Range Statement of this unit:</w:t>
            </w:r>
          </w:p>
          <w:p w:rsidR="00000000" w:rsidRPr="00215D1F" w:rsidP="00215D1F">
            <w:pPr>
              <w:pStyle w:val="ListBullet3"/>
            </w:pPr>
            <w:r w:rsidRPr="00215D1F">
              <w:t>Appropriate and relevant persons (see Personnel)</w:t>
            </w:r>
          </w:p>
          <w:p w:rsidR="00000000" w:rsidRPr="00215D1F" w:rsidP="00215D1F">
            <w:pPr>
              <w:pStyle w:val="ListBullet3"/>
            </w:pPr>
            <w:r w:rsidRPr="00215D1F">
              <w:t>Appropriate authorities</w:t>
            </w:r>
          </w:p>
          <w:p w:rsidR="00000000" w:rsidRPr="00215D1F" w:rsidP="00215D1F">
            <w:pPr>
              <w:pStyle w:val="ListBullet3"/>
            </w:pPr>
            <w:r w:rsidRPr="00215D1F">
              <w:t>Appropriate work platform</w:t>
            </w:r>
          </w:p>
          <w:p w:rsidR="00000000" w:rsidRPr="00215D1F" w:rsidP="00215D1F">
            <w:pPr>
              <w:pStyle w:val="ListBullet3"/>
            </w:pPr>
            <w:r w:rsidRPr="00215D1F">
              <w:t>Assessing risk</w:t>
            </w:r>
          </w:p>
          <w:p w:rsidR="00000000" w:rsidRPr="00215D1F" w:rsidP="00215D1F">
            <w:pPr>
              <w:pStyle w:val="ListBullet3"/>
            </w:pPr>
            <w:r w:rsidRPr="00215D1F">
              <w:t>Assessment</w:t>
            </w:r>
          </w:p>
          <w:p w:rsidR="00000000" w:rsidRPr="00215D1F" w:rsidP="00215D1F">
            <w:pPr>
              <w:pStyle w:val="ListBullet3"/>
            </w:pPr>
            <w:r w:rsidRPr="00215D1F">
              <w:t>Authorisation</w:t>
            </w:r>
          </w:p>
          <w:p w:rsidR="00000000" w:rsidRPr="00215D1F" w:rsidP="00215D1F">
            <w:pPr>
              <w:pStyle w:val="ListBullet3"/>
            </w:pPr>
            <w:r w:rsidRPr="00215D1F">
              <w:t>Diagnostic, testing and restoration</w:t>
            </w:r>
          </w:p>
          <w:p w:rsidR="00000000" w:rsidRPr="00215D1F" w:rsidP="00215D1F">
            <w:pPr>
              <w:pStyle w:val="ListBullet3"/>
            </w:pPr>
            <w:r w:rsidRPr="00215D1F">
              <w:t>Documenting detail work events, record keeping and or storage of information</w:t>
            </w:r>
          </w:p>
          <w:p w:rsidR="00000000" w:rsidRPr="00215D1F" w:rsidP="00215D1F">
            <w:pPr>
              <w:pStyle w:val="ListBullet3"/>
            </w:pPr>
            <w:r w:rsidRPr="00215D1F">
              <w:t>Drawings and specifications</w:t>
            </w:r>
          </w:p>
          <w:p w:rsidR="00000000" w:rsidRPr="00215D1F" w:rsidP="00215D1F">
            <w:pPr>
              <w:pStyle w:val="ListBullet3"/>
            </w:pPr>
            <w:r w:rsidRPr="00215D1F">
              <w:t>Emergency</w:t>
            </w:r>
          </w:p>
          <w:p w:rsidR="00000000" w:rsidRPr="00215D1F" w:rsidP="00215D1F">
            <w:pPr>
              <w:pStyle w:val="ListBullet3"/>
            </w:pPr>
            <w:r w:rsidRPr="00215D1F">
              <w:t>Environmental and sustainable energy procedures</w:t>
            </w:r>
          </w:p>
          <w:p w:rsidR="00000000" w:rsidRPr="00215D1F" w:rsidP="00215D1F">
            <w:pPr>
              <w:pStyle w:val="ListBullet3"/>
            </w:pPr>
            <w:r w:rsidRPr="00215D1F">
              <w:t>Environmental legislation</w:t>
            </w:r>
          </w:p>
          <w:p w:rsidR="00000000" w:rsidRPr="00215D1F" w:rsidP="00215D1F">
            <w:pPr>
              <w:pStyle w:val="ListBullet3"/>
            </w:pPr>
            <w:r w:rsidRPr="00215D1F">
              <w:t>Environmental management docume</w:t>
            </w:r>
            <w:r w:rsidRPr="00215D1F">
              <w:t>ntation</w:t>
            </w:r>
          </w:p>
          <w:p w:rsidR="00000000" w:rsidRPr="00215D1F" w:rsidP="00215D1F">
            <w:pPr>
              <w:pStyle w:val="ListBullet3"/>
            </w:pPr>
            <w:r w:rsidRPr="00215D1F">
              <w:t>Established procedures</w:t>
            </w:r>
          </w:p>
          <w:p w:rsidR="00000000" w:rsidRPr="00215D1F" w:rsidP="00215D1F">
            <w:pPr>
              <w:pStyle w:val="ListBullet3"/>
            </w:pPr>
            <w:r w:rsidRPr="00215D1F">
              <w:t>Fall prevention</w:t>
            </w:r>
          </w:p>
          <w:p w:rsidR="00000000" w:rsidRPr="00215D1F" w:rsidP="00215D1F">
            <w:pPr>
              <w:pStyle w:val="ListBullet3"/>
            </w:pPr>
            <w:r w:rsidRPr="00215D1F">
              <w:t>Hazards</w:t>
            </w:r>
          </w:p>
          <w:p w:rsidR="00000000" w:rsidRPr="00215D1F" w:rsidP="00215D1F">
            <w:pPr>
              <w:pStyle w:val="ListBullet3"/>
            </w:pPr>
            <w:r w:rsidRPr="00215D1F">
              <w:t>Identifying hazards</w:t>
            </w:r>
          </w:p>
          <w:p w:rsidR="00000000" w:rsidRPr="00215D1F" w:rsidP="00215D1F">
            <w:pPr>
              <w:pStyle w:val="ListBullet3"/>
            </w:pPr>
            <w:r w:rsidRPr="00215D1F">
              <w:t>Inspect</w:t>
            </w:r>
          </w:p>
          <w:p w:rsidR="00000000" w:rsidRPr="00215D1F" w:rsidP="00215D1F">
            <w:pPr>
              <w:pStyle w:val="ListBullet3"/>
            </w:pPr>
            <w:r w:rsidRPr="00215D1F">
              <w:t>Legislation</w:t>
            </w:r>
          </w:p>
          <w:p w:rsidR="00000000" w:rsidRPr="00215D1F" w:rsidP="00215D1F">
            <w:pPr>
              <w:pStyle w:val="ListBullet3"/>
            </w:pPr>
            <w:r w:rsidRPr="00215D1F">
              <w:t>MSDS</w:t>
            </w:r>
          </w:p>
          <w:p w:rsidR="00000000" w:rsidRPr="00215D1F" w:rsidP="00215D1F">
            <w:pPr>
              <w:pStyle w:val="ListBullet3"/>
            </w:pPr>
            <w:r w:rsidRPr="00215D1F">
              <w:t>Notification</w:t>
            </w:r>
          </w:p>
          <w:p w:rsidR="00000000" w:rsidRPr="00215D1F" w:rsidP="00215D1F">
            <w:pPr>
              <w:pStyle w:val="ListBullet3"/>
            </w:pPr>
            <w:r w:rsidRPr="00215D1F">
              <w:t>OHS practices</w:t>
            </w:r>
          </w:p>
          <w:p w:rsidR="00000000" w:rsidRPr="00215D1F" w:rsidP="00215D1F">
            <w:pPr>
              <w:pStyle w:val="ListBullet3"/>
            </w:pPr>
            <w:r w:rsidRPr="00215D1F">
              <w:t>OHS issues</w:t>
            </w:r>
          </w:p>
          <w:p w:rsidR="00000000" w:rsidRPr="00215D1F" w:rsidP="00215D1F">
            <w:pPr>
              <w:pStyle w:val="ListBullet3"/>
            </w:pPr>
            <w:r w:rsidRPr="00215D1F">
              <w:t>Permits and/or permits to work</w:t>
            </w:r>
          </w:p>
          <w:p w:rsidR="00000000" w:rsidRPr="00215D1F" w:rsidP="00215D1F">
            <w:pPr>
              <w:pStyle w:val="ListBullet3"/>
            </w:pPr>
            <w:r w:rsidRPr="00215D1F">
              <w:t>Personnel</w:t>
            </w:r>
          </w:p>
          <w:p w:rsidR="00000000" w:rsidRPr="00215D1F" w:rsidP="00215D1F">
            <w:pPr>
              <w:pStyle w:val="ListBullet3"/>
            </w:pPr>
            <w:r w:rsidRPr="00215D1F">
              <w:t>Quality assurance systems</w:t>
            </w:r>
          </w:p>
          <w:p w:rsidR="00000000" w:rsidRPr="00215D1F" w:rsidP="00215D1F">
            <w:pPr>
              <w:pStyle w:val="ListBullet3"/>
            </w:pPr>
            <w:r w:rsidRPr="00215D1F">
              <w:t>Requirements</w:t>
            </w:r>
          </w:p>
          <w:p w:rsidR="00000000" w:rsidRPr="00215D1F" w:rsidP="00215D1F">
            <w:pPr>
              <w:pStyle w:val="ListBullet3"/>
            </w:pPr>
            <w:r w:rsidRPr="00215D1F">
              <w:t>Testing procedures</w:t>
            </w:r>
          </w:p>
          <w:p w:rsidR="00000000" w:rsidRPr="00215D1F" w:rsidP="00215D1F">
            <w:pPr>
              <w:pStyle w:val="ListBullet3"/>
            </w:pPr>
            <w:r w:rsidRPr="00215D1F">
              <w:t>Work clearance systems</w:t>
            </w:r>
          </w:p>
        </w:tc>
      </w:tr>
    </w:tbl>
    <w:p w:rsidR="00000000" w:rsidRPr="00215D1F" w:rsidP="00215D1F">
      <w:pPr>
        <w:pStyle w:val="BodyText"/>
      </w:pPr>
    </w:p>
    <w:p w:rsidR="00000000" w:rsidRPr="00215D1F" w:rsidP="00215D1F">
      <w:pPr>
        <w:pStyle w:val="AllowPageBreak"/>
      </w:pPr>
    </w:p>
    <w:p w:rsidR="00000000" w:rsidRPr="00215D1F" w:rsidP="00215D1F">
      <w:pPr>
        <w:pStyle w:val="Heading1"/>
      </w:pPr>
      <w:bookmarkStart w:id="12" w:name="O_460854"/>
      <w:bookmarkEnd w:id="12"/>
      <w:r w:rsidRPr="00215D1F">
        <w:t>Unit Sector(s)</w:t>
      </w:r>
    </w:p>
    <w:p w:rsidR="00000000" w:rsidRPr="00215D1F" w:rsidP="00215D1F">
      <w:pPr>
        <w:pStyle w:val="BodyText"/>
      </w:pPr>
      <w:r w:rsidRPr="00215D1F">
        <w:t>Not applicable.</w:t>
      </w:r>
    </w:p>
    <w:p w:rsidR="00000000" w:rsidRPr="00215D1F" w:rsidP="00215D1F">
      <w:pPr>
        <w:pStyle w:val="AllowPageBreak"/>
      </w:pPr>
    </w:p>
    <w:p w:rsidR="00000000" w:rsidRPr="00215D1F" w:rsidP="00215D1F">
      <w:pPr>
        <w:pStyle w:val="Heading1"/>
      </w:pPr>
      <w:bookmarkStart w:id="13" w:name="O_460843"/>
      <w:bookmarkEnd w:id="13"/>
      <w:r w:rsidRPr="00215D1F">
        <w:t>Competency Field</w:t>
      </w:r>
    </w:p>
    <w:tbl>
      <w:tblPr>
        <w:tblW w:w="0" w:type="auto"/>
        <w:tblLayout w:type="fixed"/>
        <w:tblCellMar>
          <w:left w:w="62" w:type="dxa"/>
          <w:right w:w="62" w:type="dxa"/>
        </w:tblCellMar>
        <w:tblLook w:val="0000"/>
      </w:tblPr>
      <w:tblGrid>
        <w:gridCol w:w="2700"/>
        <w:gridCol w:w="5760"/>
      </w:tblGrid>
      <w:tr w:rsidTr="00A763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5D1F">
            <w:pPr>
              <w:pStyle w:val="BodyText"/>
              <w:rPr>
                <w:lang w:val="en-NZ"/>
              </w:rPr>
            </w:pPr>
            <w:r w:rsidRPr="00215D1F">
              <w:rPr>
                <w:rStyle w:val="SpecialBold"/>
              </w:rPr>
              <w:t xml:space="preserve">11) </w:t>
            </w:r>
          </w:p>
        </w:tc>
      </w:tr>
      <w:tr w:rsidTr="00A763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5D1F" w:rsidP="00215D1F">
            <w:pPr>
              <w:pStyle w:val="BodyText"/>
            </w:pPr>
            <w:r w:rsidRPr="00215D1F">
              <w:t>Transmission Units</w:t>
            </w:r>
          </w:p>
        </w:tc>
      </w:tr>
    </w:tbl>
    <w:p w:rsidR="00000000" w:rsidRPr="00215D1F" w:rsidP="00215D1F">
      <w:pPr>
        <w:pStyle w:val="BodyText"/>
      </w:pPr>
    </w:p>
    <w:p w:rsidR="00000000" w:rsidRPr="00215D1F" w:rsidP="00215D1F"/>
    <w:sectPr w:rsidSect="00215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350" w:rsidP="00A763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350" w:rsidP="00215D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76350" w:rsidP="00215D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6350" w:rsidP="00215D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1F" w:rsidRPr="00A76350" w:rsidP="00A763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350" w:rsidRPr="002D2AF8" w:rsidP="00215D1F">
    <w:pPr>
      <w:pStyle w:val="Header"/>
      <w:framePr w:wrap="around"/>
    </w:pPr>
    <w:r>
      <w:fldChar w:fldCharType="begin"/>
    </w:r>
    <w:r>
      <w:instrText xml:space="preserve"> TITLE   \* MERGEFORMAT </w:instrText>
    </w:r>
    <w:r>
      <w:fldChar w:fldCharType="separate"/>
    </w:r>
    <w:r>
      <w:t>UETTDRTP31A Maintain energised transmission lines using high voltage live work stick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A76350" w:rsidP="00215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A5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EAF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BA6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D1F"/>
    <w:pPr>
      <w:spacing w:before="360" w:after="60"/>
      <w:outlineLvl w:val="0"/>
    </w:pPr>
    <w:rPr>
      <w:sz w:val="32"/>
    </w:rPr>
  </w:style>
  <w:style w:type="paragraph" w:styleId="Heading2">
    <w:name w:val="heading 2"/>
    <w:basedOn w:val="HeadingBase"/>
    <w:next w:val="BodyText"/>
    <w:link w:val="Heading2Char"/>
    <w:qFormat/>
    <w:rsid w:val="00215D1F"/>
    <w:pPr>
      <w:keepLines/>
      <w:spacing w:before="240" w:after="120"/>
      <w:outlineLvl w:val="1"/>
    </w:pPr>
    <w:rPr>
      <w:sz w:val="28"/>
      <w:szCs w:val="40"/>
    </w:rPr>
  </w:style>
  <w:style w:type="paragraph" w:styleId="Heading3">
    <w:name w:val="heading 3"/>
    <w:basedOn w:val="HeadingBase"/>
    <w:next w:val="BodyText"/>
    <w:link w:val="Heading3Char"/>
    <w:qFormat/>
    <w:rsid w:val="00215D1F"/>
    <w:pPr>
      <w:spacing w:before="180" w:after="120"/>
      <w:outlineLvl w:val="2"/>
    </w:pPr>
    <w:rPr>
      <w:spacing w:val="-10"/>
      <w:kern w:val="32"/>
    </w:rPr>
  </w:style>
  <w:style w:type="paragraph" w:styleId="Heading4">
    <w:name w:val="heading 4"/>
    <w:basedOn w:val="HeadingBase"/>
    <w:next w:val="BodyText"/>
    <w:link w:val="Heading4Char"/>
    <w:qFormat/>
    <w:rsid w:val="00215D1F"/>
    <w:pPr>
      <w:spacing w:before="160" w:after="120"/>
      <w:outlineLvl w:val="3"/>
    </w:pPr>
    <w:rPr>
      <w:sz w:val="22"/>
    </w:rPr>
  </w:style>
  <w:style w:type="paragraph" w:styleId="Heading5">
    <w:name w:val="heading 5"/>
    <w:basedOn w:val="HeadingBase"/>
    <w:next w:val="Normal"/>
    <w:link w:val="Heading5Char"/>
    <w:qFormat/>
    <w:rsid w:val="00215D1F"/>
    <w:pPr>
      <w:spacing w:before="80"/>
      <w:outlineLvl w:val="4"/>
    </w:pPr>
    <w:rPr>
      <w:color w:val="918585"/>
      <w:sz w:val="20"/>
    </w:rPr>
  </w:style>
  <w:style w:type="paragraph" w:styleId="Heading6">
    <w:name w:val="heading 6"/>
    <w:basedOn w:val="HeadingBase"/>
    <w:next w:val="Normal"/>
    <w:link w:val="Heading6Char"/>
    <w:qFormat/>
    <w:rsid w:val="00215D1F"/>
    <w:pPr>
      <w:spacing w:before="60"/>
      <w:outlineLvl w:val="5"/>
    </w:pPr>
    <w:rPr>
      <w:color w:val="918585"/>
      <w:sz w:val="20"/>
    </w:rPr>
  </w:style>
  <w:style w:type="paragraph" w:styleId="Heading7">
    <w:name w:val="heading 7"/>
    <w:basedOn w:val="Normal"/>
    <w:next w:val="Normal"/>
    <w:link w:val="Heading7Char"/>
    <w:qFormat/>
    <w:rsid w:val="00215D1F"/>
    <w:pPr>
      <w:ind w:left="720"/>
      <w:outlineLvl w:val="6"/>
    </w:pPr>
    <w:rPr>
      <w:i/>
    </w:rPr>
  </w:style>
  <w:style w:type="paragraph" w:styleId="Heading8">
    <w:name w:val="heading 8"/>
    <w:basedOn w:val="Normal"/>
    <w:next w:val="Normal"/>
    <w:link w:val="Heading8Char"/>
    <w:qFormat/>
    <w:rsid w:val="00215D1F"/>
    <w:pPr>
      <w:ind w:left="720"/>
      <w:outlineLvl w:val="7"/>
    </w:pPr>
    <w:rPr>
      <w:i/>
    </w:rPr>
  </w:style>
  <w:style w:type="paragraph" w:styleId="Heading9">
    <w:name w:val="heading 9"/>
    <w:basedOn w:val="Normal"/>
    <w:next w:val="Normal"/>
    <w:link w:val="Heading9Char"/>
    <w:qFormat/>
    <w:rsid w:val="00215D1F"/>
    <w:pPr>
      <w:ind w:left="720"/>
      <w:outlineLvl w:val="8"/>
    </w:pPr>
    <w:rPr>
      <w:i/>
    </w:rPr>
  </w:style>
  <w:style w:type="character" w:default="1" w:styleId="DefaultParagraphFont">
    <w:name w:val="Default Paragraph Font"/>
    <w:uiPriority w:val="1"/>
    <w:unhideWhenUsed/>
    <w:rsid w:val="00215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D1F"/>
  </w:style>
  <w:style w:type="character" w:customStyle="1" w:styleId="Heading1Char">
    <w:name w:val="Heading 1 Char"/>
    <w:basedOn w:val="DefaultParagraphFont"/>
    <w:link w:val="Heading1"/>
    <w:rsid w:val="00215D1F"/>
    <w:rPr>
      <w:rFonts w:ascii="Times New Roman" w:eastAsia="Times New Roman" w:hAnsi="Times New Roman" w:cs="Times New Roman"/>
      <w:b/>
      <w:sz w:val="32"/>
      <w:szCs w:val="20"/>
      <w:lang w:eastAsia="en-US"/>
    </w:rPr>
  </w:style>
  <w:style w:type="paragraph" w:styleId="BodyText">
    <w:name w:val="Body Text"/>
    <w:basedOn w:val="Normal"/>
    <w:link w:val="BodyTextChar"/>
    <w:rsid w:val="00215D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5D1F"/>
    <w:rPr>
      <w:rFonts w:ascii="Times New Roman" w:eastAsia="Times New Roman" w:hAnsi="Times New Roman" w:cs="Times New Roman"/>
      <w:sz w:val="24"/>
      <w:lang w:eastAsia="en-US"/>
    </w:rPr>
  </w:style>
  <w:style w:type="paragraph" w:styleId="Footer">
    <w:name w:val="footer"/>
    <w:basedOn w:val="Normal"/>
    <w:link w:val="FooterChar"/>
    <w:rsid w:val="00215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D1F"/>
    <w:rPr>
      <w:rFonts w:ascii="Times New Roman" w:eastAsia="Times New Roman" w:hAnsi="Times New Roman" w:cs="Times New Roman"/>
      <w:sz w:val="16"/>
      <w:lang w:eastAsia="en-US"/>
    </w:rPr>
  </w:style>
  <w:style w:type="paragraph" w:styleId="ListBullet">
    <w:name w:val="List Bullet"/>
    <w:basedOn w:val="List"/>
    <w:rsid w:val="00215D1F"/>
    <w:pPr>
      <w:numPr>
        <w:numId w:val="14"/>
      </w:numPr>
      <w:tabs>
        <w:tab w:val="clear" w:pos="340"/>
      </w:tabs>
      <w:spacing w:before="40" w:after="40"/>
    </w:pPr>
  </w:style>
  <w:style w:type="character" w:customStyle="1" w:styleId="SpecialBold">
    <w:name w:val="Special Bold"/>
    <w:basedOn w:val="DefaultParagraphFont"/>
    <w:rsid w:val="00215D1F"/>
    <w:rPr>
      <w:b/>
      <w:spacing w:val="0"/>
    </w:rPr>
  </w:style>
  <w:style w:type="paragraph" w:styleId="ListBullet2">
    <w:name w:val="List Bullet 2"/>
    <w:basedOn w:val="List2"/>
    <w:rsid w:val="00215D1F"/>
    <w:pPr>
      <w:numPr>
        <w:numId w:val="15"/>
      </w:numPr>
      <w:tabs>
        <w:tab w:val="clear" w:pos="680"/>
      </w:tabs>
    </w:pPr>
  </w:style>
  <w:style w:type="paragraph" w:customStyle="1" w:styleId="SuperHeading">
    <w:name w:val="SuperHeading"/>
    <w:basedOn w:val="Normal"/>
    <w:rsid w:val="00215D1F"/>
    <w:pPr>
      <w:spacing w:before="240" w:after="120"/>
      <w:outlineLvl w:val="0"/>
    </w:pPr>
    <w:rPr>
      <w:rFonts w:ascii="Times New Roman" w:hAnsi="Times New Roman"/>
      <w:b/>
      <w:sz w:val="28"/>
    </w:rPr>
  </w:style>
  <w:style w:type="paragraph" w:customStyle="1" w:styleId="AllowPageBreak">
    <w:name w:val="AllowPageBreak"/>
    <w:rsid w:val="00215D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5D1F"/>
    <w:pPr>
      <w:numPr>
        <w:numId w:val="3"/>
      </w:numPr>
      <w:tabs>
        <w:tab w:val="clear" w:pos="1021"/>
      </w:tabs>
      <w:ind w:left="1037" w:hanging="357"/>
    </w:pPr>
  </w:style>
  <w:style w:type="character" w:customStyle="1" w:styleId="Heading2Char">
    <w:name w:val="Heading 2 Char"/>
    <w:basedOn w:val="DefaultParagraphFont"/>
    <w:link w:val="Heading2"/>
    <w:rsid w:val="00215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D1F"/>
    <w:rPr>
      <w:rFonts w:ascii="Courier New" w:eastAsia="Times New Roman" w:hAnsi="Courier New" w:cs="Times New Roman"/>
      <w:i/>
      <w:szCs w:val="20"/>
      <w:lang w:eastAsia="en-US"/>
    </w:rPr>
  </w:style>
  <w:style w:type="paragraph" w:customStyle="1" w:styleId="HeadingBase">
    <w:name w:val="Heading Base"/>
    <w:rsid w:val="00215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D1F"/>
    <w:pPr>
      <w:tabs>
        <w:tab w:val="right" w:leader="dot" w:pos="9072"/>
      </w:tabs>
      <w:ind w:left="567"/>
    </w:pPr>
    <w:rPr>
      <w:szCs w:val="22"/>
    </w:rPr>
  </w:style>
  <w:style w:type="paragraph" w:customStyle="1" w:styleId="TOCBase">
    <w:name w:val="TOC Base"/>
    <w:rsid w:val="00215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D1F"/>
    <w:pPr>
      <w:tabs>
        <w:tab w:val="right" w:leader="dot" w:pos="9072"/>
      </w:tabs>
      <w:spacing w:before="40" w:after="40"/>
      <w:ind w:left="284"/>
    </w:pPr>
    <w:rPr>
      <w:rFonts w:ascii="Times New Roman" w:hAnsi="Times New Roman"/>
    </w:rPr>
  </w:style>
  <w:style w:type="paragraph" w:styleId="TOC1">
    <w:name w:val="toc 1"/>
    <w:basedOn w:val="TOCBase"/>
    <w:next w:val="Normal"/>
    <w:rsid w:val="00215D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5D1F"/>
    <w:pPr>
      <w:spacing w:before="5040"/>
      <w:jc w:val="center"/>
    </w:pPr>
    <w:rPr>
      <w:sz w:val="48"/>
      <w:szCs w:val="72"/>
      <w:lang w:val="en-US"/>
    </w:rPr>
  </w:style>
  <w:style w:type="character" w:customStyle="1" w:styleId="TitleChar">
    <w:name w:val="Title Char"/>
    <w:basedOn w:val="DefaultParagraphFont"/>
    <w:link w:val="Title"/>
    <w:rsid w:val="00215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D1F"/>
    <w:pPr>
      <w:tabs>
        <w:tab w:val="left" w:pos="3600"/>
        <w:tab w:val="left" w:pos="3958"/>
      </w:tabs>
    </w:pPr>
  </w:style>
  <w:style w:type="paragraph" w:styleId="List">
    <w:name w:val="List"/>
    <w:basedOn w:val="BodyText"/>
    <w:next w:val="BodyText"/>
    <w:rsid w:val="00215D1F"/>
    <w:pPr>
      <w:tabs>
        <w:tab w:val="left" w:pos="340"/>
      </w:tabs>
      <w:spacing w:before="60" w:after="60"/>
      <w:ind w:left="340" w:hanging="340"/>
    </w:pPr>
  </w:style>
  <w:style w:type="paragraph" w:customStyle="1" w:styleId="Note">
    <w:name w:val="Note"/>
    <w:basedOn w:val="BodyText"/>
    <w:rsid w:val="00215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D1F"/>
    <w:pPr>
      <w:framePr w:wrap="auto" w:hAnchor="text" w:y="6049"/>
    </w:pPr>
    <w:rPr>
      <w:color w:val="000000"/>
      <w:sz w:val="40"/>
    </w:rPr>
  </w:style>
  <w:style w:type="paragraph" w:customStyle="1" w:styleId="TOCTitle">
    <w:name w:val="TOCTitle"/>
    <w:basedOn w:val="Heading1"/>
    <w:rsid w:val="00215D1F"/>
    <w:pPr>
      <w:spacing w:after="240"/>
      <w:jc w:val="center"/>
      <w:outlineLvl w:val="9"/>
    </w:pPr>
    <w:rPr>
      <w:caps/>
    </w:rPr>
  </w:style>
  <w:style w:type="paragraph" w:customStyle="1" w:styleId="Version">
    <w:name w:val="Version"/>
    <w:rsid w:val="00215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D1F"/>
    <w:pPr>
      <w:keepNext w:val="0"/>
      <w:tabs>
        <w:tab w:val="right" w:pos="4176"/>
      </w:tabs>
      <w:ind w:left="198" w:hanging="198"/>
    </w:pPr>
    <w:rPr>
      <w:rFonts w:ascii="Garamond" w:hAnsi="Garamond"/>
    </w:rPr>
  </w:style>
  <w:style w:type="paragraph" w:styleId="IndexHeading">
    <w:name w:val="index heading"/>
    <w:basedOn w:val="Normal"/>
    <w:next w:val="Index1"/>
    <w:semiHidden/>
    <w:rsid w:val="00215D1F"/>
    <w:pPr>
      <w:spacing w:before="120" w:after="120"/>
    </w:pPr>
    <w:rPr>
      <w:rFonts w:ascii="Arial" w:hAnsi="Arial"/>
      <w:b/>
      <w:color w:val="918585"/>
      <w:sz w:val="24"/>
    </w:rPr>
  </w:style>
  <w:style w:type="paragraph" w:styleId="Header">
    <w:name w:val="header"/>
    <w:basedOn w:val="Normal"/>
    <w:link w:val="HeaderChar"/>
    <w:rsid w:val="00215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D1F"/>
    <w:rPr>
      <w:rFonts w:ascii="Times New Roman" w:eastAsia="Times New Roman" w:hAnsi="Times New Roman" w:cs="Times New Roman"/>
      <w:sz w:val="16"/>
      <w:szCs w:val="20"/>
      <w:lang w:val="en-GB" w:eastAsia="en-US"/>
    </w:rPr>
  </w:style>
  <w:style w:type="paragraph" w:customStyle="1" w:styleId="Chapter">
    <w:name w:val="Chapter"/>
    <w:basedOn w:val="Normal"/>
    <w:rsid w:val="00215D1F"/>
    <w:pPr>
      <w:spacing w:before="240"/>
    </w:pPr>
    <w:rPr>
      <w:rFonts w:ascii="Times New Roman" w:hAnsi="Times New Roman"/>
      <w:smallCaps/>
      <w:spacing w:val="80"/>
      <w:sz w:val="28"/>
    </w:rPr>
  </w:style>
  <w:style w:type="paragraph" w:customStyle="1" w:styleId="InChapter">
    <w:name w:val="InChapter"/>
    <w:basedOn w:val="Heading3"/>
    <w:rsid w:val="00215D1F"/>
    <w:pPr>
      <w:spacing w:after="240"/>
      <w:outlineLvl w:val="9"/>
    </w:pPr>
    <w:rPr>
      <w:noProof/>
    </w:rPr>
  </w:style>
  <w:style w:type="paragraph" w:styleId="Index2">
    <w:name w:val="index 2"/>
    <w:basedOn w:val="Normal"/>
    <w:next w:val="Normal"/>
    <w:semiHidden/>
    <w:rsid w:val="00215D1F"/>
    <w:pPr>
      <w:tabs>
        <w:tab w:val="right" w:pos="4176"/>
      </w:tabs>
      <w:ind w:left="568" w:hanging="284"/>
    </w:pPr>
    <w:rPr>
      <w:rFonts w:ascii="Garamond" w:hAnsi="Garamond"/>
    </w:rPr>
  </w:style>
  <w:style w:type="paragraph" w:customStyle="1" w:styleId="Byline">
    <w:name w:val="Byline"/>
    <w:rsid w:val="00215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D1F"/>
    <w:pPr>
      <w:tabs>
        <w:tab w:val="clear" w:pos="3600"/>
        <w:tab w:val="clear" w:pos="3958"/>
      </w:tabs>
      <w:jc w:val="right"/>
    </w:pPr>
  </w:style>
  <w:style w:type="character" w:styleId="Emphasis">
    <w:name w:val="Emphasis"/>
    <w:basedOn w:val="DefaultParagraphFont"/>
    <w:qFormat/>
    <w:rsid w:val="00215D1F"/>
    <w:rPr>
      <w:i/>
    </w:rPr>
  </w:style>
  <w:style w:type="paragraph" w:styleId="Caption">
    <w:name w:val="caption"/>
    <w:basedOn w:val="BodyText"/>
    <w:next w:val="Normal"/>
    <w:qFormat/>
    <w:rsid w:val="00215D1F"/>
    <w:pPr>
      <w:framePr w:w="2268" w:hSpace="181" w:vSpace="181" w:wrap="around" w:vAnchor="text" w:hAnchor="page" w:x="1135" w:y="285" w:anchorLock="1"/>
    </w:pPr>
    <w:rPr>
      <w:i/>
    </w:rPr>
  </w:style>
  <w:style w:type="paragraph" w:customStyle="1" w:styleId="MiniTOCTitle">
    <w:name w:val="MiniTOCTitle"/>
    <w:basedOn w:val="Heading4"/>
    <w:rsid w:val="00215D1F"/>
    <w:pPr>
      <w:spacing w:before="240"/>
      <w:outlineLvl w:val="9"/>
    </w:pPr>
    <w:rPr>
      <w:noProof/>
      <w:sz w:val="24"/>
    </w:rPr>
  </w:style>
  <w:style w:type="paragraph" w:customStyle="1" w:styleId="MiniTOCItem">
    <w:name w:val="MiniTOCItem"/>
    <w:basedOn w:val="ListBullet"/>
    <w:rsid w:val="00215D1F"/>
    <w:pPr>
      <w:numPr>
        <w:numId w:val="0"/>
      </w:numPr>
      <w:tabs>
        <w:tab w:val="right" w:leader="dot" w:pos="6521"/>
      </w:tabs>
      <w:spacing w:before="0" w:after="0"/>
    </w:pPr>
  </w:style>
  <w:style w:type="paragraph" w:customStyle="1" w:styleId="TOFTitle">
    <w:name w:val="TOFTitle"/>
    <w:basedOn w:val="TOCTitle"/>
    <w:rsid w:val="00215D1F"/>
  </w:style>
  <w:style w:type="paragraph" w:styleId="TableofFigures">
    <w:name w:val="table of figures"/>
    <w:basedOn w:val="Normal"/>
    <w:next w:val="Normal"/>
    <w:semiHidden/>
    <w:rsid w:val="00215D1F"/>
    <w:pPr>
      <w:tabs>
        <w:tab w:val="right" w:leader="dot" w:pos="9072"/>
      </w:tabs>
      <w:ind w:left="970" w:hanging="403"/>
    </w:pPr>
    <w:rPr>
      <w:rFonts w:ascii="Times New Roman" w:hAnsi="Times New Roman"/>
      <w:b/>
    </w:rPr>
  </w:style>
  <w:style w:type="paragraph" w:styleId="ListNumber">
    <w:name w:val="List Number"/>
    <w:basedOn w:val="List"/>
    <w:rsid w:val="00215D1F"/>
    <w:pPr>
      <w:numPr>
        <w:numId w:val="12"/>
      </w:numPr>
    </w:pPr>
  </w:style>
  <w:style w:type="character" w:customStyle="1" w:styleId="WingdingSymbols">
    <w:name w:val="Wingding Symbols"/>
    <w:rsid w:val="00215D1F"/>
    <w:rPr>
      <w:rFonts w:ascii="Wingdings" w:hAnsi="Wingdings"/>
    </w:rPr>
  </w:style>
  <w:style w:type="paragraph" w:customStyle="1" w:styleId="TableHeading">
    <w:name w:val="Table Heading"/>
    <w:basedOn w:val="HeadingBase"/>
    <w:rsid w:val="00215D1F"/>
    <w:pPr>
      <w:keepLines/>
      <w:pBdr>
        <w:bottom w:val="single" w:sz="6" w:space="1" w:color="918585"/>
      </w:pBdr>
      <w:spacing w:before="240"/>
    </w:pPr>
  </w:style>
  <w:style w:type="character" w:customStyle="1" w:styleId="HotSpot">
    <w:name w:val="HotSpot"/>
    <w:rsid w:val="00215D1F"/>
    <w:rPr>
      <w:color w:val="0033CC"/>
      <w:u w:val="none"/>
    </w:rPr>
  </w:style>
  <w:style w:type="paragraph" w:customStyle="1" w:styleId="BodyTextRight">
    <w:name w:val="Body Text Right"/>
    <w:basedOn w:val="BodyText"/>
    <w:rsid w:val="00215D1F"/>
    <w:pPr>
      <w:spacing w:before="0" w:after="0"/>
      <w:jc w:val="right"/>
    </w:pPr>
  </w:style>
  <w:style w:type="paragraph" w:styleId="Index3">
    <w:name w:val="index 3"/>
    <w:basedOn w:val="ListNumber2"/>
    <w:next w:val="Normal"/>
    <w:semiHidden/>
    <w:rsid w:val="00215D1F"/>
    <w:pPr>
      <w:numPr>
        <w:numId w:val="0"/>
      </w:numPr>
      <w:tabs>
        <w:tab w:val="right" w:leader="dot" w:pos="4176"/>
      </w:tabs>
    </w:pPr>
  </w:style>
  <w:style w:type="paragraph" w:styleId="ListNumber2">
    <w:name w:val="List Number 2"/>
    <w:basedOn w:val="List2"/>
    <w:rsid w:val="00215D1F"/>
    <w:pPr>
      <w:numPr>
        <w:numId w:val="11"/>
      </w:numPr>
      <w:tabs>
        <w:tab w:val="clear" w:pos="1060"/>
      </w:tabs>
    </w:pPr>
  </w:style>
  <w:style w:type="paragraph" w:customStyle="1" w:styleId="MarginNote">
    <w:name w:val="Margin Note"/>
    <w:basedOn w:val="BodyText"/>
    <w:rsid w:val="00215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D1F"/>
    <w:rPr>
      <w:sz w:val="32"/>
    </w:rPr>
  </w:style>
  <w:style w:type="paragraph" w:customStyle="1" w:styleId="HeadingProcedure">
    <w:name w:val="Heading Procedure"/>
    <w:basedOn w:val="HeadingBase"/>
    <w:next w:val="Normal"/>
    <w:rsid w:val="00215D1F"/>
    <w:pPr>
      <w:tabs>
        <w:tab w:val="left" w:pos="0"/>
      </w:tabs>
      <w:spacing w:before="120" w:after="60"/>
    </w:pPr>
    <w:rPr>
      <w:i/>
      <w:color w:val="918585"/>
      <w:sz w:val="22"/>
    </w:rPr>
  </w:style>
  <w:style w:type="paragraph" w:customStyle="1" w:styleId="TableBodyText">
    <w:name w:val="Table Body Text"/>
    <w:basedOn w:val="BodyText"/>
    <w:rsid w:val="00215D1F"/>
    <w:pPr>
      <w:spacing w:before="60" w:after="60"/>
    </w:pPr>
  </w:style>
  <w:style w:type="paragraph" w:styleId="ListContinue">
    <w:name w:val="List Continue"/>
    <w:basedOn w:val="List"/>
    <w:rsid w:val="00215D1F"/>
    <w:pPr>
      <w:ind w:firstLine="0"/>
    </w:pPr>
  </w:style>
  <w:style w:type="paragraph" w:customStyle="1" w:styleId="ListNote">
    <w:name w:val="List Note"/>
    <w:basedOn w:val="List"/>
    <w:rsid w:val="00215D1F"/>
    <w:pPr>
      <w:pBdr>
        <w:top w:val="single" w:sz="6" w:space="2" w:color="918585"/>
        <w:bottom w:val="single" w:sz="6" w:space="2" w:color="918585"/>
      </w:pBdr>
      <w:tabs>
        <w:tab w:val="left" w:pos="1021"/>
      </w:tabs>
      <w:ind w:firstLine="0"/>
    </w:pPr>
  </w:style>
  <w:style w:type="paragraph" w:customStyle="1" w:styleId="Warning">
    <w:name w:val="Warning"/>
    <w:basedOn w:val="BodyText"/>
    <w:rsid w:val="00215D1F"/>
    <w:pPr>
      <w:shd w:val="clear" w:color="auto" w:fill="D9D9D9"/>
      <w:tabs>
        <w:tab w:val="left" w:pos="992"/>
      </w:tabs>
      <w:ind w:left="119" w:right="119"/>
    </w:pPr>
    <w:rPr>
      <w:sz w:val="20"/>
    </w:rPr>
  </w:style>
  <w:style w:type="paragraph" w:customStyle="1" w:styleId="MarginIcons">
    <w:name w:val="Margin Icons"/>
    <w:basedOn w:val="BodyText"/>
    <w:rsid w:val="00215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D1F"/>
    <w:rPr>
      <w:rFonts w:ascii="Courier New" w:hAnsi="Courier New"/>
    </w:rPr>
  </w:style>
  <w:style w:type="paragraph" w:customStyle="1" w:styleId="NoteBullet">
    <w:name w:val="Note Bullet"/>
    <w:basedOn w:val="Note"/>
    <w:rsid w:val="00215D1F"/>
    <w:pPr>
      <w:tabs>
        <w:tab w:val="clear" w:pos="680"/>
      </w:tabs>
      <w:spacing w:before="60" w:after="60"/>
    </w:pPr>
  </w:style>
  <w:style w:type="paragraph" w:customStyle="1" w:styleId="SubHeading2">
    <w:name w:val="SubHeading2"/>
    <w:basedOn w:val="HeadingBase"/>
    <w:rsid w:val="00215D1F"/>
    <w:pPr>
      <w:spacing w:before="240" w:after="60"/>
    </w:pPr>
    <w:rPr>
      <w:sz w:val="20"/>
    </w:rPr>
  </w:style>
  <w:style w:type="paragraph" w:customStyle="1" w:styleId="SubHeading1">
    <w:name w:val="SubHeading1"/>
    <w:basedOn w:val="HeadingBase"/>
    <w:rsid w:val="00215D1F"/>
    <w:pPr>
      <w:spacing w:before="240" w:after="60"/>
    </w:pPr>
    <w:rPr>
      <w:color w:val="918585"/>
      <w:sz w:val="22"/>
    </w:rPr>
  </w:style>
  <w:style w:type="paragraph" w:customStyle="1" w:styleId="SideHeading">
    <w:name w:val="Side Heading"/>
    <w:basedOn w:val="HeadingBase"/>
    <w:rsid w:val="00215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D1F"/>
    <w:pPr>
      <w:numPr>
        <w:numId w:val="13"/>
      </w:numPr>
    </w:pPr>
  </w:style>
  <w:style w:type="paragraph" w:styleId="PlainText">
    <w:name w:val="Plain Text"/>
    <w:basedOn w:val="Normal"/>
    <w:link w:val="PlainTextChar"/>
    <w:rsid w:val="00215D1F"/>
    <w:rPr>
      <w:sz w:val="20"/>
    </w:rPr>
  </w:style>
  <w:style w:type="character" w:customStyle="1" w:styleId="PlainTextChar">
    <w:name w:val="Plain Text Char"/>
    <w:basedOn w:val="DefaultParagraphFont"/>
    <w:link w:val="PlainText"/>
    <w:rsid w:val="00215D1F"/>
    <w:rPr>
      <w:rFonts w:ascii="Courier New" w:eastAsia="Times New Roman" w:hAnsi="Courier New" w:cs="Times New Roman"/>
      <w:sz w:val="20"/>
      <w:szCs w:val="20"/>
      <w:lang w:eastAsia="en-US"/>
    </w:rPr>
  </w:style>
  <w:style w:type="character" w:customStyle="1" w:styleId="MenuOption">
    <w:name w:val="Menu Option"/>
    <w:basedOn w:val="DefaultParagraphFont"/>
    <w:rsid w:val="00215D1F"/>
    <w:rPr>
      <w:b/>
      <w:smallCaps/>
    </w:rPr>
  </w:style>
  <w:style w:type="paragraph" w:customStyle="1" w:styleId="TableListNumber">
    <w:name w:val="Table List Number"/>
    <w:basedOn w:val="ListNumber"/>
    <w:rsid w:val="00215D1F"/>
    <w:pPr>
      <w:numPr>
        <w:numId w:val="0"/>
      </w:numPr>
    </w:pPr>
  </w:style>
  <w:style w:type="paragraph" w:styleId="TOC4">
    <w:name w:val="toc 4"/>
    <w:basedOn w:val="TOCBase"/>
    <w:next w:val="Normal"/>
    <w:semiHidden/>
    <w:rsid w:val="00215D1F"/>
    <w:pPr>
      <w:tabs>
        <w:tab w:val="right" w:leader="dot" w:pos="9071"/>
      </w:tabs>
      <w:ind w:left="1701"/>
    </w:pPr>
  </w:style>
  <w:style w:type="paragraph" w:customStyle="1" w:styleId="ListAlpha">
    <w:name w:val="List Alpha"/>
    <w:basedOn w:val="List"/>
    <w:rsid w:val="00215D1F"/>
    <w:pPr>
      <w:numPr>
        <w:numId w:val="10"/>
      </w:numPr>
    </w:pPr>
  </w:style>
  <w:style w:type="paragraph" w:customStyle="1" w:styleId="ListAlpha2">
    <w:name w:val="List Alpha 2"/>
    <w:basedOn w:val="List2"/>
    <w:rsid w:val="00215D1F"/>
    <w:pPr>
      <w:numPr>
        <w:numId w:val="9"/>
      </w:numPr>
    </w:pPr>
  </w:style>
  <w:style w:type="paragraph" w:styleId="List2">
    <w:name w:val="List 2"/>
    <w:basedOn w:val="BodyText"/>
    <w:rsid w:val="00215D1F"/>
    <w:pPr>
      <w:tabs>
        <w:tab w:val="left" w:pos="680"/>
      </w:tabs>
      <w:spacing w:before="60" w:after="60"/>
      <w:ind w:left="680" w:hanging="340"/>
    </w:pPr>
  </w:style>
  <w:style w:type="paragraph" w:styleId="List3">
    <w:name w:val="List 3"/>
    <w:basedOn w:val="BodyText"/>
    <w:rsid w:val="00215D1F"/>
    <w:pPr>
      <w:tabs>
        <w:tab w:val="left" w:pos="1021"/>
      </w:tabs>
      <w:spacing w:before="60" w:after="60"/>
      <w:ind w:left="1020" w:hanging="340"/>
    </w:pPr>
  </w:style>
  <w:style w:type="paragraph" w:styleId="List4">
    <w:name w:val="List 4"/>
    <w:basedOn w:val="BodyText"/>
    <w:rsid w:val="00215D1F"/>
    <w:pPr>
      <w:tabs>
        <w:tab w:val="left" w:pos="1361"/>
      </w:tabs>
      <w:spacing w:before="60" w:after="60"/>
      <w:ind w:left="1361" w:hanging="340"/>
    </w:pPr>
  </w:style>
  <w:style w:type="paragraph" w:styleId="List5">
    <w:name w:val="List 5"/>
    <w:basedOn w:val="BodyText"/>
    <w:rsid w:val="00215D1F"/>
    <w:pPr>
      <w:tabs>
        <w:tab w:val="left" w:pos="1701"/>
      </w:tabs>
      <w:spacing w:before="60" w:after="60"/>
      <w:ind w:left="1701" w:hanging="340"/>
    </w:pPr>
  </w:style>
  <w:style w:type="paragraph" w:styleId="ListBullet4">
    <w:name w:val="List Bullet 4"/>
    <w:basedOn w:val="List4"/>
    <w:rsid w:val="00215D1F"/>
    <w:pPr>
      <w:numPr>
        <w:numId w:val="4"/>
      </w:numPr>
    </w:pPr>
  </w:style>
  <w:style w:type="paragraph" w:styleId="ListBullet5">
    <w:name w:val="List Bullet 5"/>
    <w:basedOn w:val="List5"/>
    <w:rsid w:val="00215D1F"/>
    <w:pPr>
      <w:numPr>
        <w:numId w:val="5"/>
      </w:numPr>
    </w:pPr>
  </w:style>
  <w:style w:type="paragraph" w:styleId="ListContinue2">
    <w:name w:val="List Continue 2"/>
    <w:basedOn w:val="List2"/>
    <w:rsid w:val="00215D1F"/>
    <w:pPr>
      <w:ind w:firstLine="0"/>
    </w:pPr>
  </w:style>
  <w:style w:type="paragraph" w:styleId="ListContinue3">
    <w:name w:val="List Continue 3"/>
    <w:basedOn w:val="List3"/>
    <w:rsid w:val="00215D1F"/>
    <w:pPr>
      <w:ind w:left="1021" w:firstLine="0"/>
    </w:pPr>
  </w:style>
  <w:style w:type="paragraph" w:styleId="ListContinue4">
    <w:name w:val="List Continue 4"/>
    <w:basedOn w:val="List4"/>
    <w:rsid w:val="00215D1F"/>
    <w:pPr>
      <w:ind w:firstLine="0"/>
    </w:pPr>
  </w:style>
  <w:style w:type="paragraph" w:styleId="ListContinue5">
    <w:name w:val="List Continue 5"/>
    <w:basedOn w:val="List5"/>
    <w:rsid w:val="00215D1F"/>
    <w:pPr>
      <w:ind w:firstLine="0"/>
    </w:pPr>
  </w:style>
  <w:style w:type="paragraph" w:styleId="ListNumber3">
    <w:name w:val="List Number 3"/>
    <w:basedOn w:val="List3"/>
    <w:rsid w:val="00215D1F"/>
    <w:pPr>
      <w:numPr>
        <w:numId w:val="6"/>
      </w:numPr>
    </w:pPr>
  </w:style>
  <w:style w:type="paragraph" w:styleId="ListNumber4">
    <w:name w:val="List Number 4"/>
    <w:basedOn w:val="List4"/>
    <w:rsid w:val="00215D1F"/>
    <w:pPr>
      <w:numPr>
        <w:numId w:val="7"/>
      </w:numPr>
    </w:pPr>
  </w:style>
  <w:style w:type="paragraph" w:styleId="ListNumber5">
    <w:name w:val="List Number 5"/>
    <w:basedOn w:val="List5"/>
    <w:rsid w:val="00215D1F"/>
    <w:pPr>
      <w:numPr>
        <w:numId w:val="8"/>
      </w:numPr>
    </w:pPr>
  </w:style>
  <w:style w:type="paragraph" w:styleId="BlockText">
    <w:name w:val="Block Text"/>
    <w:basedOn w:val="Normal"/>
    <w:rsid w:val="00215D1F"/>
    <w:pPr>
      <w:spacing w:after="120"/>
      <w:ind w:left="1440" w:right="1440"/>
    </w:pPr>
  </w:style>
  <w:style w:type="character" w:customStyle="1" w:styleId="Subscript">
    <w:name w:val="Subscript"/>
    <w:basedOn w:val="DefaultParagraphFont"/>
    <w:rsid w:val="00215D1F"/>
    <w:rPr>
      <w:sz w:val="16"/>
      <w:vertAlign w:val="subscript"/>
    </w:rPr>
  </w:style>
  <w:style w:type="character" w:customStyle="1" w:styleId="Superscript">
    <w:name w:val="Superscript"/>
    <w:basedOn w:val="DefaultParagraphFont"/>
    <w:rsid w:val="00215D1F"/>
    <w:rPr>
      <w:sz w:val="16"/>
      <w:vertAlign w:val="superscript"/>
    </w:rPr>
  </w:style>
  <w:style w:type="character" w:customStyle="1" w:styleId="Symbols">
    <w:name w:val="Symbols"/>
    <w:basedOn w:val="DefaultParagraphFont"/>
    <w:rsid w:val="00215D1F"/>
    <w:rPr>
      <w:rFonts w:ascii="Symbol" w:hAnsi="Symbol"/>
    </w:rPr>
  </w:style>
  <w:style w:type="character" w:customStyle="1" w:styleId="MenuOptions">
    <w:name w:val="Menu Options"/>
    <w:basedOn w:val="DefaultParagraphFont"/>
    <w:rsid w:val="00215D1F"/>
    <w:rPr>
      <w:rFonts w:ascii="Arial Narrow" w:hAnsi="Arial Narrow"/>
      <w:smallCaps/>
    </w:rPr>
  </w:style>
  <w:style w:type="character" w:customStyle="1" w:styleId="Buttons">
    <w:name w:val="Buttons"/>
    <w:basedOn w:val="DefaultParagraphFont"/>
    <w:rsid w:val="00215D1F"/>
    <w:rPr>
      <w:b/>
    </w:rPr>
  </w:style>
  <w:style w:type="character" w:customStyle="1" w:styleId="Underlined">
    <w:name w:val="Underlined"/>
    <w:basedOn w:val="DefaultParagraphFont"/>
    <w:rsid w:val="00215D1F"/>
    <w:rPr>
      <w:u w:val="single"/>
    </w:rPr>
  </w:style>
  <w:style w:type="paragraph" w:customStyle="1" w:styleId="TableBodyTextRight">
    <w:name w:val="Table Body Text Right"/>
    <w:basedOn w:val="TableBodyText"/>
    <w:rsid w:val="00215D1F"/>
    <w:pPr>
      <w:widowControl w:val="0"/>
      <w:autoSpaceDE w:val="0"/>
      <w:autoSpaceDN w:val="0"/>
      <w:adjustRightInd w:val="0"/>
      <w:jc w:val="right"/>
    </w:pPr>
    <w:rPr>
      <w:rFonts w:cs="Arial"/>
      <w:szCs w:val="18"/>
    </w:rPr>
  </w:style>
  <w:style w:type="paragraph" w:customStyle="1" w:styleId="CopyrightText">
    <w:name w:val="Copyright Text"/>
    <w:basedOn w:val="BodyText"/>
    <w:rsid w:val="00215D1F"/>
    <w:rPr>
      <w:sz w:val="18"/>
    </w:rPr>
  </w:style>
  <w:style w:type="paragraph" w:customStyle="1" w:styleId="BodySmallRight">
    <w:name w:val="Body Small Right"/>
    <w:basedOn w:val="BodyTextRight"/>
    <w:rsid w:val="00215D1F"/>
    <w:rPr>
      <w:sz w:val="18"/>
      <w:szCs w:val="18"/>
    </w:rPr>
  </w:style>
  <w:style w:type="paragraph" w:customStyle="1" w:styleId="MarginEdition">
    <w:name w:val="Margin Edition"/>
    <w:basedOn w:val="MarginNote"/>
    <w:rsid w:val="00215D1F"/>
    <w:pPr>
      <w:spacing w:before="0" w:after="0"/>
    </w:pPr>
    <w:rPr>
      <w:rFonts w:ascii="Times New Roman" w:hAnsi="Times New Roman"/>
      <w:color w:val="999999"/>
    </w:rPr>
  </w:style>
  <w:style w:type="paragraph" w:customStyle="1" w:styleId="Spacer">
    <w:name w:val="Spacer"/>
    <w:basedOn w:val="Normal"/>
    <w:rsid w:val="00215D1F"/>
    <w:rPr>
      <w:sz w:val="2"/>
      <w:szCs w:val="2"/>
    </w:rPr>
  </w:style>
  <w:style w:type="character" w:customStyle="1" w:styleId="Small">
    <w:name w:val="Small"/>
    <w:basedOn w:val="DefaultParagraphFont"/>
    <w:rsid w:val="00215D1F"/>
    <w:rPr>
      <w:sz w:val="16"/>
    </w:rPr>
  </w:style>
  <w:style w:type="paragraph" w:customStyle="1" w:styleId="WideTable">
    <w:name w:val="Wide Table"/>
    <w:basedOn w:val="Normal"/>
    <w:rsid w:val="00215D1F"/>
    <w:pPr>
      <w:ind w:left="-1418"/>
    </w:pPr>
    <w:rPr>
      <w:sz w:val="2"/>
      <w:szCs w:val="2"/>
    </w:rPr>
  </w:style>
  <w:style w:type="character" w:styleId="PageNumber">
    <w:name w:val="page number"/>
    <w:basedOn w:val="DefaultParagraphFont"/>
    <w:rsid w:val="00215D1F"/>
  </w:style>
  <w:style w:type="paragraph" w:styleId="Quote">
    <w:name w:val="Quote"/>
    <w:basedOn w:val="Heading1"/>
    <w:link w:val="QuoteChar"/>
    <w:qFormat/>
    <w:rsid w:val="00215D1F"/>
    <w:rPr>
      <w:b w:val="0"/>
      <w:sz w:val="72"/>
      <w:szCs w:val="72"/>
      <w:lang w:val="en-NZ"/>
    </w:rPr>
  </w:style>
  <w:style w:type="character" w:customStyle="1" w:styleId="QuoteChar">
    <w:name w:val="Quote Char"/>
    <w:basedOn w:val="DefaultParagraphFont"/>
    <w:link w:val="Quote"/>
    <w:rsid w:val="00215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D1F"/>
    <w:pPr>
      <w:pageBreakBefore/>
    </w:pPr>
  </w:style>
  <w:style w:type="paragraph" w:customStyle="1" w:styleId="Border">
    <w:name w:val="Border"/>
    <w:basedOn w:val="Normal"/>
    <w:qFormat/>
    <w:rsid w:val="00215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D1F"/>
    <w:rPr>
      <w:b/>
      <w:bCs/>
      <w:i/>
      <w:iCs/>
      <w:color w:val="auto"/>
    </w:rPr>
  </w:style>
  <w:style w:type="paragraph" w:styleId="IntenseQuote">
    <w:name w:val="Intense Quote"/>
    <w:basedOn w:val="Normal"/>
    <w:next w:val="Normal"/>
    <w:link w:val="IntenseQuoteChar"/>
    <w:uiPriority w:val="30"/>
    <w:qFormat/>
    <w:rsid w:val="00215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D1F"/>
    <w:rPr>
      <w:smallCaps/>
      <w:color w:val="auto"/>
      <w:u w:val="single"/>
    </w:rPr>
  </w:style>
  <w:style w:type="character" w:styleId="IntenseReference">
    <w:name w:val="Intense Reference"/>
    <w:basedOn w:val="DefaultParagraphFont"/>
    <w:uiPriority w:val="32"/>
    <w:qFormat/>
    <w:rsid w:val="00215D1F"/>
    <w:rPr>
      <w:b/>
      <w:bCs/>
      <w:smallCaps/>
      <w:color w:val="auto"/>
      <w:spacing w:val="5"/>
      <w:u w:val="single"/>
    </w:rPr>
  </w:style>
  <w:style w:type="paragraph" w:customStyle="1" w:styleId="2ColumnHeading">
    <w:name w:val="2Column Heading"/>
    <w:basedOn w:val="BodyText"/>
    <w:qFormat/>
    <w:rsid w:val="00215D1F"/>
    <w:pPr>
      <w:spacing w:after="60"/>
      <w:ind w:left="-2268"/>
    </w:pPr>
    <w:rPr>
      <w:b/>
    </w:rPr>
  </w:style>
  <w:style w:type="paragraph" w:customStyle="1" w:styleId="Heading1TOC">
    <w:name w:val="Heading1 TOC"/>
    <w:basedOn w:val="Normal"/>
    <w:qFormat/>
    <w:rsid w:val="00215D1F"/>
    <w:pPr>
      <w:spacing w:before="240" w:after="120"/>
    </w:pPr>
    <w:rPr>
      <w:rFonts w:ascii="Times New Roman" w:hAnsi="Times New Roman"/>
      <w:b/>
      <w:sz w:val="32"/>
    </w:rPr>
  </w:style>
  <w:style w:type="paragraph" w:customStyle="1" w:styleId="Heading2TOC">
    <w:name w:val="Heading2 TOC"/>
    <w:basedOn w:val="Normal"/>
    <w:qFormat/>
    <w:rsid w:val="00215D1F"/>
    <w:pPr>
      <w:spacing w:before="240" w:after="60"/>
    </w:pPr>
    <w:rPr>
      <w:rFonts w:ascii="Times New Roman" w:hAnsi="Times New Roman"/>
      <w:b/>
      <w:sz w:val="28"/>
    </w:rPr>
  </w:style>
  <w:style w:type="character" w:customStyle="1" w:styleId="Underline">
    <w:name w:val="Underline"/>
    <w:basedOn w:val="DefaultParagraphFont"/>
    <w:qFormat/>
    <w:rsid w:val="00215D1F"/>
    <w:rPr>
      <w:u w:val="single"/>
    </w:rPr>
  </w:style>
  <w:style w:type="character" w:customStyle="1" w:styleId="BoldandItalics">
    <w:name w:val="Bold and Italics"/>
    <w:qFormat/>
    <w:rsid w:val="00215D1F"/>
    <w:rPr>
      <w:b/>
      <w:i/>
      <w:u w:val="none"/>
    </w:rPr>
  </w:style>
  <w:style w:type="paragraph" w:styleId="BalloonText">
    <w:name w:val="Balloon Text"/>
    <w:basedOn w:val="Normal"/>
    <w:link w:val="BalloonTextChar"/>
    <w:rsid w:val="00215D1F"/>
    <w:rPr>
      <w:rFonts w:ascii="Tahoma" w:hAnsi="Tahoma" w:cs="Tahoma"/>
      <w:sz w:val="16"/>
      <w:szCs w:val="16"/>
    </w:rPr>
  </w:style>
  <w:style w:type="character" w:customStyle="1" w:styleId="BalloonTextChar">
    <w:name w:val="Balloon Text Char"/>
    <w:basedOn w:val="DefaultParagraphFont"/>
    <w:link w:val="BalloonText"/>
    <w:rsid w:val="00215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D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5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D1F"/>
    <w:rPr>
      <w:b/>
      <w:color w:val="660033"/>
      <w:spacing w:val="0"/>
    </w:rPr>
  </w:style>
  <w:style w:type="paragraph" w:customStyle="1" w:styleId="Nameditemlist">
    <w:name w:val="Named item list"/>
    <w:basedOn w:val="BodyText"/>
    <w:qFormat/>
    <w:rsid w:val="00215D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3008</Words>
  <Characters>18830</Characters>
  <Application>Microsoft Office Word</Application>
  <DocSecurity>0</DocSecurity>
  <Lines>751</Lines>
  <Paragraphs>336</Paragraphs>
  <ScaleCrop>false</ScaleCrop>
  <Company>Author-it Software Corporation Ltd.</Company>
  <LinksUpToDate>false</LinksUpToDate>
  <CharactersWithSpaces>21627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UETTDRTP31A Maintain energised transmission lines using high voltage live work stick method</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2012-10-01T04:41:00Z</dcterms:created>
  <dcterms:modified xsi:type="dcterms:W3CDTF">2012-10-01T04:41:00Z</dcterms:modified>
</cp:coreProperties>
</file>