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CF4" w:rsidP="00D17CF4">
      <w:pPr>
        <w:pStyle w:val="Title"/>
      </w:pPr>
      <w:r>
        <w:fldChar w:fldCharType="begin"/>
      </w:r>
      <w:r>
        <w:instrText xml:space="preserve"> TITLE   \* MERGEFORMAT </w:instrText>
      </w:r>
      <w:r>
        <w:fldChar w:fldCharType="separate"/>
      </w:r>
      <w:r>
        <w:t>UETTDRTP28A Set-up and install transmission structure stubs</w:t>
      </w:r>
      <w:r>
        <w:fldChar w:fldCharType="end"/>
      </w:r>
    </w:p>
    <w:p w:rsidR="00D17CF4" w:rsidP="00D17CF4">
      <w:pPr>
        <w:pStyle w:val="Version"/>
        <w:sectPr w:rsidSect="002953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358" w:rsidP="00295358">
      <w:pPr>
        <w:pStyle w:val="SuperHeading"/>
      </w:pPr>
      <w:r w:rsidRPr="00295358">
        <w:t>UETTDRTP28A Set-up and install transmission structure stubs</w:t>
      </w:r>
    </w:p>
    <w:p w:rsidR="00000000" w:rsidRPr="00295358" w:rsidP="00295358">
      <w:pPr>
        <w:pStyle w:val="Heading1"/>
      </w:pPr>
      <w:bookmarkStart w:id="1" w:name="O_460810"/>
      <w:bookmarkEnd w:id="1"/>
      <w:r w:rsidRPr="00295358">
        <w:t>Modification History</w:t>
      </w:r>
    </w:p>
    <w:p w:rsidR="00000000" w:rsidRPr="00295358" w:rsidP="00295358">
      <w:pPr>
        <w:pStyle w:val="BodyText"/>
      </w:pPr>
      <w:r w:rsidRPr="00295358">
        <w:t>Not applicable.</w:t>
      </w:r>
    </w:p>
    <w:p w:rsidR="00000000" w:rsidRPr="00295358" w:rsidP="00295358">
      <w:pPr>
        <w:pStyle w:val="AllowPageBreak"/>
      </w:pPr>
    </w:p>
    <w:p w:rsidR="00000000" w:rsidRPr="00295358" w:rsidP="00295358">
      <w:pPr>
        <w:pStyle w:val="Heading1"/>
      </w:pPr>
      <w:bookmarkStart w:id="2" w:name="O_460808"/>
      <w:bookmarkEnd w:id="2"/>
      <w:r w:rsidRPr="00295358">
        <w:t>Unit Descriptor</w:t>
      </w:r>
    </w:p>
    <w:tbl>
      <w:tblPr>
        <w:tblW w:w="0" w:type="auto"/>
        <w:tblLayout w:type="fixed"/>
        <w:tblCellMar>
          <w:left w:w="62" w:type="dxa"/>
          <w:right w:w="62" w:type="dxa"/>
        </w:tblCellMar>
        <w:tblLook w:val="0000"/>
      </w:tblPr>
      <w:tblGrid>
        <w:gridCol w:w="2700"/>
        <w:gridCol w:w="5760"/>
      </w:tblGrid>
      <w:tr w:rsidTr="00D17C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1)</w:t>
            </w:r>
            <w:r w:rsidRPr="00295358">
              <w:t xml:space="preserve"> </w:t>
            </w:r>
            <w:r w:rsidRPr="00295358">
              <w:rPr>
                <w:rStyle w:val="SpecialBold"/>
              </w:rPr>
              <w:t>Scope:</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535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1.1) Descriptor</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 xml:space="preserve">This Competency Standard Unit covers the utilisation of geographical maps and site surveys to set out, excavate, prepare, align and install the foundation footings of a transmission tower and establish the tower stubs to ground level for the erection of a </w:t>
            </w:r>
            <w:r w:rsidRPr="00295358">
              <w:t>transmission towers. Survey processes and operation of survey equipment is associated with this unit.</w:t>
            </w:r>
          </w:p>
        </w:tc>
      </w:tr>
    </w:tbl>
    <w:p w:rsidR="00000000" w:rsidRPr="00295358" w:rsidP="00295358">
      <w:pPr>
        <w:pStyle w:val="BodyText"/>
      </w:pPr>
    </w:p>
    <w:p w:rsidR="00000000" w:rsidRPr="00295358" w:rsidP="00295358">
      <w:pPr>
        <w:pStyle w:val="AllowPageBreak"/>
      </w:pPr>
    </w:p>
    <w:p w:rsidR="00000000" w:rsidRPr="00295358" w:rsidP="00295358">
      <w:pPr>
        <w:pStyle w:val="Heading1"/>
      </w:pPr>
      <w:bookmarkStart w:id="3" w:name="O_460797"/>
      <w:bookmarkEnd w:id="3"/>
      <w:r w:rsidRPr="00295358">
        <w:t>Application of the Unit</w:t>
      </w:r>
    </w:p>
    <w:tbl>
      <w:tblPr>
        <w:tblW w:w="0" w:type="auto"/>
        <w:tblLayout w:type="fixed"/>
        <w:tblCellMar>
          <w:left w:w="62" w:type="dxa"/>
          <w:right w:w="62" w:type="dxa"/>
        </w:tblCellMar>
        <w:tblLook w:val="0000"/>
      </w:tblPr>
      <w:tblGrid>
        <w:gridCol w:w="2672"/>
        <w:gridCol w:w="5699"/>
      </w:tblGrid>
      <w:tr w:rsidTr="00D17CF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2)</w:t>
            </w:r>
          </w:p>
        </w:tc>
      </w:tr>
      <w:tr w:rsidTr="00D17CF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This Competency Standard Unit is intended to augment formally acquired competencies. It is suitable for employment-based programs under an approved contract of training.</w:t>
            </w:r>
          </w:p>
        </w:tc>
      </w:tr>
    </w:tbl>
    <w:p w:rsidR="00000000" w:rsidRPr="00295358" w:rsidP="00295358">
      <w:pPr>
        <w:pStyle w:val="BodyText"/>
      </w:pPr>
    </w:p>
    <w:p w:rsidR="00000000" w:rsidRPr="00295358" w:rsidP="00295358">
      <w:pPr>
        <w:pStyle w:val="AllowPageBreak"/>
      </w:pPr>
    </w:p>
    <w:p w:rsidR="00000000" w:rsidRPr="00295358" w:rsidP="00295358">
      <w:pPr>
        <w:pStyle w:val="Heading1"/>
      </w:pPr>
      <w:bookmarkStart w:id="4" w:name="O_460804"/>
      <w:bookmarkEnd w:id="4"/>
      <w:r w:rsidRPr="00295358">
        <w:t>Licensing/Regulatory Information</w:t>
      </w:r>
    </w:p>
    <w:tbl>
      <w:tblPr>
        <w:tblW w:w="0" w:type="auto"/>
        <w:tblLayout w:type="fixed"/>
        <w:tblCellMar>
          <w:left w:w="62" w:type="dxa"/>
          <w:right w:w="62" w:type="dxa"/>
        </w:tblCellMar>
        <w:tblLook w:val="0000"/>
      </w:tblPr>
      <w:tblGrid>
        <w:gridCol w:w="2700"/>
        <w:gridCol w:w="5760"/>
      </w:tblGrid>
      <w:tr w:rsidTr="00D17C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 xml:space="preserve">3) </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The skil</w:t>
            </w:r>
            <w:r w:rsidRPr="00295358">
              <w:t>ls and knowledge described in this unit may require a licence/registration to practice in the work place subject to regulations for undertaking of electrical work. Practice in workplace and during training is also subject to regulations directly related to</w:t>
            </w:r>
            <w:r w:rsidRPr="00295358">
              <w:t xml:space="preserve"> Occupational Health and Safety, electricity/telecommunications/gas/water industry safety and compliance, industrial relations, environmental protection, anti discrimination and training. </w:t>
            </w:r>
            <w:r w:rsidRPr="00295358">
              <w:t>Commonwealth, State/Territory or Local Government legislation and re</w:t>
            </w:r>
            <w:r w:rsidRPr="00295358">
              <w:t>gulations may exist that limits the age of operating certain equipment.</w:t>
            </w:r>
          </w:p>
        </w:tc>
      </w:tr>
    </w:tbl>
    <w:p w:rsidR="00000000" w:rsidRPr="00295358" w:rsidP="00295358">
      <w:pPr>
        <w:pStyle w:val="BodyText"/>
      </w:pPr>
    </w:p>
    <w:p w:rsidR="00000000" w:rsidRPr="00295358" w:rsidP="00295358">
      <w:pPr>
        <w:pStyle w:val="AllowPageBreak"/>
      </w:pPr>
    </w:p>
    <w:p w:rsidR="00000000" w:rsidRPr="00295358" w:rsidP="00295358">
      <w:pPr>
        <w:pStyle w:val="Heading1"/>
      </w:pPr>
      <w:bookmarkStart w:id="5" w:name="O_460805"/>
      <w:bookmarkEnd w:id="5"/>
      <w:r w:rsidRPr="00295358">
        <w:t>Pre-Requisites</w:t>
      </w:r>
    </w:p>
    <w:tbl>
      <w:tblPr>
        <w:tblW w:w="0" w:type="auto"/>
        <w:tblLayout w:type="fixed"/>
        <w:tblCellMar>
          <w:left w:w="62" w:type="dxa"/>
          <w:right w:w="62" w:type="dxa"/>
        </w:tblCellMar>
        <w:tblLook w:val="0000"/>
      </w:tblPr>
      <w:tblGrid>
        <w:gridCol w:w="2700"/>
        <w:gridCol w:w="1890"/>
        <w:gridCol w:w="3870"/>
      </w:tblGrid>
      <w:tr w:rsidTr="00D17C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 xml:space="preserve">4) </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4.1)</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Granting of competency in this unit shall be made only after competency in the following unit(s) has/have been confirmed.</w:t>
            </w:r>
          </w:p>
          <w:p w:rsidR="00000000" w:rsidRPr="00295358" w:rsidP="00295358">
            <w:pPr>
              <w:pStyle w:val="BodyText"/>
            </w:pPr>
            <w:r w:rsidRPr="00295358">
              <w:t>Where pre-requisite pathways have been identified. All competencies in the Common Unit Group must be have been completed.</w:t>
            </w:r>
          </w:p>
          <w:p w:rsidR="00000000" w:rsidP="00295358">
            <w:pPr>
              <w:pStyle w:val="BodyText"/>
              <w:rPr>
                <w:lang w:val="en-NZ"/>
              </w:rPr>
            </w:pPr>
            <w:r w:rsidRPr="00295358">
              <w:t xml:space="preserve">Common Unit </w:t>
            </w:r>
            <w:r w:rsidRPr="00295358">
              <w:t>Group</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Unit Code</w:t>
            </w:r>
            <w:r w:rsidRPr="00295358">
              <w:tab/>
            </w:r>
          </w:p>
        </w:tc>
        <w:tc>
          <w:tcPr>
            <w:tcW w:w="3870" w:type="dxa"/>
            <w:tcBorders>
              <w:top w:val="nil"/>
              <w:left w:val="nil"/>
              <w:bottom w:val="nil"/>
              <w:right w:val="nil"/>
            </w:tcBorders>
            <w:tcMar>
              <w:top w:w="0" w:type="dxa"/>
              <w:left w:w="62" w:type="dxa"/>
              <w:bottom w:w="0" w:type="dxa"/>
              <w:right w:w="62" w:type="dxa"/>
            </w:tcMar>
            <w:vAlign w:val="bottom"/>
          </w:tcPr>
          <w:p w:rsidR="00000000" w:rsidP="00295358">
            <w:pPr>
              <w:pStyle w:val="BodyText"/>
              <w:rPr>
                <w:lang w:val="en-NZ"/>
              </w:rPr>
            </w:pPr>
            <w:r w:rsidRPr="00295358">
              <w:t>Unit Title</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295358">
            <w:pPr>
              <w:pStyle w:val="BodyText"/>
              <w:rPr>
                <w:lang w:val="en-NZ"/>
              </w:rPr>
            </w:pPr>
            <w:r w:rsidRPr="00295358">
              <w:t>Apply Occupational Health and Safety regulations, codes and practices in the workplace</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RPr="00295358" w:rsidP="00295358">
            <w:pPr>
              <w:pStyle w:val="BodyText"/>
            </w:pPr>
            <w:r w:rsidRPr="00295358">
              <w:t xml:space="preserve">Working safely near live electrical apparatus </w:t>
            </w:r>
          </w:p>
        </w:tc>
      </w:tr>
    </w:tbl>
    <w:p w:rsidR="00000000" w:rsidRPr="00295358" w:rsidP="0029535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17CF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 xml:space="preserve">4.2) </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Participants are best equipped to achieve this unit if they have reading, writing and numeracy skills indicated by the following scales. Description of each scale is given in Volume 2, Part 3 “Literacy and Numeracy”</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Reading</w:t>
            </w:r>
          </w:p>
        </w:tc>
        <w:tc>
          <w:tcPr>
            <w:tcW w:w="81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3</w:t>
            </w:r>
          </w:p>
        </w:tc>
        <w:tc>
          <w:tcPr>
            <w:tcW w:w="99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Writing</w:t>
            </w:r>
          </w:p>
        </w:tc>
        <w:tc>
          <w:tcPr>
            <w:tcW w:w="90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3</w:t>
            </w:r>
          </w:p>
        </w:tc>
        <w:tc>
          <w:tcPr>
            <w:tcW w:w="126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Numeracy</w:t>
            </w:r>
          </w:p>
        </w:tc>
        <w:tc>
          <w:tcPr>
            <w:tcW w:w="72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3</w:t>
            </w:r>
          </w:p>
        </w:tc>
      </w:tr>
    </w:tbl>
    <w:p w:rsidR="00000000" w:rsidRPr="00295358" w:rsidP="00295358">
      <w:pPr>
        <w:pStyle w:val="BodyText"/>
      </w:pPr>
    </w:p>
    <w:p w:rsidR="00000000" w:rsidRPr="00295358" w:rsidP="00295358">
      <w:pPr>
        <w:pStyle w:val="AllowPageBreak"/>
      </w:pPr>
    </w:p>
    <w:p w:rsidR="00000000" w:rsidRPr="00295358" w:rsidP="00295358">
      <w:pPr>
        <w:pStyle w:val="Heading1"/>
      </w:pPr>
      <w:bookmarkStart w:id="6" w:name="O_460801"/>
      <w:bookmarkEnd w:id="6"/>
      <w:r w:rsidRPr="00295358">
        <w:t>Employability Skills Information</w:t>
      </w:r>
    </w:p>
    <w:tbl>
      <w:tblPr>
        <w:tblW w:w="0" w:type="auto"/>
        <w:tblLayout w:type="fixed"/>
        <w:tblCellMar>
          <w:left w:w="62" w:type="dxa"/>
          <w:right w:w="62" w:type="dxa"/>
        </w:tblCellMar>
        <w:tblLook w:val="0000"/>
      </w:tblPr>
      <w:tblGrid>
        <w:gridCol w:w="2700"/>
        <w:gridCol w:w="5760"/>
      </w:tblGrid>
      <w:tr w:rsidTr="00D17C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 xml:space="preserve">5) </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 xml:space="preserve">The required outcomes described in this unit of competency contain applicable facets of Employability Skills. The Employability Skills Summary </w:t>
            </w:r>
            <w:r w:rsidRPr="00295358">
              <w:t>of the qualification in which this unit of competency is packaged will assist in identifying Employability Skill requirements.</w:t>
            </w:r>
          </w:p>
        </w:tc>
      </w:tr>
    </w:tbl>
    <w:p w:rsidR="00000000" w:rsidRPr="00295358" w:rsidP="00295358">
      <w:pPr>
        <w:pStyle w:val="BodyText"/>
      </w:pPr>
    </w:p>
    <w:p w:rsidR="00000000" w:rsidRPr="00295358" w:rsidP="00295358">
      <w:pPr>
        <w:pStyle w:val="AllowPageBreak"/>
      </w:pPr>
    </w:p>
    <w:p w:rsidR="00000000" w:rsidRPr="00295358" w:rsidP="00295358">
      <w:pPr>
        <w:pStyle w:val="Heading1"/>
      </w:pPr>
      <w:bookmarkStart w:id="7" w:name="O_460800"/>
      <w:bookmarkEnd w:id="7"/>
      <w:r w:rsidRPr="00295358">
        <w:t>Elements and Performance Criteria Pre-Content</w:t>
      </w:r>
    </w:p>
    <w:tbl>
      <w:tblPr>
        <w:tblW w:w="0" w:type="auto"/>
        <w:tblLayout w:type="fixed"/>
        <w:tblCellMar>
          <w:left w:w="62" w:type="dxa"/>
          <w:right w:w="62" w:type="dxa"/>
        </w:tblCellMar>
        <w:tblLook w:val="0000"/>
      </w:tblPr>
      <w:tblGrid>
        <w:gridCol w:w="2700"/>
        <w:gridCol w:w="5760"/>
      </w:tblGrid>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6)</w:t>
            </w:r>
            <w:r w:rsidRPr="00295358">
              <w:t xml:space="preserve"> Elements describe the essential outcomes of a competency stan</w:t>
            </w:r>
            <w:r w:rsidRPr="00295358">
              <w:t>dard unit</w:t>
            </w:r>
          </w:p>
        </w:tc>
        <w:tc>
          <w:tcPr>
            <w:tcW w:w="576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Performance Criteria describe the required performance needed to demonstrate achievement of the element. Assessment of performance is to be consistent with the Evidence Guide.</w:t>
            </w:r>
          </w:p>
        </w:tc>
      </w:tr>
    </w:tbl>
    <w:p w:rsidR="00000000" w:rsidRPr="00295358" w:rsidP="00295358">
      <w:pPr>
        <w:pStyle w:val="BodyText"/>
      </w:pPr>
    </w:p>
    <w:p w:rsidR="00000000" w:rsidRPr="00295358" w:rsidP="00295358">
      <w:pPr>
        <w:pStyle w:val="AllowPageBreak"/>
      </w:pPr>
    </w:p>
    <w:p w:rsidR="00000000" w:rsidRPr="00295358" w:rsidP="00295358">
      <w:pPr>
        <w:pStyle w:val="Heading1"/>
      </w:pPr>
      <w:bookmarkStart w:id="8" w:name="O_460799"/>
      <w:bookmarkEnd w:id="8"/>
      <w:r w:rsidRPr="00295358">
        <w:t>Elements and Performance Criteria</w:t>
      </w:r>
    </w:p>
    <w:tbl>
      <w:tblPr>
        <w:tblW w:w="0" w:type="auto"/>
        <w:tblLayout w:type="fixed"/>
        <w:tblCellMar>
          <w:left w:w="62" w:type="dxa"/>
          <w:right w:w="62" w:type="dxa"/>
        </w:tblCellMar>
        <w:tblLook w:val="0000"/>
      </w:tblPr>
      <w:tblGrid>
        <w:gridCol w:w="405"/>
        <w:gridCol w:w="2295"/>
        <w:gridCol w:w="825"/>
        <w:gridCol w:w="4935"/>
      </w:tblGrid>
      <w:tr w:rsidTr="00D17CF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PERFORMANCE CRITERIA</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w:t>
            </w:r>
          </w:p>
        </w:tc>
        <w:tc>
          <w:tcPr>
            <w:tcW w:w="229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Prepare for the setting of a transmission tower stub</w:t>
            </w: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1.1</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Works schedule(s), including drawings, plans, requirements, established procedures, and material lists, are received, analysed and confirmed, if necessary, by site inspection</w:t>
            </w:r>
            <w:r w:rsidRPr="00295358">
              <w:t>.</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1.2</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Relevant requirements and established procedures for the work are communicated to all personnel and identified for all work sites.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1.3</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OHS policies and procedures related to requirements and established procedures for construction activities are obtained and confirmed for the purposes of the work to be performed and communicated.</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1.4</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Work is prioritised and sequenced following consulta</w:t>
            </w:r>
            <w:r w:rsidRPr="00295358">
              <w:t>tion with others for completion within acceptable timeframes and in accordance with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1.5</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 xml:space="preserve">Hazards are identified, OHS risks assessed and control measures are prioritised, implemented and monitored including emergency exits kept </w:t>
            </w:r>
            <w:r w:rsidRPr="00295358">
              <w:t>cle</w:t>
            </w:r>
            <w:r w:rsidRPr="00295358">
              <w:t>ar according to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1.6</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Resources including personnel, equipment, tools and personal protective equipment required for the job are obtained and confirmed in working order.</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1.7</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Relevant work permits are obtained to access and perform work according to requirements and/or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1.8</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Relevant personnel at work site are confirmed current in First Aid, Rescue and other related work procedures according to requirem</w:t>
            </w:r>
            <w:r w:rsidRPr="00295358">
              <w:t>ents.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1.9</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Liaison and communication issues with other/authorised personnel, authorities, clients and land owners are resolved to carry out work where necessary.</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1.10</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Site is prepared according to the work schedule and to minimise risk and damage to p</w:t>
            </w:r>
            <w:r w:rsidRPr="00295358">
              <w:t>roperty, commerce, and individuals in accordance with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1.11</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 xml:space="preserve">Personnel participating in the work, including plant operators and contractors, are fully briefed and respective responsibilities confirmed </w:t>
            </w:r>
            <w:r w:rsidRPr="00295358">
              <w:t>where applicable in accordance with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1.12</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Traffic management plan is identified and implemented where appropriate.</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2</w:t>
            </w:r>
          </w:p>
        </w:tc>
        <w:tc>
          <w:tcPr>
            <w:tcW w:w="229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Carry out the setting of a transmission tower stub</w:t>
            </w: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2.1</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 xml:space="preserve">OHS, sustainable energy and environmental principles and </w:t>
            </w:r>
            <w:r w:rsidRPr="00295358">
              <w:t>practices to reduce the incidents of accidents and minimise waste are monitored and followed in accordance with requirements and/or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2.2</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Hazard warnings and safety signs are recognised and hazards and assessed OHS risks are report</w:t>
            </w:r>
            <w:r w:rsidRPr="00295358">
              <w:t>ed to the immediate authorised persons for directions according to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2.3</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 xml:space="preserve">Lifting, climbing, working in excavations, and use of power tools/equipment, techniques and practices are safely followed and, currency according </w:t>
            </w:r>
            <w:r w:rsidRPr="00295358">
              <w:t>to requirements confirmed.</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2.4</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Essential knowledge and associated skills are applied in the survey and establishment of tower stubs to ensure completion in an agreed timeframe and, to quality standards with a minimum of waste according to requirements.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2.5</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Unplanned events in the establishment of tower stubs are undertaken within the scope of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2.6</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Known solutions to a variety of problems are applied using acquired essential knowledge and associated skills.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2.7</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Ongoing chec</w:t>
            </w:r>
            <w:r w:rsidRPr="00295358">
              <w:t>ks of quality of the work are undertaken in accordance with instructions and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3</w:t>
            </w:r>
          </w:p>
        </w:tc>
        <w:tc>
          <w:tcPr>
            <w:tcW w:w="229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Complete the setting of a transmission tower stub</w:t>
            </w: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3.1</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Work undertaken is checked against works schedule for conformance with requirements and anomalies reported in accordance with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3.2</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Accidents and/or injuries are reported in accordance with requirements/established procedures, wher</w:t>
            </w:r>
            <w:r w:rsidRPr="00295358">
              <w:t>e applicable.</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3.3</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Work site is rehabilitated, cleaned up and made safe in accordance with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3.4</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Tools, equipment and any surplus resources and materials are, where appropriate, cleaned, checked and returned to storage or dispose</w:t>
            </w:r>
            <w:r w:rsidRPr="00295358">
              <w:t>d of in accordance with established procedures.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3.5</w:t>
            </w:r>
          </w:p>
        </w:tc>
        <w:tc>
          <w:tcPr>
            <w:tcW w:w="493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Relevant work permit(s) are signed off where appropriate and returned in accordance with requirements.</w:t>
            </w:r>
          </w:p>
        </w:tc>
      </w:tr>
      <w:tr w:rsidTr="00D17CF4">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t>3.6</w:t>
            </w:r>
          </w:p>
        </w:tc>
        <w:tc>
          <w:tcPr>
            <w:tcW w:w="4935"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Works completion records, reports, as installed /modified drawing and/or documentation and information are finalised and processed and appropriate personnel notified.</w:t>
            </w:r>
          </w:p>
        </w:tc>
      </w:tr>
    </w:tbl>
    <w:p w:rsidR="00000000" w:rsidRPr="00295358" w:rsidP="00295358">
      <w:pPr>
        <w:pStyle w:val="BodyText"/>
      </w:pPr>
    </w:p>
    <w:p w:rsidR="00000000" w:rsidRPr="00295358" w:rsidP="00295358">
      <w:pPr>
        <w:pStyle w:val="AllowPageBreak"/>
      </w:pPr>
    </w:p>
    <w:p w:rsidR="00000000" w:rsidRPr="00295358" w:rsidP="00295358">
      <w:pPr>
        <w:pStyle w:val="Heading1"/>
      </w:pPr>
      <w:bookmarkStart w:id="9" w:name="O_460807"/>
      <w:bookmarkEnd w:id="9"/>
      <w:r w:rsidRPr="00295358">
        <w:t>Required Skills and Knowledge</w:t>
      </w:r>
    </w:p>
    <w:tbl>
      <w:tblPr>
        <w:tblW w:w="0" w:type="auto"/>
        <w:tblLayout w:type="fixed"/>
        <w:tblCellMar>
          <w:left w:w="62" w:type="dxa"/>
          <w:right w:w="62" w:type="dxa"/>
        </w:tblCellMar>
        <w:tblLook w:val="0000"/>
      </w:tblPr>
      <w:tblGrid>
        <w:gridCol w:w="8460"/>
      </w:tblGrid>
      <w:tr w:rsidTr="00D17C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REQUIRED SKILLS AND KNOWLEDGE</w:t>
            </w:r>
          </w:p>
        </w:tc>
      </w:tr>
      <w:tr w:rsidTr="00D17CF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8)</w:t>
            </w:r>
            <w:r w:rsidRPr="00295358">
              <w:t xml:space="preserve"> Essent</w:t>
            </w:r>
            <w:r w:rsidRPr="00295358">
              <w:t>ial Knowledge and Associated Skills (EKAS): This describes the essential skills and knowledge and their level, required for this unit.</w:t>
            </w:r>
          </w:p>
          <w:p w:rsidR="00000000" w:rsidRPr="00295358" w:rsidP="00295358">
            <w:pPr>
              <w:pStyle w:val="BodyText"/>
            </w:pPr>
            <w:r w:rsidRPr="00295358">
              <w:t xml:space="preserve">Evidence shall show that knowledge has been acquired of setting and transmission tower stub. </w:t>
            </w:r>
          </w:p>
          <w:p w:rsidR="00000000" w:rsidRPr="00295358" w:rsidP="00295358">
            <w:pPr>
              <w:pStyle w:val="BodyText"/>
            </w:pPr>
            <w:r w:rsidRPr="00295358">
              <w:t>All knowledge and skills detailed in this unit should be contextualised to current industry practices and technologies.</w:t>
            </w:r>
          </w:p>
          <w:p w:rsidR="00000000" w:rsidRPr="00295358" w:rsidP="00295358">
            <w:pPr>
              <w:pStyle w:val="BodyText"/>
            </w:pPr>
            <w:r w:rsidRPr="00295358">
              <w:t xml:space="preserve">KS01-TTP28A </w:t>
            </w:r>
            <w:r w:rsidRPr="00295358">
              <w:tab/>
              <w:t>Overhead transmission structure stubs</w:t>
            </w:r>
          </w:p>
          <w:p w:rsidR="00000000" w:rsidRPr="00295358" w:rsidP="00295358">
            <w:pPr>
              <w:pStyle w:val="BodyText"/>
            </w:pPr>
            <w:r w:rsidRPr="00295358">
              <w:t>Evidence shall show an understanding of the setting-up and installation of transmissi</w:t>
            </w:r>
            <w:r w:rsidRPr="00295358">
              <w:t>on structure stubs to an extent indicated by the following aspects:</w:t>
            </w:r>
          </w:p>
          <w:p w:rsidR="00000000" w:rsidRPr="00295358" w:rsidP="00295358">
            <w:pPr>
              <w:pStyle w:val="BodyText"/>
            </w:pPr>
            <w:r w:rsidRPr="00295358">
              <w:t>T1</w:t>
            </w:r>
            <w:r w:rsidRPr="00295358">
              <w:tab/>
              <w:t xml:space="preserve">Mathematics techniques encompassing: </w:t>
            </w:r>
          </w:p>
          <w:p w:rsidR="00000000" w:rsidRPr="00295358" w:rsidP="00295358">
            <w:pPr>
              <w:pStyle w:val="ListBullet"/>
            </w:pPr>
            <w:r w:rsidRPr="00295358">
              <w:t>Calculations involving fractions, decimals, ratios, proportions</w:t>
            </w:r>
          </w:p>
          <w:p w:rsidR="00000000" w:rsidRPr="00295358" w:rsidP="00295358">
            <w:pPr>
              <w:pStyle w:val="ListBullet"/>
            </w:pPr>
            <w:r w:rsidRPr="00295358">
              <w:t>Calculations involving area, volume, mass and density</w:t>
            </w:r>
          </w:p>
          <w:p w:rsidR="00000000" w:rsidRPr="00295358" w:rsidP="00295358">
            <w:pPr>
              <w:pStyle w:val="ListBullet"/>
            </w:pPr>
            <w:r w:rsidRPr="00295358">
              <w:t>Calculations involving trans</w:t>
            </w:r>
            <w:r w:rsidRPr="00295358">
              <w:t>position and substitution of formulae</w:t>
            </w:r>
          </w:p>
          <w:p w:rsidR="00000000" w:rsidRPr="00295358" w:rsidP="00295358">
            <w:pPr>
              <w:pStyle w:val="ListBullet"/>
            </w:pPr>
            <w:r w:rsidRPr="00295358">
              <w:t>Calculations involving simple trigonometric problems.</w:t>
            </w:r>
          </w:p>
          <w:p w:rsidR="00000000" w:rsidRPr="00295358" w:rsidP="00295358">
            <w:pPr>
              <w:pStyle w:val="BodyText"/>
            </w:pPr>
            <w:r w:rsidRPr="00295358">
              <w:t>T2</w:t>
            </w:r>
            <w:r w:rsidRPr="00295358">
              <w:tab/>
              <w:t>Engineering mechanics encompassing:</w:t>
            </w:r>
          </w:p>
          <w:p w:rsidR="00000000" w:rsidRPr="00295358" w:rsidP="00295358">
            <w:pPr>
              <w:pStyle w:val="ListBullet"/>
            </w:pPr>
            <w:r w:rsidRPr="00295358">
              <w:t>Identification of basic concepts, principles and applications - Application of velocity, acceleration, force, density, torqu</w:t>
            </w:r>
            <w:r w:rsidRPr="00295358">
              <w:t>e, and pressure</w:t>
            </w:r>
          </w:p>
          <w:p w:rsidR="00000000" w:rsidRPr="00295358" w:rsidP="00295358">
            <w:pPr>
              <w:pStyle w:val="ListBullet"/>
            </w:pPr>
            <w:r w:rsidRPr="00295358">
              <w:t>Applications of the SI units</w:t>
            </w:r>
          </w:p>
          <w:p w:rsidR="00000000" w:rsidRPr="00295358" w:rsidP="00295358">
            <w:pPr>
              <w:pStyle w:val="ListBullet"/>
            </w:pPr>
            <w:r w:rsidRPr="00295358">
              <w:t>The relationship between work, power and energy</w:t>
            </w:r>
          </w:p>
          <w:p w:rsidR="00000000" w:rsidRPr="00295358" w:rsidP="00295358">
            <w:pPr>
              <w:pStyle w:val="ListBullet"/>
            </w:pPr>
            <w:r w:rsidRPr="00295358">
              <w:t>Behaviour of object under force - using a block and tackle under load, concept of mechanical advantage, determination of resultant forces and determining the sag i</w:t>
            </w:r>
            <w:r w:rsidRPr="00295358">
              <w:t>n a catenary conductor and the force applied at each end</w:t>
            </w:r>
          </w:p>
          <w:p w:rsidR="00000000" w:rsidRPr="00295358" w:rsidP="00295358">
            <w:pPr>
              <w:pStyle w:val="ListBullet"/>
            </w:pPr>
            <w:r w:rsidRPr="00295358">
              <w:t>Fundamentals of the basic laws of fluid mechanics.</w:t>
            </w:r>
          </w:p>
          <w:p w:rsidR="00000000" w:rsidRPr="00295358" w:rsidP="00295358">
            <w:pPr>
              <w:pStyle w:val="BodyText"/>
            </w:pPr>
            <w:r w:rsidRPr="00295358">
              <w:t>T3</w:t>
            </w:r>
            <w:r w:rsidRPr="00295358">
              <w:tab/>
              <w:t>Materials properties encompassing:</w:t>
            </w:r>
          </w:p>
          <w:p w:rsidR="00000000" w:rsidRPr="00295358" w:rsidP="00295358">
            <w:pPr>
              <w:pStyle w:val="ListBullet"/>
            </w:pPr>
            <w:r w:rsidRPr="00295358">
              <w:t>Identification and classification of engineering materials material properties</w:t>
            </w:r>
          </w:p>
          <w:p w:rsidR="00000000" w:rsidRPr="00295358" w:rsidP="00295358">
            <w:pPr>
              <w:pStyle w:val="ListBullet"/>
            </w:pPr>
            <w:r w:rsidRPr="00295358">
              <w:t>Types and applications - prope</w:t>
            </w:r>
            <w:r w:rsidRPr="00295358">
              <w:t>rties of tensile strength, effects of temperature on the expansion of metals, ductibility, malleability, work hardening and annealing and the conditions that lead to corrosion and the properties of timbers.</w:t>
            </w:r>
          </w:p>
          <w:p w:rsidR="00000000" w:rsidRPr="00295358" w:rsidP="00295358">
            <w:pPr>
              <w:pStyle w:val="BodyText"/>
            </w:pPr>
            <w:r w:rsidRPr="00295358">
              <w:t>T4</w:t>
            </w:r>
            <w:r w:rsidRPr="00295358">
              <w:tab/>
              <w:t>Operation of elevating work platform (EWP) enc</w:t>
            </w:r>
            <w:r w:rsidRPr="00295358">
              <w:t>ompassing:</w:t>
            </w:r>
          </w:p>
          <w:p w:rsidR="00000000" w:rsidRPr="00295358" w:rsidP="00295358">
            <w:pPr>
              <w:pStyle w:val="ListBullet"/>
            </w:pPr>
            <w:r w:rsidRPr="00295358">
              <w:t>Standards, codes, legislation, supply authority regulations and or enterprise requirements associated with EWP including relevant certification and licensing - safe working clearances, safe operation procedures and the mandatory wearing of harn</w:t>
            </w:r>
            <w:r w:rsidRPr="00295358">
              <w:t>ess/attachment requirements, safety observers, inspection and testing procedures prior to use, set-up, operate and shut down procedures for an EWP.</w:t>
            </w:r>
          </w:p>
          <w:p w:rsidR="00000000" w:rsidRPr="00295358" w:rsidP="00295358">
            <w:pPr>
              <w:pStyle w:val="ListBullet"/>
            </w:pPr>
            <w:r w:rsidRPr="00295358">
              <w:t>Emergency procedures for an EWP - escape procedures for an EWP, rescuing procedures, mechanical failure proc</w:t>
            </w:r>
            <w:r w:rsidRPr="00295358">
              <w:t>edures.</w:t>
            </w:r>
          </w:p>
          <w:p w:rsidR="00000000" w:rsidRPr="00295358" w:rsidP="00295358">
            <w:pPr>
              <w:pStyle w:val="ListBullet"/>
            </w:pPr>
            <w:r w:rsidRPr="00295358">
              <w:t>Types of EWPs insulated/uninsulated.</w:t>
            </w:r>
          </w:p>
          <w:p w:rsidR="00000000" w:rsidRPr="00295358" w:rsidP="00295358">
            <w:pPr>
              <w:pStyle w:val="BodyText"/>
            </w:pPr>
            <w:r w:rsidRPr="00295358">
              <w:t>T5</w:t>
            </w:r>
            <w:r w:rsidRPr="00295358">
              <w:tab/>
              <w:t>Operation and maintenance of mobile plant, tools and equipment encompassing:</w:t>
            </w:r>
          </w:p>
          <w:p w:rsidR="00000000" w:rsidRPr="00295358" w:rsidP="00295358">
            <w:pPr>
              <w:pStyle w:val="ListBullet"/>
            </w:pPr>
            <w:r w:rsidRPr="00295358">
              <w:t xml:space="preserve">Standards, codes, legislation, supply authority regulations and or enterprise requirements </w:t>
            </w:r>
            <w:r w:rsidRPr="00295358">
              <w:t>associated with portable hydraulic equipment and portable pneumatic equipment, including relevant certification and licensing - safe working clearances, safe operation procedures, safety observers.</w:t>
            </w:r>
          </w:p>
          <w:p w:rsidR="00000000" w:rsidRPr="00295358" w:rsidP="00295358">
            <w:pPr>
              <w:pStyle w:val="ListBullet"/>
            </w:pPr>
            <w:r w:rsidRPr="00295358">
              <w:t>Inspection and testing procedures prior to use</w:t>
            </w:r>
          </w:p>
          <w:p w:rsidR="00000000" w:rsidRPr="00295358" w:rsidP="00295358">
            <w:pPr>
              <w:pStyle w:val="ListBullet"/>
            </w:pPr>
            <w:r w:rsidRPr="00295358">
              <w:t>Set-up, ope</w:t>
            </w:r>
            <w:r w:rsidRPr="00295358">
              <w:t>rate and shut down procedures</w:t>
            </w:r>
          </w:p>
          <w:p w:rsidR="00000000" w:rsidRPr="00295358" w:rsidP="00295358">
            <w:pPr>
              <w:pStyle w:val="ListBullet"/>
            </w:pPr>
            <w:r w:rsidRPr="00295358">
              <w:t>Permit to work systems and isolation procedures</w:t>
            </w:r>
          </w:p>
          <w:p w:rsidR="00000000" w:rsidRPr="00295358" w:rsidP="00295358">
            <w:pPr>
              <w:pStyle w:val="BodyText"/>
            </w:pPr>
            <w:r w:rsidRPr="00295358">
              <w:t>T6</w:t>
            </w:r>
            <w:r w:rsidRPr="00295358">
              <w:tab/>
              <w:t>Requirements for the use of enterprise vehicles such as, trucks and four wheel drives encompassing:</w:t>
            </w:r>
          </w:p>
          <w:p w:rsidR="00000000" w:rsidRPr="00295358" w:rsidP="00295358">
            <w:pPr>
              <w:pStyle w:val="ListBullet"/>
            </w:pPr>
            <w:r w:rsidRPr="00295358">
              <w:t>Standards, codes, legislation, supply authority regulations and or enterpr</w:t>
            </w:r>
            <w:r w:rsidRPr="00295358">
              <w:t>ise requirements associated with safe use of enterprise vehicles including relevant certification and licensing such as motor cars, light and heavy commercial trucks, heavy truck/trailer combination, four wheel drive vehicles.</w:t>
            </w:r>
          </w:p>
          <w:p w:rsidR="00000000" w:rsidRPr="00295358" w:rsidP="00295358">
            <w:pPr>
              <w:pStyle w:val="ListBullet"/>
            </w:pPr>
            <w:r w:rsidRPr="00295358">
              <w:t>Compliance with regulations a</w:t>
            </w:r>
            <w:r w:rsidRPr="00295358">
              <w:t>ssociated with the securing of loads prior for transportation.</w:t>
            </w:r>
          </w:p>
          <w:p w:rsidR="00000000" w:rsidRPr="00295358" w:rsidP="00295358">
            <w:pPr>
              <w:pStyle w:val="BodyText"/>
            </w:pPr>
            <w:r w:rsidRPr="00295358">
              <w:t>T7</w:t>
            </w:r>
            <w:r w:rsidRPr="00295358">
              <w:tab/>
              <w:t>Requirements for the use of chain saws including relevant certification and licensing encompassing:</w:t>
            </w:r>
          </w:p>
          <w:p w:rsidR="00000000" w:rsidRPr="00295358" w:rsidP="00295358">
            <w:pPr>
              <w:pStyle w:val="ListBullet"/>
            </w:pPr>
            <w:r w:rsidRPr="00295358">
              <w:t>Safety precautions, requirements and responsibilities</w:t>
            </w:r>
          </w:p>
          <w:p w:rsidR="00000000" w:rsidRPr="00295358" w:rsidP="00295358">
            <w:pPr>
              <w:pStyle w:val="ListBullet"/>
            </w:pPr>
            <w:r w:rsidRPr="00295358">
              <w:t>Selection and use of appropriate pe</w:t>
            </w:r>
            <w:r w:rsidRPr="00295358">
              <w:t>rsonal protective equipment</w:t>
            </w:r>
          </w:p>
          <w:p w:rsidR="00000000" w:rsidRPr="00295358" w:rsidP="00295358">
            <w:pPr>
              <w:pStyle w:val="ListBullet"/>
            </w:pPr>
            <w:r w:rsidRPr="00295358">
              <w:t>Chain saw operation - parts and function of components and ancillary equipment, pre-operational checks, starting procedures, safe use of chain saw under load.</w:t>
            </w:r>
          </w:p>
          <w:p w:rsidR="00000000" w:rsidRPr="00295358" w:rsidP="00295358">
            <w:pPr>
              <w:pStyle w:val="ListBullet"/>
            </w:pPr>
            <w:r w:rsidRPr="00295358">
              <w:t>Safe transporting and storage procedures</w:t>
            </w:r>
          </w:p>
          <w:p w:rsidR="00000000" w:rsidRPr="00295358" w:rsidP="00295358">
            <w:pPr>
              <w:pStyle w:val="BodyText"/>
            </w:pPr>
            <w:r w:rsidRPr="00295358">
              <w:t>T8</w:t>
            </w:r>
            <w:r w:rsidRPr="00295358">
              <w:tab/>
              <w:t>Procedure in providing st</w:t>
            </w:r>
            <w:r w:rsidRPr="00295358">
              <w:t>ore support encompassing:</w:t>
            </w:r>
          </w:p>
          <w:p w:rsidR="00000000" w:rsidRPr="00295358" w:rsidP="00295358">
            <w:pPr>
              <w:pStyle w:val="ListBullet"/>
            </w:pPr>
            <w:r w:rsidRPr="00295358">
              <w:t>Classification and identification of equipment, components and tools</w:t>
            </w:r>
          </w:p>
          <w:p w:rsidR="00000000" w:rsidRPr="00295358" w:rsidP="00295358">
            <w:pPr>
              <w:pStyle w:val="ListBullet"/>
            </w:pPr>
            <w:r w:rsidRPr="00295358">
              <w:t>Procedures for purchasing/ordering items, removing/dispatching items, stocktaking, security, bookkeeping/record keeping</w:t>
            </w:r>
          </w:p>
          <w:p w:rsidR="00000000" w:rsidRPr="00295358" w:rsidP="00295358">
            <w:pPr>
              <w:pStyle w:val="ListBullet"/>
            </w:pPr>
            <w:r w:rsidRPr="00295358">
              <w:t>Material handling - warehouse/depot stor</w:t>
            </w:r>
            <w:r w:rsidRPr="00295358">
              <w:t>age techniques, handling equipment, pallet lift trucks, forklifts, cable drum handling equipment.</w:t>
            </w:r>
          </w:p>
          <w:p w:rsidR="00000000" w:rsidRPr="00295358" w:rsidP="00295358">
            <w:pPr>
              <w:pStyle w:val="ListBullet"/>
            </w:pPr>
            <w:r w:rsidRPr="00295358">
              <w:t>Safety procedures - storage and care of safety equipment, handling hazardous materials, storage of hazardous substances and dangerous goods, depot safety proc</w:t>
            </w:r>
            <w:r w:rsidRPr="00295358">
              <w:t>edures.</w:t>
            </w:r>
          </w:p>
          <w:p w:rsidR="00000000" w:rsidRPr="00295358" w:rsidP="00295358">
            <w:pPr>
              <w:pStyle w:val="ListBullet"/>
            </w:pPr>
            <w:r w:rsidRPr="00295358">
              <w:t>Manufacturers and suppliers information including material safety data sheets (MSDS)</w:t>
            </w:r>
          </w:p>
          <w:p w:rsidR="00000000" w:rsidRPr="00295358" w:rsidP="00295358">
            <w:pPr>
              <w:pStyle w:val="BodyText"/>
            </w:pPr>
            <w:r w:rsidRPr="00295358">
              <w:t>T9</w:t>
            </w:r>
            <w:r w:rsidRPr="00295358">
              <w:tab/>
              <w:t>Filtering and sampling of insulating oil encompassing:</w:t>
            </w:r>
          </w:p>
          <w:p w:rsidR="00000000" w:rsidRPr="00295358" w:rsidP="00295358">
            <w:pPr>
              <w:pStyle w:val="ListBullet"/>
            </w:pPr>
            <w:r w:rsidRPr="00295358">
              <w:t xml:space="preserve">Standards, codes, legislation, supply authority regulations and or enterprise requirements </w:t>
            </w:r>
            <w:r w:rsidRPr="00295358">
              <w:t>associated with filtering and sampling such as - safe handling procedures, personal hygiene, storage and disposal procedures, Occupational Health and Safety hazards and precautions including use of appropriate personal protective equipment, environmental p</w:t>
            </w:r>
            <w:r w:rsidRPr="00295358">
              <w:t>rocedures, effects of contaminates.</w:t>
            </w:r>
          </w:p>
          <w:p w:rsidR="00000000" w:rsidRPr="00295358" w:rsidP="00295358">
            <w:pPr>
              <w:pStyle w:val="ListBullet"/>
            </w:pPr>
            <w:r w:rsidRPr="00295358">
              <w:t>Properties of insulating oil - dielectric strength, moisture content, acidity, sludge.</w:t>
            </w:r>
          </w:p>
          <w:p w:rsidR="00000000" w:rsidRPr="00295358" w:rsidP="00295358">
            <w:pPr>
              <w:pStyle w:val="ListBullet"/>
            </w:pPr>
            <w:r w:rsidRPr="00295358">
              <w:t>Locations where insulating oil is used - transformer, switchgear and oil filled cable.</w:t>
            </w:r>
          </w:p>
          <w:p w:rsidR="00000000" w:rsidRPr="00295358" w:rsidP="00295358">
            <w:pPr>
              <w:pStyle w:val="ListBullet"/>
            </w:pPr>
            <w:r w:rsidRPr="00295358">
              <w:t>Filtering equipment – types, cleaning procedur</w:t>
            </w:r>
            <w:r w:rsidRPr="00295358">
              <w:t>es, method of use.</w:t>
            </w:r>
          </w:p>
          <w:p w:rsidR="00000000" w:rsidRPr="00295358" w:rsidP="00295358">
            <w:pPr>
              <w:pStyle w:val="ListBullet"/>
            </w:pPr>
            <w:r w:rsidRPr="00295358">
              <w:t>Techniques in filtering and sampling insulating oil - methods of sampling, methods of filtering, testing procedures on site, analysing oil effectiveness.</w:t>
            </w:r>
          </w:p>
          <w:p w:rsidR="00000000" w:rsidRPr="00295358" w:rsidP="00295358">
            <w:pPr>
              <w:pStyle w:val="ListBullet"/>
            </w:pPr>
            <w:r w:rsidRPr="00295358">
              <w:t>Frequency of testing</w:t>
            </w:r>
          </w:p>
          <w:p w:rsidR="00000000" w:rsidRPr="00295358" w:rsidP="00295358">
            <w:pPr>
              <w:pStyle w:val="BodyText"/>
            </w:pPr>
            <w:r w:rsidRPr="00295358">
              <w:t>T10</w:t>
            </w:r>
            <w:r w:rsidRPr="00295358">
              <w:tab/>
              <w:t>Powerline safety practices encompassing:</w:t>
            </w:r>
          </w:p>
          <w:p w:rsidR="00000000" w:rsidRPr="00295358" w:rsidP="00295358">
            <w:pPr>
              <w:pStyle w:val="ListBullet"/>
            </w:pPr>
            <w:r w:rsidRPr="00295358">
              <w:t>Protective appar</w:t>
            </w:r>
            <w:r w:rsidRPr="00295358">
              <w:t>atus and apparel for linework - responsibilities for the selection, use, maintenance and storage of protective apparatus and apparel and the types of protective apparatus and apparel used for the line worker</w:t>
            </w:r>
          </w:p>
          <w:p w:rsidR="00000000" w:rsidRPr="00295358" w:rsidP="00295358">
            <w:pPr>
              <w:pStyle w:val="ListBullet"/>
            </w:pPr>
            <w:r w:rsidRPr="00295358">
              <w:t xml:space="preserve">Requirements for the use of ladders - carrying, </w:t>
            </w:r>
            <w:r w:rsidRPr="00295358">
              <w:t>erecting, collapsing and lowering different types of extension ladder against a standing pole, maintenance checks on different types of ladders, renewal of extension ropes and the safety issues relating to clearances from overhead conductors</w:t>
            </w:r>
          </w:p>
          <w:p w:rsidR="00000000" w:rsidRPr="00295358" w:rsidP="00295358">
            <w:pPr>
              <w:pStyle w:val="ListBullet"/>
            </w:pPr>
            <w:r w:rsidRPr="00295358">
              <w:t>Requirements f</w:t>
            </w:r>
            <w:r w:rsidRPr="00295358">
              <w:t>or climbing and working aloft - methods used to identify a pole is safe to climb, methods used to inspect a line worker’s body belt, application of knots and hitches appropriate to the requirements of a line worker, height safety principles including perso</w:t>
            </w:r>
            <w:r w:rsidRPr="00295358">
              <w:t>nal fall protection, prevention and related requirements, and the practical procedure of climbing an overhead structure and fitting a pole chair</w:t>
            </w:r>
          </w:p>
          <w:p w:rsidR="00000000" w:rsidRPr="00295358" w:rsidP="00295358">
            <w:pPr>
              <w:pStyle w:val="ListBullet"/>
            </w:pPr>
            <w:r w:rsidRPr="00295358">
              <w:t>Traffic management - purpose of traffic management and a line worker’s responsibilities in accordance with rele</w:t>
            </w:r>
            <w:r w:rsidRPr="00295358">
              <w:t>vant statutory requirements and electricity supply industry requirements, demonstration of the procedure used to provide an effective traffic management scheme and the use of a two-way radio</w:t>
            </w:r>
          </w:p>
          <w:p w:rsidR="00000000" w:rsidRPr="00295358" w:rsidP="00295358">
            <w:pPr>
              <w:pStyle w:val="ListBullet"/>
            </w:pPr>
            <w:r w:rsidRPr="00295358">
              <w:t xml:space="preserve">Control of small fires - identification, selection and operation </w:t>
            </w:r>
            <w:r w:rsidRPr="00295358">
              <w:t>of the appropriate extinguishing mediums for various types of fires, general fire prevention methods and the precautions for personal protection when fighting small fires</w:t>
            </w:r>
          </w:p>
          <w:p w:rsidR="00000000" w:rsidRPr="00295358" w:rsidP="00295358">
            <w:pPr>
              <w:pStyle w:val="ListBullet"/>
            </w:pPr>
            <w:r w:rsidRPr="00295358">
              <w:t>Rescue victims from heights and confined spaces - planning, identifying, the procedur</w:t>
            </w:r>
            <w:r w:rsidRPr="00295358">
              <w:t>es, and establishing responses, developing techniques, involvement of external emergency services and practical demonstration/rehearsals of rescuing a person from heights and from confined spaces and emergency procedures for the rescue of an electric shock</w:t>
            </w:r>
            <w:r w:rsidRPr="00295358">
              <w:t xml:space="preserve"> victim including CPR</w:t>
            </w:r>
          </w:p>
          <w:p w:rsidR="00000000" w:rsidRPr="00295358" w:rsidP="00295358">
            <w:pPr>
              <w:pStyle w:val="ListBullet"/>
            </w:pPr>
            <w:r w:rsidRPr="00295358">
              <w:t>Requirements for aerial linework - planning, establishing and implementing relevant aviation authority clearances, determining system requirements, aircrew familiarisation with network operations and equipment, requirements for effect</w:t>
            </w:r>
            <w:r w:rsidRPr="00295358">
              <w:t>ive communications operations for aerial work.</w:t>
            </w:r>
          </w:p>
          <w:p w:rsidR="00000000" w:rsidRPr="00295358" w:rsidP="00295358">
            <w:pPr>
              <w:pStyle w:val="BodyText"/>
            </w:pPr>
            <w:r w:rsidRPr="00295358">
              <w:t>T11</w:t>
            </w:r>
            <w:r w:rsidRPr="00295358">
              <w:tab/>
              <w:t>Environmental fundamentals encompassing:</w:t>
            </w:r>
          </w:p>
          <w:p w:rsidR="00000000" w:rsidRPr="00295358" w:rsidP="00295358">
            <w:pPr>
              <w:pStyle w:val="ListBullet"/>
            </w:pPr>
            <w:r w:rsidRPr="00295358">
              <w:t>Environmental standards, codes, environmental legislation, supply authority regulations and or enterprise requirements applicable to the control of environment ass</w:t>
            </w:r>
            <w:r w:rsidRPr="00295358">
              <w:t>ociated with the worksite - relevant federal legislation, relevant state/territory legislation, relevant local government by-laws, relevant government or quasi government policies and regulations, relevant community planning and development agreements (inc</w:t>
            </w:r>
            <w:r w:rsidRPr="00295358">
              <w:t>lude land care agreements)</w:t>
            </w:r>
          </w:p>
          <w:p w:rsidR="00000000" w:rsidRPr="00295358" w:rsidP="00295358">
            <w:pPr>
              <w:pStyle w:val="ListBullet"/>
            </w:pPr>
            <w:r w:rsidRPr="00295358">
              <w:t>Employer and employee responsibilities</w:t>
            </w:r>
          </w:p>
          <w:p w:rsidR="00000000" w:rsidRPr="00295358" w:rsidP="00295358">
            <w:pPr>
              <w:pStyle w:val="ListBullet"/>
            </w:pPr>
            <w:r w:rsidRPr="00295358">
              <w:t>Methods of obtaining information on environmental issues and updates</w:t>
            </w:r>
          </w:p>
          <w:p w:rsidR="00000000" w:rsidRPr="00295358" w:rsidP="00295358">
            <w:pPr>
              <w:pStyle w:val="ListBullet"/>
            </w:pPr>
            <w:r w:rsidRPr="00295358">
              <w:t>Methods of identifying environmental impacts from work related activities</w:t>
            </w:r>
          </w:p>
          <w:p w:rsidR="00000000" w:rsidRPr="00295358" w:rsidP="00295358">
            <w:pPr>
              <w:pStyle w:val="ListBullet"/>
            </w:pPr>
            <w:r w:rsidRPr="00295358">
              <w:t>Meaning of environmental terms - identification, assessment and control of risks, compliance, best practice, sustainable energy.</w:t>
            </w:r>
          </w:p>
          <w:p w:rsidR="00000000" w:rsidRPr="00295358" w:rsidP="00295358">
            <w:pPr>
              <w:pStyle w:val="ListBullet"/>
            </w:pPr>
            <w:r w:rsidRPr="00295358">
              <w:t>Procedures in implementing management plans to ensure compliance</w:t>
            </w:r>
          </w:p>
          <w:p w:rsidR="00000000" w:rsidRPr="00295358" w:rsidP="00295358">
            <w:pPr>
              <w:pStyle w:val="BodyText"/>
            </w:pPr>
            <w:r w:rsidRPr="00295358">
              <w:t>T12</w:t>
            </w:r>
            <w:r w:rsidRPr="00295358">
              <w:tab/>
              <w:t>Material handling and the environment encompassing:</w:t>
            </w:r>
          </w:p>
          <w:p w:rsidR="00000000" w:rsidRPr="00295358" w:rsidP="00295358">
            <w:pPr>
              <w:pStyle w:val="ListBullet"/>
            </w:pPr>
            <w:r w:rsidRPr="00295358">
              <w:t>Metho</w:t>
            </w:r>
            <w:r w:rsidRPr="00295358">
              <w:t>ds of obtaining updated environmental information and data sheets on the proper use and handling of equipment and materials</w:t>
            </w:r>
          </w:p>
          <w:p w:rsidR="00000000" w:rsidRPr="00295358" w:rsidP="00295358">
            <w:pPr>
              <w:pStyle w:val="ListBullet"/>
            </w:pPr>
            <w:r w:rsidRPr="00295358">
              <w:t>Environmental standards, codes, environmental legislation, OHS legislation, hazardous substances/dangerous goods regulations, supply</w:t>
            </w:r>
            <w:r w:rsidRPr="00295358">
              <w:t xml:space="preserve"> authority regulations and or enterprise requirements applicable environmental care when handling materials including provision of manufacturers and suppliers information such as material safety data sheets (MSDS)</w:t>
            </w:r>
          </w:p>
          <w:p w:rsidR="00000000" w:rsidRPr="00295358" w:rsidP="00295358">
            <w:pPr>
              <w:pStyle w:val="ListBullet"/>
            </w:pPr>
            <w:r w:rsidRPr="00295358">
              <w:t>Types and application of personal protecti</w:t>
            </w:r>
            <w:r w:rsidRPr="00295358">
              <w:t>ve equipment used for hazards substances</w:t>
            </w:r>
          </w:p>
          <w:p w:rsidR="00000000" w:rsidRPr="00295358" w:rsidP="00295358">
            <w:pPr>
              <w:pStyle w:val="ListBullet"/>
            </w:pPr>
            <w:r w:rsidRPr="00295358">
              <w:t>Types and application of personal protective equipment used for hazards substances and dangerous goods</w:t>
            </w:r>
          </w:p>
          <w:p w:rsidR="00000000" w:rsidRPr="00295358" w:rsidP="00295358">
            <w:pPr>
              <w:pStyle w:val="ListBullet"/>
            </w:pPr>
            <w:r w:rsidRPr="00295358">
              <w:t>Techniques in handling equipment to eliminate/reduce risks to the environment from spillages of oils, herbicides</w:t>
            </w:r>
            <w:r w:rsidRPr="00295358">
              <w:t>, pesticides and chemicals from such equipment - vehicle loading crane, chainsaw, enterprise vehicles, explosive power tools</w:t>
            </w:r>
          </w:p>
          <w:p w:rsidR="00000000" w:rsidRPr="00295358" w:rsidP="00295358">
            <w:pPr>
              <w:pStyle w:val="ListBullet"/>
            </w:pPr>
            <w:r w:rsidRPr="00295358">
              <w:t xml:space="preserve">Procedures for handling and control of spillages of herbicides </w:t>
            </w:r>
          </w:p>
          <w:p w:rsidR="00000000" w:rsidRPr="00295358" w:rsidP="00295358">
            <w:pPr>
              <w:pStyle w:val="ListBullet"/>
            </w:pPr>
            <w:r w:rsidRPr="00295358">
              <w:t>Methods of disposing and storage of herbicides, pesticides and chem</w:t>
            </w:r>
            <w:r w:rsidRPr="00295358">
              <w:t>icals</w:t>
            </w:r>
          </w:p>
          <w:p w:rsidR="00000000" w:rsidRPr="00295358" w:rsidP="00295358">
            <w:pPr>
              <w:pStyle w:val="ListBullet"/>
            </w:pPr>
            <w:r w:rsidRPr="00295358">
              <w:t>Methods of cleaning mobile plant, equipment and tools</w:t>
            </w:r>
          </w:p>
          <w:p w:rsidR="00000000" w:rsidRPr="00295358" w:rsidP="00295358">
            <w:pPr>
              <w:pStyle w:val="ListBullet"/>
            </w:pPr>
            <w:r w:rsidRPr="00295358">
              <w:t>Recording of data</w:t>
            </w:r>
          </w:p>
          <w:p w:rsidR="00000000" w:rsidRPr="00295358" w:rsidP="00295358">
            <w:pPr>
              <w:pStyle w:val="BodyText"/>
            </w:pPr>
            <w:r w:rsidRPr="00295358">
              <w:t>T13</w:t>
            </w:r>
            <w:r w:rsidRPr="00295358">
              <w:tab/>
              <w:t>Principles of surveying encompassing:</w:t>
            </w:r>
          </w:p>
          <w:p w:rsidR="00000000" w:rsidRPr="00295358" w:rsidP="00295358">
            <w:pPr>
              <w:pStyle w:val="ListBullet"/>
            </w:pPr>
            <w:r w:rsidRPr="00295358">
              <w:t>Standards, codes, legislation, supply authority regulations and or enterprise requirements applicable to surveying in the electricity s</w:t>
            </w:r>
            <w:r w:rsidRPr="00295358">
              <w:t>upply industry</w:t>
            </w:r>
          </w:p>
          <w:p w:rsidR="00000000" w:rsidRPr="00295358" w:rsidP="00295358">
            <w:pPr>
              <w:pStyle w:val="ListBullet"/>
            </w:pPr>
            <w:r w:rsidRPr="00295358">
              <w:t>Survey principles measurement of ground levels, deviation angles, compass bearings</w:t>
            </w:r>
          </w:p>
          <w:p w:rsidR="00000000" w:rsidRPr="00295358" w:rsidP="00295358">
            <w:pPr>
              <w:pStyle w:val="ListBullet"/>
            </w:pPr>
            <w:r w:rsidRPr="00295358">
              <w:t>Basic survey of short distribution line extension.</w:t>
            </w:r>
          </w:p>
        </w:tc>
      </w:tr>
    </w:tbl>
    <w:p w:rsidR="00000000" w:rsidRPr="00295358" w:rsidP="00295358">
      <w:pPr>
        <w:pStyle w:val="BodyText"/>
      </w:pPr>
    </w:p>
    <w:p w:rsidR="00000000" w:rsidRPr="00295358" w:rsidP="00295358">
      <w:pPr>
        <w:pStyle w:val="AllowPageBreak"/>
      </w:pPr>
    </w:p>
    <w:p w:rsidR="00000000" w:rsidRPr="00295358" w:rsidP="00295358">
      <w:pPr>
        <w:pStyle w:val="Heading1"/>
      </w:pPr>
      <w:bookmarkStart w:id="10" w:name="O_460802"/>
      <w:bookmarkEnd w:id="10"/>
      <w:r w:rsidRPr="00295358">
        <w:t>Evidence Guide</w:t>
      </w:r>
    </w:p>
    <w:tbl>
      <w:tblPr>
        <w:tblW w:w="0" w:type="auto"/>
        <w:tblLayout w:type="fixed"/>
        <w:tblCellMar>
          <w:left w:w="62" w:type="dxa"/>
          <w:right w:w="62" w:type="dxa"/>
        </w:tblCellMar>
        <w:tblLook w:val="0000"/>
      </w:tblPr>
      <w:tblGrid>
        <w:gridCol w:w="8460"/>
      </w:tblGrid>
      <w:tr w:rsidTr="00D17C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EVIDENCE GUIDE</w:t>
            </w:r>
          </w:p>
        </w:tc>
      </w:tr>
      <w:tr w:rsidTr="00D17C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9)</w:t>
            </w:r>
            <w:r w:rsidRPr="00295358">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295358" w:rsidP="00295358">
            <w:pPr>
              <w:pStyle w:val="BodyText"/>
            </w:pPr>
            <w:r w:rsidRPr="00295358">
              <w:t>The Evidence Guide form</w:t>
            </w:r>
            <w:r w:rsidRPr="00295358">
              <w:t>s an integral part of this Competency Standard Unit and shall be used in conjunction with all component parts of this unit and, performed in accordance with the Assessment Guidelines of this Training Package.</w:t>
            </w:r>
          </w:p>
        </w:tc>
      </w:tr>
    </w:tbl>
    <w:p w:rsidR="00000000" w:rsidRPr="00295358" w:rsidP="00295358">
      <w:pPr>
        <w:pStyle w:val="BodyText"/>
      </w:pPr>
    </w:p>
    <w:tbl>
      <w:tblPr>
        <w:tblW w:w="0" w:type="auto"/>
        <w:tblLayout w:type="fixed"/>
        <w:tblCellMar>
          <w:left w:w="62" w:type="dxa"/>
          <w:right w:w="62" w:type="dxa"/>
        </w:tblCellMar>
        <w:tblLook w:val="0000"/>
      </w:tblPr>
      <w:tblGrid>
        <w:gridCol w:w="1890"/>
        <w:gridCol w:w="6570"/>
      </w:tblGrid>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9.1)</w:t>
            </w:r>
          </w:p>
        </w:tc>
      </w:tr>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Longitudinal competency development approaches to assessment, such as Profiling, require data to be reliably gathered in a form that can be consistently interpreted over time. This approach is best utilised in Apprenticeship programs and reduces assessment</w:t>
            </w:r>
            <w:r w:rsidRPr="0029535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95358">
              <w:t>tency in a realistically simulated work environment. It is recognised that, in some circumstances, assessment in part or full can occur outside the workplace. However, it must be in accord with Industry and, Regulatory policy in this regard.</w:t>
            </w:r>
          </w:p>
          <w:p w:rsidR="00000000" w:rsidRPr="00295358" w:rsidP="00295358">
            <w:pPr>
              <w:pStyle w:val="BodyText"/>
            </w:pPr>
            <w:r w:rsidRPr="00295358">
              <w:t>Methods chosen</w:t>
            </w:r>
            <w:r w:rsidRPr="0029535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95358">
              <w:t>equired and the critical nature of the competencies being assessed.</w:t>
            </w:r>
          </w:p>
          <w:p w:rsidR="00000000" w:rsidRPr="00295358" w:rsidP="00295358">
            <w:pPr>
              <w:pStyle w:val="BodyText"/>
            </w:pPr>
            <w:r w:rsidRPr="00295358">
              <w:t>The critical safety nature of working with electricity, electrical equipment, gas or any other hazardous substance/material carries risk in deeming a person competent. Hence, sources of ev</w:t>
            </w:r>
            <w:r w:rsidRPr="00295358">
              <w:t>idence need to be ‘rich’ in nature so as to minimise error in judgment.</w:t>
            </w:r>
          </w:p>
          <w:p w:rsidR="00000000" w:rsidRPr="00295358" w:rsidP="00295358">
            <w:pPr>
              <w:pStyle w:val="BodyText"/>
            </w:pPr>
            <w:r w:rsidRPr="00295358">
              <w:t>Activities associated with normal every day work have a bearing on the decision as to how much and how detailed the data gathered will contribute to its ‘richness’. Some skills are mor</w:t>
            </w:r>
            <w:r w:rsidRPr="00295358">
              <w:t>e critical to safety and operational requirements while the same skills may be more or less frequently practiced. These points are raised for the assessors to consider when choosing an assessment method and developing assessment instruments. Sample assessm</w:t>
            </w:r>
            <w:r w:rsidRPr="00295358">
              <w:t>ent instruments are included for Assessors in the Assessment Guidelines of this Training Package.</w:t>
            </w:r>
          </w:p>
        </w:tc>
      </w:tr>
    </w:tbl>
    <w:p w:rsidR="00000000" w:rsidRPr="00295358" w:rsidP="00295358">
      <w:pPr>
        <w:pStyle w:val="BodyText"/>
      </w:pPr>
    </w:p>
    <w:tbl>
      <w:tblPr>
        <w:tblW w:w="0" w:type="auto"/>
        <w:tblLayout w:type="fixed"/>
        <w:tblCellMar>
          <w:left w:w="62" w:type="dxa"/>
          <w:right w:w="62" w:type="dxa"/>
        </w:tblCellMar>
        <w:tblLook w:val="0000"/>
      </w:tblPr>
      <w:tblGrid>
        <w:gridCol w:w="1890"/>
        <w:gridCol w:w="720"/>
        <w:gridCol w:w="1350"/>
        <w:gridCol w:w="2070"/>
        <w:gridCol w:w="2430"/>
      </w:tblGrid>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9.2)</w:t>
            </w:r>
          </w:p>
        </w:tc>
      </w:tr>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Before the critical aspects of evidence are considered all prerequisi</w:t>
            </w:r>
            <w:r w:rsidRPr="00295358">
              <w:t>tes shall be met.</w:t>
            </w:r>
          </w:p>
          <w:p w:rsidR="00000000" w:rsidRPr="00295358" w:rsidP="00295358">
            <w:pPr>
              <w:pStyle w:val="BodyText"/>
            </w:pPr>
            <w:r w:rsidRPr="00295358">
              <w:t xml:space="preserve">Evidence for competence in this unit shall be considered holistically. Each element and associated Performance Criteria shall be demonstrated on at least two occasions in accordance with the “Assessment Guidelines – UET12”. Evidence </w:t>
            </w:r>
            <w:r w:rsidRPr="00295358">
              <w:t>shall also comprise:</w:t>
            </w:r>
          </w:p>
          <w:p w:rsidR="00000000" w:rsidRPr="00295358" w:rsidP="00295358">
            <w:pPr>
              <w:pStyle w:val="ListBullet"/>
            </w:pPr>
            <w:r w:rsidRPr="00295358">
              <w:t>A representative body of Performance Criteria demonstrated within the timeframes typically expected of the discipline, work function and industrial environment. In particular this shall incorporate evidence that shows a candidate is a</w:t>
            </w:r>
            <w:r w:rsidRPr="00295358">
              <w:t>ble to:</w:t>
            </w:r>
          </w:p>
          <w:p w:rsidR="00000000" w:rsidRPr="00295358" w:rsidP="00295358">
            <w:pPr>
              <w:pStyle w:val="ListBullet2"/>
            </w:pPr>
            <w:r w:rsidRPr="00295358">
              <w:t>Implement Occupational Health and Safety workplace procedures and practices including the use of risk control measures as specified in the Performance Criteria and range; and</w:t>
            </w:r>
          </w:p>
          <w:p w:rsidR="00000000" w:rsidRPr="00295358" w:rsidP="00295358">
            <w:pPr>
              <w:pStyle w:val="ListBullet2"/>
            </w:pPr>
            <w:r w:rsidRPr="00295358">
              <w:t>Apply sustainable energy principles and practices as specified in the Pe</w:t>
            </w:r>
            <w:r w:rsidRPr="00295358">
              <w:t>rformance Criteria and range; and</w:t>
            </w:r>
          </w:p>
          <w:p w:rsidR="00000000" w:rsidRPr="00295358" w:rsidP="00295358">
            <w:pPr>
              <w:pStyle w:val="ListBullet2"/>
            </w:pPr>
            <w:r w:rsidRPr="00295358">
              <w:t>Demonstrate an understanding of the essential knowledge and associated skills as described in this unit to such an extent that the learner’s performance outcome is reported in accordance with the preferred approach; namely</w:t>
            </w:r>
            <w:r w:rsidRPr="00295358">
              <w:t xml:space="preserve"> a percentile graded result, where required by the regulated environment; and</w:t>
            </w:r>
          </w:p>
          <w:p w:rsidR="00000000" w:rsidRPr="00295358" w:rsidP="00295358">
            <w:pPr>
              <w:pStyle w:val="ListBullet2"/>
            </w:pPr>
            <w:r w:rsidRPr="00295358">
              <w:t>Demonstrate an appropriate level of employability skills; and</w:t>
            </w:r>
          </w:p>
          <w:p w:rsidR="00000000" w:rsidRPr="00295358" w:rsidP="00295358">
            <w:pPr>
              <w:pStyle w:val="ListBullet"/>
            </w:pPr>
            <w:r w:rsidRPr="00295358">
              <w:t>Conduct work observing the relevant Anti Discrimination legislation, regulations, policies and workplace procedures</w:t>
            </w:r>
            <w:r w:rsidRPr="00295358">
              <w:t>; and</w:t>
            </w:r>
          </w:p>
          <w:p w:rsidR="00000000" w:rsidP="00295358">
            <w:pPr>
              <w:pStyle w:val="ListBullet2"/>
              <w:rPr>
                <w:lang w:val="en-NZ"/>
              </w:rPr>
            </w:pPr>
            <w:r w:rsidRPr="00295358">
              <w:t>Demonstrated performance across a representative range of contexts from the prescribed items below:</w:t>
            </w:r>
          </w:p>
        </w:tc>
      </w:tr>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9535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58">
            <w:pPr>
              <w:pStyle w:val="BodyText"/>
              <w:rPr>
                <w:lang w:val="en-NZ"/>
              </w:rPr>
            </w:pPr>
            <w:r w:rsidRPr="00295358">
              <w:rPr>
                <w:rStyle w:val="SpecialBold"/>
              </w:rPr>
              <w:t>Range of tools/equipment/materials/procedures/workplaces/other variables</w:t>
            </w:r>
          </w:p>
        </w:tc>
      </w:tr>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95358">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58" w:rsidP="00295358">
            <w:pPr>
              <w:pStyle w:val="BodyText"/>
            </w:pPr>
            <w:r w:rsidRPr="00295358">
              <w:rPr>
                <w:rStyle w:val="SpecialBold"/>
              </w:rPr>
              <w:t>Group No</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58" w:rsidP="00295358">
            <w:pPr>
              <w:pStyle w:val="BodyText"/>
            </w:pPr>
            <w:r w:rsidRPr="00295358">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58">
            <w:pPr>
              <w:pStyle w:val="BodyText"/>
              <w:rPr>
                <w:lang w:val="en-NZ"/>
              </w:rPr>
            </w:pPr>
            <w:r w:rsidRPr="00295358">
              <w:rPr>
                <w:rStyle w:val="SpecialBold"/>
              </w:rPr>
              <w:t>Item List</w:t>
            </w:r>
          </w:p>
        </w:tc>
      </w:tr>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58">
            <w:pPr>
              <w:pStyle w:val="BodyText"/>
              <w:rPr>
                <w:lang w:val="en-NZ"/>
              </w:rPr>
            </w:pPr>
            <w:r w:rsidRPr="00295358">
              <w:t>A</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58">
            <w:pPr>
              <w:pStyle w:val="BodyText"/>
              <w:rPr>
                <w:lang w:val="en-NZ"/>
              </w:rPr>
            </w:pPr>
            <w:r w:rsidRPr="0029535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58" w:rsidP="00295358">
            <w:pPr>
              <w:pStyle w:val="BodyText"/>
            </w:pPr>
            <w:r w:rsidRPr="00295358">
              <w:t xml:space="preserve">Survey techniques </w:t>
            </w:r>
          </w:p>
          <w:p w:rsidR="00000000" w:rsidRPr="00295358" w:rsidP="00295358">
            <w:pPr>
              <w:pStyle w:val="BodyText"/>
            </w:pPr>
            <w:r w:rsidRPr="00295358">
              <w:t>Set out and peg excavation markers</w:t>
            </w:r>
          </w:p>
          <w:p w:rsidR="00000000" w:rsidP="00295358">
            <w:pPr>
              <w:pStyle w:val="BodyText"/>
              <w:rPr>
                <w:lang w:val="en-NZ"/>
              </w:rPr>
            </w:pPr>
            <w:r w:rsidRPr="00295358">
              <w:t>Establish the tower stub to ground level</w:t>
            </w:r>
          </w:p>
        </w:tc>
      </w:tr>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58">
            <w:pPr>
              <w:pStyle w:val="BodyText"/>
              <w:rPr>
                <w:lang w:val="en-NZ"/>
              </w:rPr>
            </w:pPr>
            <w:r w:rsidRPr="00295358">
              <w:t>B</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58">
            <w:pPr>
              <w:pStyle w:val="BodyText"/>
              <w:rPr>
                <w:lang w:val="en-NZ"/>
              </w:rPr>
            </w:pPr>
            <w:r w:rsidRPr="0029535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58" w:rsidP="00295358">
            <w:pPr>
              <w:pStyle w:val="BodyText"/>
            </w:pPr>
            <w:r w:rsidRPr="00295358">
              <w:t>Dealing with an unplanned event by drawing on essential knowledge and associated skills to provide appropriate solutions incorporated in the holistic assessment with the above listed items.</w:t>
            </w:r>
          </w:p>
        </w:tc>
      </w:tr>
    </w:tbl>
    <w:p w:rsidR="00000000" w:rsidRPr="00295358" w:rsidP="00295358">
      <w:pPr>
        <w:pStyle w:val="BodyText"/>
      </w:pPr>
    </w:p>
    <w:tbl>
      <w:tblPr>
        <w:tblW w:w="0" w:type="auto"/>
        <w:tblLayout w:type="fixed"/>
        <w:tblCellMar>
          <w:left w:w="62" w:type="dxa"/>
          <w:right w:w="62" w:type="dxa"/>
        </w:tblCellMar>
        <w:tblLook w:val="0000"/>
      </w:tblPr>
      <w:tblGrid>
        <w:gridCol w:w="1890"/>
        <w:gridCol w:w="6570"/>
      </w:tblGrid>
      <w:tr w:rsidTr="00D17CF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9.3)</w:t>
            </w:r>
          </w:p>
        </w:tc>
      </w:tr>
      <w:tr w:rsidTr="00D17CF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This unit should be assessed as it relates to normal work practice using procedures, information and resources typical of a workplace. This should include:</w:t>
            </w:r>
          </w:p>
          <w:p w:rsidR="00000000" w:rsidRPr="00295358" w:rsidP="00295358">
            <w:pPr>
              <w:pStyle w:val="ListBullet"/>
            </w:pPr>
            <w:r w:rsidRPr="00295358">
              <w:t>OHS policy and work procedures and instructions.</w:t>
            </w:r>
          </w:p>
          <w:p w:rsidR="00000000" w:rsidRPr="00295358" w:rsidP="00295358">
            <w:pPr>
              <w:pStyle w:val="ListBullet"/>
            </w:pPr>
            <w:r w:rsidRPr="00295358">
              <w:t>Suitable work environment, facilities, equipment a</w:t>
            </w:r>
            <w:r w:rsidRPr="00295358">
              <w:t xml:space="preserve">nd materials to undertake actual construction of lattice type tower stubs. </w:t>
            </w:r>
          </w:p>
          <w:p w:rsidR="00000000" w:rsidRPr="00295358" w:rsidP="00295358">
            <w:pPr>
              <w:pStyle w:val="BodyText"/>
            </w:pPr>
            <w:r w:rsidRPr="00295358">
              <w:t>In addition to the resources listed above, in Context of and specific resources for assessment, evidence should show demonstrated competency working below ground, in limited spaces</w:t>
            </w:r>
            <w:r w:rsidRPr="00295358">
              <w:t>, with different structural/construction types and method and in a variety of environments</w:t>
            </w:r>
          </w:p>
        </w:tc>
      </w:tr>
    </w:tbl>
    <w:p w:rsidR="00000000" w:rsidRPr="00295358" w:rsidP="00295358">
      <w:pPr>
        <w:pStyle w:val="BodyText"/>
      </w:pPr>
    </w:p>
    <w:tbl>
      <w:tblPr>
        <w:tblW w:w="0" w:type="auto"/>
        <w:tblLayout w:type="fixed"/>
        <w:tblCellMar>
          <w:left w:w="62" w:type="dxa"/>
          <w:right w:w="62" w:type="dxa"/>
        </w:tblCellMar>
        <w:tblLook w:val="0000"/>
      </w:tblPr>
      <w:tblGrid>
        <w:gridCol w:w="1890"/>
        <w:gridCol w:w="6570"/>
      </w:tblGrid>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9.4)</w:t>
            </w:r>
          </w:p>
        </w:tc>
      </w:tr>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This Competency Standard Unit shall be assessed by methods given in Volume 1, Part 3 “Assessment Guidelines”.</w:t>
            </w:r>
          </w:p>
          <w:p w:rsidR="00000000" w:rsidRPr="00295358" w:rsidP="00295358">
            <w:pPr>
              <w:pStyle w:val="BodyText"/>
            </w:pPr>
            <w:r w:rsidRPr="00295358">
              <w:t>Note:</w:t>
            </w:r>
          </w:p>
          <w:p w:rsidR="00000000" w:rsidRPr="00295358" w:rsidP="00295358">
            <w:pPr>
              <w:pStyle w:val="BodyText"/>
            </w:pPr>
            <w:r w:rsidRPr="00295358">
              <w:t>Competent performance with inherent safe working practices is expected in the Transmission, Distribution and Rail Traction Industry. This requires that the specified essential knowledge and associated skills are assessed in a structured environment which i</w:t>
            </w:r>
            <w:r w:rsidRPr="00295358">
              <w:t>s primarily intended for learning/assessment and incorporates all necessary equipment and facilities for learners to develop and demonstrate the essential knowledge and associated skills described in this unit.</w:t>
            </w:r>
          </w:p>
        </w:tc>
      </w:tr>
    </w:tbl>
    <w:p w:rsidR="00000000" w:rsidRPr="00295358" w:rsidP="00295358">
      <w:pPr>
        <w:pStyle w:val="BodyText"/>
      </w:pPr>
    </w:p>
    <w:tbl>
      <w:tblPr>
        <w:tblW w:w="0" w:type="auto"/>
        <w:tblLayout w:type="fixed"/>
        <w:tblCellMar>
          <w:left w:w="62" w:type="dxa"/>
          <w:right w:w="62" w:type="dxa"/>
        </w:tblCellMar>
        <w:tblLook w:val="0000"/>
      </w:tblPr>
      <w:tblGrid>
        <w:gridCol w:w="1890"/>
        <w:gridCol w:w="6570"/>
      </w:tblGrid>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Concurrent assessment and relationship with</w:t>
            </w:r>
            <w:r w:rsidRPr="00295358">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9.5)</w:t>
            </w:r>
          </w:p>
        </w:tc>
      </w:tr>
      <w:tr w:rsidTr="00D17CF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There are no concurrent assessment recommendations for this unit.</w:t>
            </w:r>
          </w:p>
        </w:tc>
      </w:tr>
    </w:tbl>
    <w:p w:rsidR="00000000" w:rsidRPr="00295358" w:rsidP="00295358">
      <w:pPr>
        <w:pStyle w:val="BodyText"/>
      </w:pPr>
    </w:p>
    <w:p w:rsidR="00000000" w:rsidRPr="00295358" w:rsidP="00295358">
      <w:pPr>
        <w:pStyle w:val="AllowPageBreak"/>
      </w:pPr>
    </w:p>
    <w:p w:rsidR="00000000" w:rsidRPr="00295358" w:rsidP="00295358">
      <w:pPr>
        <w:pStyle w:val="Heading1"/>
      </w:pPr>
      <w:bookmarkStart w:id="11" w:name="O_460806"/>
      <w:bookmarkEnd w:id="11"/>
      <w:r w:rsidRPr="00295358">
        <w:t>Range Statement</w:t>
      </w:r>
    </w:p>
    <w:tbl>
      <w:tblPr>
        <w:tblW w:w="0" w:type="auto"/>
        <w:tblLayout w:type="fixed"/>
        <w:tblCellMar>
          <w:left w:w="62" w:type="dxa"/>
          <w:right w:w="62" w:type="dxa"/>
        </w:tblCellMar>
        <w:tblLook w:val="0000"/>
      </w:tblPr>
      <w:tblGrid>
        <w:gridCol w:w="8460"/>
      </w:tblGrid>
      <w:tr w:rsidTr="00D17C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RANGE STATEMENT</w:t>
            </w:r>
          </w:p>
        </w:tc>
      </w:tr>
      <w:tr w:rsidTr="00D17C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10)</w:t>
            </w:r>
            <w:r w:rsidRPr="00295358">
              <w:t xml:space="preserve"> This relates to the unit of competency as a whole providing the range of contexts and conditions </w:t>
            </w:r>
            <w:r w:rsidRPr="00295358">
              <w:t>to which the Performance Criteria apply. It allows for different work environments and situations that will affect performance.</w:t>
            </w:r>
          </w:p>
          <w:p w:rsidR="00000000" w:rsidRPr="00295358" w:rsidP="00295358">
            <w:pPr>
              <w:pStyle w:val="BodyText"/>
            </w:pPr>
            <w:r w:rsidRPr="00295358">
              <w:t>This Competency Standard Unit shall be demonstrated in relation to the construction of lattice type transmission towers.</w:t>
            </w:r>
          </w:p>
          <w:p w:rsidR="00000000" w:rsidRPr="00295358" w:rsidP="00295358">
            <w:pPr>
              <w:pStyle w:val="BodyText"/>
            </w:pPr>
            <w:r w:rsidRPr="00295358">
              <w:t>The fol</w:t>
            </w:r>
            <w:r w:rsidRPr="00295358">
              <w:t>lowing constants and variables included in the element/Performance Criteria in this unit are fully described in the Definitions Section 1 of this volume and form an integral part of the Range Statement of this unit:</w:t>
            </w:r>
          </w:p>
          <w:p w:rsidR="00000000" w:rsidRPr="00295358" w:rsidP="00295358">
            <w:pPr>
              <w:pStyle w:val="ListBullet3"/>
            </w:pPr>
            <w:r w:rsidRPr="00295358">
              <w:t>Appropriate and relevant persons (see P</w:t>
            </w:r>
            <w:r w:rsidRPr="00295358">
              <w:t>ersonnel)</w:t>
            </w:r>
          </w:p>
          <w:p w:rsidR="00000000" w:rsidRPr="00295358" w:rsidP="00295358">
            <w:pPr>
              <w:pStyle w:val="ListBullet3"/>
            </w:pPr>
            <w:r w:rsidRPr="00295358">
              <w:t>Appropriate authorities</w:t>
            </w:r>
          </w:p>
          <w:p w:rsidR="00000000" w:rsidRPr="00295358" w:rsidP="00295358">
            <w:pPr>
              <w:pStyle w:val="ListBullet3"/>
            </w:pPr>
            <w:r w:rsidRPr="00295358">
              <w:t>Appropriate work platform</w:t>
            </w:r>
          </w:p>
          <w:p w:rsidR="00000000" w:rsidRPr="00295358" w:rsidP="00295358">
            <w:pPr>
              <w:pStyle w:val="ListBullet3"/>
            </w:pPr>
            <w:r w:rsidRPr="00295358">
              <w:t>Assessing risk</w:t>
            </w:r>
          </w:p>
          <w:p w:rsidR="00000000" w:rsidRPr="00295358" w:rsidP="00295358">
            <w:pPr>
              <w:pStyle w:val="ListBullet3"/>
            </w:pPr>
            <w:r w:rsidRPr="00295358">
              <w:t>Assessment</w:t>
            </w:r>
          </w:p>
          <w:p w:rsidR="00000000" w:rsidRPr="00295358" w:rsidP="00295358">
            <w:pPr>
              <w:pStyle w:val="ListBullet3"/>
            </w:pPr>
            <w:r w:rsidRPr="00295358">
              <w:t>Authorisation</w:t>
            </w:r>
          </w:p>
          <w:p w:rsidR="00000000" w:rsidRPr="00295358" w:rsidP="00295358">
            <w:pPr>
              <w:pStyle w:val="ListBullet3"/>
            </w:pPr>
            <w:r w:rsidRPr="00295358">
              <w:t>Diagnostic, testing and restoration</w:t>
            </w:r>
          </w:p>
          <w:p w:rsidR="00000000" w:rsidRPr="00295358" w:rsidP="00295358">
            <w:pPr>
              <w:pStyle w:val="ListBullet3"/>
            </w:pPr>
            <w:r w:rsidRPr="00295358">
              <w:t>Documenting detail work events, record keeping and or storage of information</w:t>
            </w:r>
          </w:p>
          <w:p w:rsidR="00000000" w:rsidRPr="00295358" w:rsidP="00295358">
            <w:pPr>
              <w:pStyle w:val="ListBullet3"/>
            </w:pPr>
            <w:r w:rsidRPr="00295358">
              <w:t>Drawings and specifications</w:t>
            </w:r>
          </w:p>
          <w:p w:rsidR="00000000" w:rsidRPr="00295358" w:rsidP="00295358">
            <w:pPr>
              <w:pStyle w:val="ListBullet3"/>
            </w:pPr>
            <w:r w:rsidRPr="00295358">
              <w:t>Emergency</w:t>
            </w:r>
          </w:p>
          <w:p w:rsidR="00000000" w:rsidRPr="00295358" w:rsidP="00295358">
            <w:pPr>
              <w:pStyle w:val="ListBullet3"/>
            </w:pPr>
            <w:r w:rsidRPr="00295358">
              <w:t>Envir</w:t>
            </w:r>
            <w:r w:rsidRPr="00295358">
              <w:t>onmental and sustainable energy procedures</w:t>
            </w:r>
          </w:p>
          <w:p w:rsidR="00000000" w:rsidRPr="00295358" w:rsidP="00295358">
            <w:pPr>
              <w:pStyle w:val="ListBullet3"/>
            </w:pPr>
            <w:r w:rsidRPr="00295358">
              <w:t>Environmental legislation</w:t>
            </w:r>
          </w:p>
          <w:p w:rsidR="00000000" w:rsidRPr="00295358" w:rsidP="00295358">
            <w:pPr>
              <w:pStyle w:val="ListBullet3"/>
            </w:pPr>
            <w:r w:rsidRPr="00295358">
              <w:t>Environmental management documentation</w:t>
            </w:r>
          </w:p>
          <w:p w:rsidR="00000000" w:rsidRPr="00295358" w:rsidP="00295358">
            <w:pPr>
              <w:pStyle w:val="ListBullet3"/>
            </w:pPr>
            <w:r w:rsidRPr="00295358">
              <w:t>Established procedures</w:t>
            </w:r>
          </w:p>
          <w:p w:rsidR="00000000" w:rsidRPr="00295358" w:rsidP="00295358">
            <w:pPr>
              <w:pStyle w:val="ListBullet3"/>
            </w:pPr>
            <w:r w:rsidRPr="00295358">
              <w:t>Fall prevention</w:t>
            </w:r>
          </w:p>
          <w:p w:rsidR="00000000" w:rsidRPr="00295358" w:rsidP="00295358">
            <w:pPr>
              <w:pStyle w:val="ListBullet3"/>
            </w:pPr>
            <w:r w:rsidRPr="00295358">
              <w:t>Hazards</w:t>
            </w:r>
          </w:p>
          <w:p w:rsidR="00000000" w:rsidRPr="00295358" w:rsidP="00295358">
            <w:pPr>
              <w:pStyle w:val="ListBullet3"/>
            </w:pPr>
            <w:r w:rsidRPr="00295358">
              <w:t>Identifying hazards</w:t>
            </w:r>
          </w:p>
          <w:p w:rsidR="00000000" w:rsidRPr="00295358" w:rsidP="00295358">
            <w:pPr>
              <w:pStyle w:val="ListBullet3"/>
            </w:pPr>
            <w:r w:rsidRPr="00295358">
              <w:t>Inspect</w:t>
            </w:r>
          </w:p>
          <w:p w:rsidR="00000000" w:rsidRPr="00295358" w:rsidP="00295358">
            <w:pPr>
              <w:pStyle w:val="ListBullet3"/>
            </w:pPr>
            <w:r w:rsidRPr="00295358">
              <w:t>Legislation</w:t>
            </w:r>
          </w:p>
          <w:p w:rsidR="00000000" w:rsidRPr="00295358" w:rsidP="00295358">
            <w:pPr>
              <w:pStyle w:val="ListBullet3"/>
            </w:pPr>
            <w:r w:rsidRPr="00295358">
              <w:t>MSDS</w:t>
            </w:r>
          </w:p>
          <w:p w:rsidR="00000000" w:rsidRPr="00295358" w:rsidP="00295358">
            <w:pPr>
              <w:pStyle w:val="ListBullet3"/>
            </w:pPr>
            <w:r w:rsidRPr="00295358">
              <w:t>Notification.</w:t>
            </w:r>
          </w:p>
          <w:p w:rsidR="00000000" w:rsidRPr="00295358" w:rsidP="00295358">
            <w:pPr>
              <w:pStyle w:val="ListBullet3"/>
            </w:pPr>
            <w:r w:rsidRPr="00295358">
              <w:t>OHS practices</w:t>
            </w:r>
          </w:p>
          <w:p w:rsidR="00000000" w:rsidRPr="00295358" w:rsidP="00295358">
            <w:pPr>
              <w:pStyle w:val="ListBullet3"/>
            </w:pPr>
            <w:r w:rsidRPr="00295358">
              <w:t>OHS issues</w:t>
            </w:r>
          </w:p>
          <w:p w:rsidR="00000000" w:rsidRPr="00295358" w:rsidP="00295358">
            <w:pPr>
              <w:pStyle w:val="ListBullet3"/>
            </w:pPr>
            <w:r w:rsidRPr="00295358">
              <w:t>Permits and/or permits to work</w:t>
            </w:r>
          </w:p>
          <w:p w:rsidR="00000000" w:rsidRPr="00295358" w:rsidP="00295358">
            <w:pPr>
              <w:pStyle w:val="ListBullet3"/>
            </w:pPr>
            <w:r w:rsidRPr="00295358">
              <w:t>Personnel</w:t>
            </w:r>
          </w:p>
          <w:p w:rsidR="00000000" w:rsidRPr="00295358" w:rsidP="00295358">
            <w:pPr>
              <w:pStyle w:val="ListBullet3"/>
            </w:pPr>
            <w:r w:rsidRPr="00295358">
              <w:t>Quality assurance systems</w:t>
            </w:r>
          </w:p>
          <w:p w:rsidR="00000000" w:rsidRPr="00295358" w:rsidP="00295358">
            <w:pPr>
              <w:pStyle w:val="ListBullet3"/>
            </w:pPr>
            <w:r w:rsidRPr="00295358">
              <w:t>Requirements</w:t>
            </w:r>
          </w:p>
          <w:p w:rsidR="00000000" w:rsidRPr="00295358" w:rsidP="00295358">
            <w:pPr>
              <w:pStyle w:val="ListBullet3"/>
            </w:pPr>
            <w:r w:rsidRPr="00295358">
              <w:t>Testing procedures</w:t>
            </w:r>
          </w:p>
          <w:p w:rsidR="00000000" w:rsidRPr="00295358" w:rsidP="00295358">
            <w:pPr>
              <w:pStyle w:val="ListBullet3"/>
            </w:pPr>
            <w:r w:rsidRPr="00295358">
              <w:t>Work clearance systems</w:t>
            </w:r>
          </w:p>
        </w:tc>
      </w:tr>
    </w:tbl>
    <w:p w:rsidR="00000000" w:rsidRPr="00295358" w:rsidP="00295358">
      <w:pPr>
        <w:pStyle w:val="BodyText"/>
      </w:pPr>
    </w:p>
    <w:p w:rsidR="00000000" w:rsidRPr="00295358" w:rsidP="00295358">
      <w:pPr>
        <w:pStyle w:val="AllowPageBreak"/>
      </w:pPr>
    </w:p>
    <w:p w:rsidR="00000000" w:rsidRPr="00295358" w:rsidP="00295358">
      <w:pPr>
        <w:pStyle w:val="Heading1"/>
      </w:pPr>
      <w:bookmarkStart w:id="12" w:name="O_460809"/>
      <w:bookmarkEnd w:id="12"/>
      <w:r w:rsidRPr="00295358">
        <w:t>Unit Sector(s)</w:t>
      </w:r>
    </w:p>
    <w:p w:rsidR="00000000" w:rsidRPr="00295358" w:rsidP="00295358">
      <w:pPr>
        <w:pStyle w:val="BodyText"/>
      </w:pPr>
      <w:r w:rsidRPr="00295358">
        <w:t>Not applicable.</w:t>
      </w:r>
    </w:p>
    <w:p w:rsidR="00000000" w:rsidRPr="00295358" w:rsidP="00295358">
      <w:pPr>
        <w:pStyle w:val="AllowPageBreak"/>
      </w:pPr>
    </w:p>
    <w:p w:rsidR="00000000" w:rsidRPr="00295358" w:rsidP="00295358">
      <w:pPr>
        <w:pStyle w:val="Heading1"/>
      </w:pPr>
      <w:bookmarkStart w:id="13" w:name="O_460798"/>
      <w:bookmarkEnd w:id="13"/>
      <w:r w:rsidRPr="00295358">
        <w:t>Competency Field</w:t>
      </w:r>
    </w:p>
    <w:tbl>
      <w:tblPr>
        <w:tblW w:w="0" w:type="auto"/>
        <w:tblLayout w:type="fixed"/>
        <w:tblCellMar>
          <w:left w:w="62" w:type="dxa"/>
          <w:right w:w="62" w:type="dxa"/>
        </w:tblCellMar>
        <w:tblLook w:val="0000"/>
      </w:tblPr>
      <w:tblGrid>
        <w:gridCol w:w="2700"/>
        <w:gridCol w:w="5760"/>
      </w:tblGrid>
      <w:tr w:rsidTr="00D17C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95358">
            <w:pPr>
              <w:pStyle w:val="BodyText"/>
              <w:rPr>
                <w:lang w:val="en-NZ"/>
              </w:rPr>
            </w:pPr>
            <w:r w:rsidRPr="00295358">
              <w:rPr>
                <w:rStyle w:val="SpecialBold"/>
              </w:rPr>
              <w:t xml:space="preserve">11) </w:t>
            </w:r>
          </w:p>
        </w:tc>
      </w:tr>
      <w:tr w:rsidTr="00D17C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5358" w:rsidP="00295358">
            <w:pPr>
              <w:pStyle w:val="BodyText"/>
            </w:pPr>
            <w:r w:rsidRPr="00295358">
              <w:t>Transmission Units</w:t>
            </w:r>
          </w:p>
        </w:tc>
      </w:tr>
    </w:tbl>
    <w:p w:rsidR="00000000" w:rsidRPr="00295358" w:rsidP="00295358">
      <w:pPr>
        <w:pStyle w:val="BodyText"/>
      </w:pPr>
    </w:p>
    <w:p w:rsidR="00000000" w:rsidRPr="00295358" w:rsidP="00295358"/>
    <w:sectPr w:rsidSect="002953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CF4" w:rsidP="00D17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F4" w:rsidP="00295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17CF4" w:rsidP="002953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17CF4" w:rsidP="002953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CF4" w:rsidP="00D17C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F4" w:rsidP="00295358">
    <w:pPr>
      <w:pStyle w:val="Header"/>
      <w:framePr w:wrap="around"/>
    </w:pPr>
    <w:r>
      <w:fldChar w:fldCharType="begin"/>
    </w:r>
    <w:r>
      <w:instrText xml:space="preserve"> TITLE   \* MERGEFORMAT </w:instrText>
    </w:r>
    <w:r>
      <w:fldChar w:fldCharType="separate"/>
    </w:r>
    <w:r>
      <w:t>UETTDRTP28A Set-up and install transmission structure stubs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7CF4" w:rsidP="002953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24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948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87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3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5358"/>
    <w:pPr>
      <w:spacing w:before="360" w:after="60"/>
      <w:outlineLvl w:val="0"/>
    </w:pPr>
    <w:rPr>
      <w:sz w:val="32"/>
    </w:rPr>
  </w:style>
  <w:style w:type="paragraph" w:styleId="Heading2">
    <w:name w:val="heading 2"/>
    <w:basedOn w:val="HeadingBase"/>
    <w:next w:val="BodyText"/>
    <w:link w:val="Heading2Char"/>
    <w:qFormat/>
    <w:rsid w:val="00295358"/>
    <w:pPr>
      <w:keepLines/>
      <w:spacing w:before="240" w:after="120"/>
      <w:outlineLvl w:val="1"/>
    </w:pPr>
    <w:rPr>
      <w:sz w:val="28"/>
      <w:szCs w:val="40"/>
    </w:rPr>
  </w:style>
  <w:style w:type="paragraph" w:styleId="Heading3">
    <w:name w:val="heading 3"/>
    <w:basedOn w:val="HeadingBase"/>
    <w:next w:val="BodyText"/>
    <w:link w:val="Heading3Char"/>
    <w:qFormat/>
    <w:rsid w:val="00295358"/>
    <w:pPr>
      <w:spacing w:before="180" w:after="120"/>
      <w:outlineLvl w:val="2"/>
    </w:pPr>
    <w:rPr>
      <w:spacing w:val="-10"/>
      <w:kern w:val="32"/>
    </w:rPr>
  </w:style>
  <w:style w:type="paragraph" w:styleId="Heading4">
    <w:name w:val="heading 4"/>
    <w:basedOn w:val="HeadingBase"/>
    <w:next w:val="BodyText"/>
    <w:link w:val="Heading4Char"/>
    <w:qFormat/>
    <w:rsid w:val="00295358"/>
    <w:pPr>
      <w:spacing w:before="160" w:after="120"/>
      <w:outlineLvl w:val="3"/>
    </w:pPr>
    <w:rPr>
      <w:sz w:val="22"/>
    </w:rPr>
  </w:style>
  <w:style w:type="paragraph" w:styleId="Heading5">
    <w:name w:val="heading 5"/>
    <w:basedOn w:val="HeadingBase"/>
    <w:next w:val="Normal"/>
    <w:link w:val="Heading5Char"/>
    <w:qFormat/>
    <w:rsid w:val="00295358"/>
    <w:pPr>
      <w:spacing w:before="80"/>
      <w:outlineLvl w:val="4"/>
    </w:pPr>
    <w:rPr>
      <w:color w:val="918585"/>
      <w:sz w:val="20"/>
    </w:rPr>
  </w:style>
  <w:style w:type="paragraph" w:styleId="Heading6">
    <w:name w:val="heading 6"/>
    <w:basedOn w:val="HeadingBase"/>
    <w:next w:val="Normal"/>
    <w:link w:val="Heading6Char"/>
    <w:qFormat/>
    <w:rsid w:val="00295358"/>
    <w:pPr>
      <w:spacing w:before="60"/>
      <w:outlineLvl w:val="5"/>
    </w:pPr>
    <w:rPr>
      <w:color w:val="918585"/>
      <w:sz w:val="20"/>
    </w:rPr>
  </w:style>
  <w:style w:type="paragraph" w:styleId="Heading7">
    <w:name w:val="heading 7"/>
    <w:basedOn w:val="Normal"/>
    <w:next w:val="Normal"/>
    <w:link w:val="Heading7Char"/>
    <w:qFormat/>
    <w:rsid w:val="00295358"/>
    <w:pPr>
      <w:ind w:left="720"/>
      <w:outlineLvl w:val="6"/>
    </w:pPr>
    <w:rPr>
      <w:i/>
    </w:rPr>
  </w:style>
  <w:style w:type="paragraph" w:styleId="Heading8">
    <w:name w:val="heading 8"/>
    <w:basedOn w:val="Normal"/>
    <w:next w:val="Normal"/>
    <w:link w:val="Heading8Char"/>
    <w:qFormat/>
    <w:rsid w:val="00295358"/>
    <w:pPr>
      <w:ind w:left="720"/>
      <w:outlineLvl w:val="7"/>
    </w:pPr>
    <w:rPr>
      <w:i/>
    </w:rPr>
  </w:style>
  <w:style w:type="paragraph" w:styleId="Heading9">
    <w:name w:val="heading 9"/>
    <w:basedOn w:val="Normal"/>
    <w:next w:val="Normal"/>
    <w:link w:val="Heading9Char"/>
    <w:qFormat/>
    <w:rsid w:val="00295358"/>
    <w:pPr>
      <w:ind w:left="720"/>
      <w:outlineLvl w:val="8"/>
    </w:pPr>
    <w:rPr>
      <w:i/>
    </w:rPr>
  </w:style>
  <w:style w:type="character" w:default="1" w:styleId="DefaultParagraphFont">
    <w:name w:val="Default Paragraph Font"/>
    <w:uiPriority w:val="1"/>
    <w:unhideWhenUsed/>
    <w:rsid w:val="00295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358"/>
  </w:style>
  <w:style w:type="character" w:customStyle="1" w:styleId="Heading1Char">
    <w:name w:val="Heading 1 Char"/>
    <w:basedOn w:val="DefaultParagraphFont"/>
    <w:link w:val="Heading1"/>
    <w:rsid w:val="00295358"/>
    <w:rPr>
      <w:rFonts w:ascii="Times New Roman" w:eastAsia="Times New Roman" w:hAnsi="Times New Roman" w:cs="Times New Roman"/>
      <w:b/>
      <w:sz w:val="32"/>
      <w:szCs w:val="20"/>
      <w:lang w:eastAsia="en-US"/>
    </w:rPr>
  </w:style>
  <w:style w:type="paragraph" w:styleId="BodyText">
    <w:name w:val="Body Text"/>
    <w:basedOn w:val="Normal"/>
    <w:link w:val="BodyTextChar"/>
    <w:rsid w:val="002953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358"/>
    <w:rPr>
      <w:rFonts w:ascii="Times New Roman" w:eastAsia="Times New Roman" w:hAnsi="Times New Roman" w:cs="Times New Roman"/>
      <w:sz w:val="24"/>
      <w:lang w:val="en-US" w:eastAsia="en-US"/>
    </w:rPr>
  </w:style>
  <w:style w:type="paragraph" w:styleId="Footer">
    <w:name w:val="footer"/>
    <w:basedOn w:val="Normal"/>
    <w:link w:val="FooterChar"/>
    <w:rsid w:val="00295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358"/>
    <w:rPr>
      <w:rFonts w:ascii="Times New Roman" w:eastAsia="Times New Roman" w:hAnsi="Times New Roman" w:cs="Times New Roman"/>
      <w:sz w:val="16"/>
      <w:lang w:val="en-US" w:eastAsia="en-US"/>
    </w:rPr>
  </w:style>
  <w:style w:type="paragraph" w:styleId="ListBullet">
    <w:name w:val="List Bullet"/>
    <w:basedOn w:val="List"/>
    <w:rsid w:val="00295358"/>
    <w:pPr>
      <w:numPr>
        <w:numId w:val="14"/>
      </w:numPr>
      <w:tabs>
        <w:tab w:val="clear" w:pos="340"/>
      </w:tabs>
      <w:spacing w:before="40" w:after="40"/>
    </w:pPr>
  </w:style>
  <w:style w:type="character" w:customStyle="1" w:styleId="SpecialBold">
    <w:name w:val="Special Bold"/>
    <w:basedOn w:val="DefaultParagraphFont"/>
    <w:rsid w:val="00295358"/>
    <w:rPr>
      <w:b/>
      <w:spacing w:val="0"/>
    </w:rPr>
  </w:style>
  <w:style w:type="paragraph" w:styleId="ListBullet2">
    <w:name w:val="List Bullet 2"/>
    <w:basedOn w:val="List2"/>
    <w:rsid w:val="00295358"/>
    <w:pPr>
      <w:numPr>
        <w:numId w:val="15"/>
      </w:numPr>
      <w:tabs>
        <w:tab w:val="clear" w:pos="680"/>
      </w:tabs>
    </w:pPr>
  </w:style>
  <w:style w:type="paragraph" w:styleId="Header">
    <w:name w:val="header"/>
    <w:basedOn w:val="Normal"/>
    <w:link w:val="HeaderChar"/>
    <w:rsid w:val="00295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3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5358"/>
    <w:pPr>
      <w:spacing w:before="240" w:after="120"/>
      <w:outlineLvl w:val="0"/>
    </w:pPr>
    <w:rPr>
      <w:rFonts w:ascii="Times New Roman" w:hAnsi="Times New Roman"/>
      <w:b/>
      <w:sz w:val="28"/>
    </w:rPr>
  </w:style>
  <w:style w:type="paragraph" w:customStyle="1" w:styleId="AllowPageBreak">
    <w:name w:val="AllowPageBreak"/>
    <w:rsid w:val="002953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5358"/>
    <w:pPr>
      <w:numPr>
        <w:numId w:val="3"/>
      </w:numPr>
      <w:tabs>
        <w:tab w:val="clear" w:pos="1021"/>
      </w:tabs>
      <w:ind w:left="1037" w:hanging="357"/>
    </w:pPr>
  </w:style>
  <w:style w:type="character" w:customStyle="1" w:styleId="Heading2Char">
    <w:name w:val="Heading 2 Char"/>
    <w:basedOn w:val="DefaultParagraphFont"/>
    <w:link w:val="Heading2"/>
    <w:rsid w:val="00295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3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53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5358"/>
    <w:rPr>
      <w:rFonts w:ascii="Courier New" w:eastAsia="Times New Roman" w:hAnsi="Courier New" w:cs="Times New Roman"/>
      <w:i/>
      <w:szCs w:val="20"/>
      <w:lang w:val="en-US" w:eastAsia="en-US"/>
    </w:rPr>
  </w:style>
  <w:style w:type="paragraph" w:customStyle="1" w:styleId="HeadingBase">
    <w:name w:val="Heading Base"/>
    <w:rsid w:val="00295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358"/>
    <w:pPr>
      <w:tabs>
        <w:tab w:val="right" w:leader="dot" w:pos="9072"/>
      </w:tabs>
      <w:ind w:left="567"/>
    </w:pPr>
    <w:rPr>
      <w:szCs w:val="22"/>
    </w:rPr>
  </w:style>
  <w:style w:type="paragraph" w:customStyle="1" w:styleId="TOCBase">
    <w:name w:val="TOC Base"/>
    <w:rsid w:val="00295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358"/>
    <w:pPr>
      <w:tabs>
        <w:tab w:val="right" w:leader="dot" w:pos="9072"/>
      </w:tabs>
      <w:spacing w:before="40" w:after="40"/>
      <w:ind w:left="284"/>
    </w:pPr>
    <w:rPr>
      <w:rFonts w:ascii="Times New Roman" w:hAnsi="Times New Roman"/>
    </w:rPr>
  </w:style>
  <w:style w:type="paragraph" w:styleId="TOC1">
    <w:name w:val="toc 1"/>
    <w:basedOn w:val="TOCBase"/>
    <w:next w:val="Normal"/>
    <w:rsid w:val="002953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5358"/>
    <w:pPr>
      <w:spacing w:before="5040"/>
      <w:jc w:val="center"/>
    </w:pPr>
    <w:rPr>
      <w:sz w:val="48"/>
      <w:szCs w:val="72"/>
      <w:lang w:val="en-US"/>
    </w:rPr>
  </w:style>
  <w:style w:type="character" w:customStyle="1" w:styleId="TitleChar">
    <w:name w:val="Title Char"/>
    <w:basedOn w:val="DefaultParagraphFont"/>
    <w:link w:val="Title"/>
    <w:rsid w:val="00295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358"/>
    <w:pPr>
      <w:tabs>
        <w:tab w:val="left" w:pos="3600"/>
        <w:tab w:val="left" w:pos="3958"/>
      </w:tabs>
    </w:pPr>
  </w:style>
  <w:style w:type="paragraph" w:styleId="List">
    <w:name w:val="List"/>
    <w:basedOn w:val="BodyText"/>
    <w:next w:val="BodyText"/>
    <w:rsid w:val="00295358"/>
    <w:pPr>
      <w:tabs>
        <w:tab w:val="left" w:pos="340"/>
      </w:tabs>
      <w:spacing w:before="60" w:after="60"/>
      <w:ind w:left="340" w:hanging="340"/>
    </w:pPr>
  </w:style>
  <w:style w:type="paragraph" w:customStyle="1" w:styleId="Note">
    <w:name w:val="Note"/>
    <w:basedOn w:val="BodyText"/>
    <w:rsid w:val="002953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358"/>
    <w:pPr>
      <w:framePr w:wrap="auto" w:hAnchor="text" w:y="6049"/>
    </w:pPr>
    <w:rPr>
      <w:color w:val="000000"/>
      <w:sz w:val="40"/>
    </w:rPr>
  </w:style>
  <w:style w:type="paragraph" w:customStyle="1" w:styleId="TOCTitle">
    <w:name w:val="TOCTitle"/>
    <w:basedOn w:val="Heading1"/>
    <w:rsid w:val="00295358"/>
    <w:pPr>
      <w:spacing w:after="240"/>
      <w:jc w:val="center"/>
      <w:outlineLvl w:val="9"/>
    </w:pPr>
    <w:rPr>
      <w:caps/>
    </w:rPr>
  </w:style>
  <w:style w:type="paragraph" w:customStyle="1" w:styleId="Version">
    <w:name w:val="Version"/>
    <w:rsid w:val="002953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358"/>
    <w:pPr>
      <w:keepNext w:val="0"/>
      <w:tabs>
        <w:tab w:val="right" w:pos="4176"/>
      </w:tabs>
      <w:ind w:left="198" w:hanging="198"/>
    </w:pPr>
    <w:rPr>
      <w:rFonts w:ascii="Garamond" w:hAnsi="Garamond"/>
    </w:rPr>
  </w:style>
  <w:style w:type="paragraph" w:styleId="IndexHeading">
    <w:name w:val="index heading"/>
    <w:basedOn w:val="Normal"/>
    <w:next w:val="Index1"/>
    <w:semiHidden/>
    <w:rsid w:val="00295358"/>
    <w:pPr>
      <w:spacing w:before="120" w:after="120"/>
    </w:pPr>
    <w:rPr>
      <w:rFonts w:ascii="Arial" w:hAnsi="Arial"/>
      <w:b/>
      <w:color w:val="918585"/>
      <w:sz w:val="24"/>
    </w:rPr>
  </w:style>
  <w:style w:type="paragraph" w:customStyle="1" w:styleId="Chapter">
    <w:name w:val="Chapter"/>
    <w:basedOn w:val="Normal"/>
    <w:rsid w:val="00295358"/>
    <w:pPr>
      <w:spacing w:before="240"/>
    </w:pPr>
    <w:rPr>
      <w:rFonts w:ascii="Times New Roman" w:hAnsi="Times New Roman"/>
      <w:smallCaps/>
      <w:spacing w:val="80"/>
      <w:sz w:val="28"/>
    </w:rPr>
  </w:style>
  <w:style w:type="paragraph" w:customStyle="1" w:styleId="InChapter">
    <w:name w:val="InChapter"/>
    <w:basedOn w:val="Heading3"/>
    <w:rsid w:val="00295358"/>
    <w:pPr>
      <w:spacing w:after="240"/>
      <w:outlineLvl w:val="9"/>
    </w:pPr>
    <w:rPr>
      <w:noProof/>
    </w:rPr>
  </w:style>
  <w:style w:type="paragraph" w:styleId="Index2">
    <w:name w:val="index 2"/>
    <w:basedOn w:val="Normal"/>
    <w:next w:val="Normal"/>
    <w:semiHidden/>
    <w:rsid w:val="00295358"/>
    <w:pPr>
      <w:tabs>
        <w:tab w:val="right" w:pos="4176"/>
      </w:tabs>
      <w:ind w:left="568" w:hanging="284"/>
    </w:pPr>
    <w:rPr>
      <w:rFonts w:ascii="Garamond" w:hAnsi="Garamond"/>
    </w:rPr>
  </w:style>
  <w:style w:type="paragraph" w:customStyle="1" w:styleId="Byline">
    <w:name w:val="Byline"/>
    <w:rsid w:val="00295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358"/>
    <w:pPr>
      <w:tabs>
        <w:tab w:val="clear" w:pos="3600"/>
        <w:tab w:val="clear" w:pos="3958"/>
      </w:tabs>
      <w:jc w:val="right"/>
    </w:pPr>
  </w:style>
  <w:style w:type="character" w:styleId="Emphasis">
    <w:name w:val="Emphasis"/>
    <w:basedOn w:val="DefaultParagraphFont"/>
    <w:qFormat/>
    <w:rsid w:val="00295358"/>
    <w:rPr>
      <w:i/>
    </w:rPr>
  </w:style>
  <w:style w:type="paragraph" w:styleId="Caption">
    <w:name w:val="caption"/>
    <w:basedOn w:val="BodyText"/>
    <w:next w:val="Normal"/>
    <w:qFormat/>
    <w:rsid w:val="00295358"/>
    <w:pPr>
      <w:framePr w:w="2268" w:hSpace="181" w:vSpace="181" w:wrap="around" w:vAnchor="text" w:hAnchor="page" w:x="1135" w:y="285" w:anchorLock="1"/>
    </w:pPr>
    <w:rPr>
      <w:i/>
    </w:rPr>
  </w:style>
  <w:style w:type="paragraph" w:customStyle="1" w:styleId="MiniTOCTitle">
    <w:name w:val="MiniTOCTitle"/>
    <w:basedOn w:val="Heading4"/>
    <w:rsid w:val="00295358"/>
    <w:pPr>
      <w:spacing w:before="240"/>
      <w:outlineLvl w:val="9"/>
    </w:pPr>
    <w:rPr>
      <w:noProof/>
      <w:sz w:val="24"/>
    </w:rPr>
  </w:style>
  <w:style w:type="paragraph" w:customStyle="1" w:styleId="MiniTOCItem">
    <w:name w:val="MiniTOCItem"/>
    <w:basedOn w:val="ListBullet"/>
    <w:rsid w:val="00295358"/>
    <w:pPr>
      <w:numPr>
        <w:numId w:val="0"/>
      </w:numPr>
      <w:tabs>
        <w:tab w:val="right" w:leader="dot" w:pos="6521"/>
      </w:tabs>
      <w:spacing w:before="0" w:after="0"/>
    </w:pPr>
  </w:style>
  <w:style w:type="paragraph" w:customStyle="1" w:styleId="TOFTitle">
    <w:name w:val="TOFTitle"/>
    <w:basedOn w:val="TOCTitle"/>
    <w:rsid w:val="00295358"/>
  </w:style>
  <w:style w:type="paragraph" w:styleId="TableofFigures">
    <w:name w:val="table of figures"/>
    <w:basedOn w:val="Normal"/>
    <w:next w:val="Normal"/>
    <w:semiHidden/>
    <w:rsid w:val="00295358"/>
    <w:pPr>
      <w:tabs>
        <w:tab w:val="right" w:leader="dot" w:pos="9072"/>
      </w:tabs>
      <w:ind w:left="970" w:hanging="403"/>
    </w:pPr>
    <w:rPr>
      <w:rFonts w:ascii="Times New Roman" w:hAnsi="Times New Roman"/>
      <w:b/>
    </w:rPr>
  </w:style>
  <w:style w:type="paragraph" w:styleId="ListNumber">
    <w:name w:val="List Number"/>
    <w:basedOn w:val="List"/>
    <w:rsid w:val="00295358"/>
    <w:pPr>
      <w:numPr>
        <w:numId w:val="12"/>
      </w:numPr>
    </w:pPr>
  </w:style>
  <w:style w:type="character" w:customStyle="1" w:styleId="WingdingSymbols">
    <w:name w:val="Wingding Symbols"/>
    <w:rsid w:val="00295358"/>
    <w:rPr>
      <w:rFonts w:ascii="Wingdings" w:hAnsi="Wingdings"/>
    </w:rPr>
  </w:style>
  <w:style w:type="paragraph" w:customStyle="1" w:styleId="TableHeading">
    <w:name w:val="Table Heading"/>
    <w:basedOn w:val="HeadingBase"/>
    <w:rsid w:val="00295358"/>
    <w:pPr>
      <w:keepLines/>
      <w:pBdr>
        <w:bottom w:val="single" w:sz="6" w:space="1" w:color="918585"/>
      </w:pBdr>
      <w:spacing w:before="240"/>
    </w:pPr>
  </w:style>
  <w:style w:type="character" w:customStyle="1" w:styleId="HotSpot">
    <w:name w:val="HotSpot"/>
    <w:rsid w:val="00295358"/>
    <w:rPr>
      <w:color w:val="0033CC"/>
      <w:u w:val="none"/>
    </w:rPr>
  </w:style>
  <w:style w:type="paragraph" w:customStyle="1" w:styleId="BodyTextRight">
    <w:name w:val="Body Text Right"/>
    <w:basedOn w:val="BodyText"/>
    <w:rsid w:val="00295358"/>
    <w:pPr>
      <w:spacing w:before="0" w:after="0"/>
      <w:jc w:val="right"/>
    </w:pPr>
  </w:style>
  <w:style w:type="paragraph" w:styleId="Index3">
    <w:name w:val="index 3"/>
    <w:basedOn w:val="ListNumber2"/>
    <w:next w:val="Normal"/>
    <w:semiHidden/>
    <w:rsid w:val="00295358"/>
    <w:pPr>
      <w:numPr>
        <w:numId w:val="0"/>
      </w:numPr>
      <w:tabs>
        <w:tab w:val="right" w:leader="dot" w:pos="4176"/>
      </w:tabs>
    </w:pPr>
  </w:style>
  <w:style w:type="paragraph" w:styleId="ListNumber2">
    <w:name w:val="List Number 2"/>
    <w:basedOn w:val="List2"/>
    <w:rsid w:val="00295358"/>
    <w:pPr>
      <w:numPr>
        <w:numId w:val="11"/>
      </w:numPr>
      <w:tabs>
        <w:tab w:val="clear" w:pos="1060"/>
      </w:tabs>
    </w:pPr>
  </w:style>
  <w:style w:type="paragraph" w:customStyle="1" w:styleId="MarginNote">
    <w:name w:val="Margin Note"/>
    <w:basedOn w:val="BodyText"/>
    <w:rsid w:val="00295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3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5358"/>
    <w:rPr>
      <w:sz w:val="32"/>
    </w:rPr>
  </w:style>
  <w:style w:type="paragraph" w:customStyle="1" w:styleId="HeadingProcedure">
    <w:name w:val="Heading Procedure"/>
    <w:basedOn w:val="HeadingBase"/>
    <w:next w:val="Normal"/>
    <w:rsid w:val="00295358"/>
    <w:pPr>
      <w:tabs>
        <w:tab w:val="left" w:pos="0"/>
      </w:tabs>
      <w:spacing w:before="120" w:after="60"/>
    </w:pPr>
    <w:rPr>
      <w:i/>
      <w:color w:val="918585"/>
      <w:sz w:val="22"/>
    </w:rPr>
  </w:style>
  <w:style w:type="paragraph" w:customStyle="1" w:styleId="TableBodyText">
    <w:name w:val="Table Body Text"/>
    <w:basedOn w:val="BodyText"/>
    <w:rsid w:val="00295358"/>
    <w:pPr>
      <w:spacing w:before="60" w:after="60"/>
    </w:pPr>
  </w:style>
  <w:style w:type="paragraph" w:styleId="ListContinue">
    <w:name w:val="List Continue"/>
    <w:basedOn w:val="List"/>
    <w:rsid w:val="00295358"/>
    <w:pPr>
      <w:ind w:firstLine="0"/>
    </w:pPr>
  </w:style>
  <w:style w:type="paragraph" w:customStyle="1" w:styleId="ListNote">
    <w:name w:val="List Note"/>
    <w:basedOn w:val="List"/>
    <w:rsid w:val="00295358"/>
    <w:pPr>
      <w:pBdr>
        <w:top w:val="single" w:sz="6" w:space="2" w:color="918585"/>
        <w:bottom w:val="single" w:sz="6" w:space="2" w:color="918585"/>
      </w:pBdr>
      <w:tabs>
        <w:tab w:val="left" w:pos="1021"/>
      </w:tabs>
      <w:ind w:firstLine="0"/>
    </w:pPr>
  </w:style>
  <w:style w:type="paragraph" w:customStyle="1" w:styleId="Warning">
    <w:name w:val="Warning"/>
    <w:basedOn w:val="BodyText"/>
    <w:rsid w:val="00295358"/>
    <w:pPr>
      <w:shd w:val="clear" w:color="auto" w:fill="D9D9D9"/>
      <w:tabs>
        <w:tab w:val="left" w:pos="992"/>
      </w:tabs>
      <w:ind w:left="119" w:right="119"/>
    </w:pPr>
    <w:rPr>
      <w:sz w:val="20"/>
    </w:rPr>
  </w:style>
  <w:style w:type="paragraph" w:customStyle="1" w:styleId="MarginIcons">
    <w:name w:val="Margin Icons"/>
    <w:basedOn w:val="BodyText"/>
    <w:rsid w:val="00295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358"/>
    <w:rPr>
      <w:rFonts w:ascii="Courier New" w:hAnsi="Courier New"/>
    </w:rPr>
  </w:style>
  <w:style w:type="paragraph" w:customStyle="1" w:styleId="NoteBullet">
    <w:name w:val="Note Bullet"/>
    <w:basedOn w:val="Note"/>
    <w:rsid w:val="00295358"/>
    <w:pPr>
      <w:tabs>
        <w:tab w:val="clear" w:pos="680"/>
      </w:tabs>
      <w:spacing w:before="60" w:after="60"/>
    </w:pPr>
  </w:style>
  <w:style w:type="paragraph" w:customStyle="1" w:styleId="SubHeading2">
    <w:name w:val="SubHeading2"/>
    <w:basedOn w:val="HeadingBase"/>
    <w:rsid w:val="00295358"/>
    <w:pPr>
      <w:spacing w:before="240" w:after="60"/>
    </w:pPr>
    <w:rPr>
      <w:sz w:val="20"/>
    </w:rPr>
  </w:style>
  <w:style w:type="paragraph" w:customStyle="1" w:styleId="SubHeading1">
    <w:name w:val="SubHeading1"/>
    <w:basedOn w:val="HeadingBase"/>
    <w:rsid w:val="00295358"/>
    <w:pPr>
      <w:spacing w:before="240" w:after="60"/>
    </w:pPr>
    <w:rPr>
      <w:color w:val="918585"/>
      <w:sz w:val="22"/>
    </w:rPr>
  </w:style>
  <w:style w:type="paragraph" w:customStyle="1" w:styleId="SideHeading">
    <w:name w:val="Side Heading"/>
    <w:basedOn w:val="HeadingBase"/>
    <w:rsid w:val="00295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358"/>
    <w:pPr>
      <w:numPr>
        <w:numId w:val="13"/>
      </w:numPr>
    </w:pPr>
  </w:style>
  <w:style w:type="paragraph" w:styleId="PlainText">
    <w:name w:val="Plain Text"/>
    <w:basedOn w:val="Normal"/>
    <w:link w:val="PlainTextChar"/>
    <w:rsid w:val="00295358"/>
    <w:rPr>
      <w:sz w:val="20"/>
    </w:rPr>
  </w:style>
  <w:style w:type="character" w:customStyle="1" w:styleId="PlainTextChar">
    <w:name w:val="Plain Text Char"/>
    <w:basedOn w:val="DefaultParagraphFont"/>
    <w:link w:val="PlainText"/>
    <w:rsid w:val="002953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5358"/>
    <w:rPr>
      <w:b/>
      <w:smallCaps/>
    </w:rPr>
  </w:style>
  <w:style w:type="paragraph" w:customStyle="1" w:styleId="TableListNumber">
    <w:name w:val="Table List Number"/>
    <w:basedOn w:val="ListNumber"/>
    <w:rsid w:val="00295358"/>
    <w:pPr>
      <w:numPr>
        <w:numId w:val="0"/>
      </w:numPr>
    </w:pPr>
  </w:style>
  <w:style w:type="paragraph" w:styleId="TOC4">
    <w:name w:val="toc 4"/>
    <w:basedOn w:val="TOCBase"/>
    <w:next w:val="Normal"/>
    <w:semiHidden/>
    <w:rsid w:val="00295358"/>
    <w:pPr>
      <w:tabs>
        <w:tab w:val="right" w:leader="dot" w:pos="9071"/>
      </w:tabs>
      <w:ind w:left="1701"/>
    </w:pPr>
  </w:style>
  <w:style w:type="paragraph" w:customStyle="1" w:styleId="ListAlpha">
    <w:name w:val="List Alpha"/>
    <w:basedOn w:val="List"/>
    <w:rsid w:val="00295358"/>
    <w:pPr>
      <w:numPr>
        <w:numId w:val="10"/>
      </w:numPr>
    </w:pPr>
  </w:style>
  <w:style w:type="paragraph" w:customStyle="1" w:styleId="ListAlpha2">
    <w:name w:val="List Alpha 2"/>
    <w:basedOn w:val="List2"/>
    <w:rsid w:val="00295358"/>
    <w:pPr>
      <w:numPr>
        <w:numId w:val="9"/>
      </w:numPr>
    </w:pPr>
  </w:style>
  <w:style w:type="paragraph" w:styleId="List2">
    <w:name w:val="List 2"/>
    <w:basedOn w:val="BodyText"/>
    <w:rsid w:val="00295358"/>
    <w:pPr>
      <w:tabs>
        <w:tab w:val="left" w:pos="680"/>
      </w:tabs>
      <w:spacing w:before="60" w:after="60"/>
      <w:ind w:left="680" w:hanging="340"/>
    </w:pPr>
  </w:style>
  <w:style w:type="paragraph" w:styleId="List3">
    <w:name w:val="List 3"/>
    <w:basedOn w:val="BodyText"/>
    <w:rsid w:val="00295358"/>
    <w:pPr>
      <w:tabs>
        <w:tab w:val="left" w:pos="1021"/>
      </w:tabs>
      <w:spacing w:before="60" w:after="60"/>
      <w:ind w:left="1020" w:hanging="340"/>
    </w:pPr>
  </w:style>
  <w:style w:type="paragraph" w:styleId="List4">
    <w:name w:val="List 4"/>
    <w:basedOn w:val="BodyText"/>
    <w:rsid w:val="00295358"/>
    <w:pPr>
      <w:tabs>
        <w:tab w:val="left" w:pos="1361"/>
      </w:tabs>
      <w:spacing w:before="60" w:after="60"/>
      <w:ind w:left="1361" w:hanging="340"/>
    </w:pPr>
  </w:style>
  <w:style w:type="paragraph" w:styleId="List5">
    <w:name w:val="List 5"/>
    <w:basedOn w:val="BodyText"/>
    <w:rsid w:val="00295358"/>
    <w:pPr>
      <w:tabs>
        <w:tab w:val="left" w:pos="1701"/>
      </w:tabs>
      <w:spacing w:before="60" w:after="60"/>
      <w:ind w:left="1701" w:hanging="340"/>
    </w:pPr>
  </w:style>
  <w:style w:type="paragraph" w:styleId="ListBullet4">
    <w:name w:val="List Bullet 4"/>
    <w:basedOn w:val="List4"/>
    <w:rsid w:val="00295358"/>
    <w:pPr>
      <w:numPr>
        <w:numId w:val="4"/>
      </w:numPr>
    </w:pPr>
  </w:style>
  <w:style w:type="paragraph" w:styleId="ListBullet5">
    <w:name w:val="List Bullet 5"/>
    <w:basedOn w:val="List5"/>
    <w:rsid w:val="00295358"/>
    <w:pPr>
      <w:numPr>
        <w:numId w:val="5"/>
      </w:numPr>
    </w:pPr>
  </w:style>
  <w:style w:type="paragraph" w:styleId="ListContinue2">
    <w:name w:val="List Continue 2"/>
    <w:basedOn w:val="List2"/>
    <w:rsid w:val="00295358"/>
    <w:pPr>
      <w:ind w:firstLine="0"/>
    </w:pPr>
  </w:style>
  <w:style w:type="paragraph" w:styleId="ListContinue3">
    <w:name w:val="List Continue 3"/>
    <w:basedOn w:val="List3"/>
    <w:rsid w:val="00295358"/>
    <w:pPr>
      <w:ind w:left="1021" w:firstLine="0"/>
    </w:pPr>
  </w:style>
  <w:style w:type="paragraph" w:styleId="ListContinue4">
    <w:name w:val="List Continue 4"/>
    <w:basedOn w:val="List4"/>
    <w:rsid w:val="00295358"/>
    <w:pPr>
      <w:ind w:firstLine="0"/>
    </w:pPr>
  </w:style>
  <w:style w:type="paragraph" w:styleId="ListContinue5">
    <w:name w:val="List Continue 5"/>
    <w:basedOn w:val="List5"/>
    <w:rsid w:val="00295358"/>
    <w:pPr>
      <w:ind w:firstLine="0"/>
    </w:pPr>
  </w:style>
  <w:style w:type="paragraph" w:styleId="ListNumber3">
    <w:name w:val="List Number 3"/>
    <w:basedOn w:val="List3"/>
    <w:rsid w:val="00295358"/>
    <w:pPr>
      <w:numPr>
        <w:numId w:val="6"/>
      </w:numPr>
    </w:pPr>
  </w:style>
  <w:style w:type="paragraph" w:styleId="ListNumber4">
    <w:name w:val="List Number 4"/>
    <w:basedOn w:val="List4"/>
    <w:rsid w:val="00295358"/>
    <w:pPr>
      <w:numPr>
        <w:numId w:val="7"/>
      </w:numPr>
    </w:pPr>
  </w:style>
  <w:style w:type="paragraph" w:styleId="ListNumber5">
    <w:name w:val="List Number 5"/>
    <w:basedOn w:val="List5"/>
    <w:rsid w:val="00295358"/>
    <w:pPr>
      <w:numPr>
        <w:numId w:val="8"/>
      </w:numPr>
    </w:pPr>
  </w:style>
  <w:style w:type="paragraph" w:styleId="BlockText">
    <w:name w:val="Block Text"/>
    <w:basedOn w:val="Normal"/>
    <w:rsid w:val="00295358"/>
    <w:pPr>
      <w:spacing w:after="120"/>
      <w:ind w:left="1440" w:right="1440"/>
    </w:pPr>
  </w:style>
  <w:style w:type="character" w:customStyle="1" w:styleId="Subscript">
    <w:name w:val="Subscript"/>
    <w:basedOn w:val="DefaultParagraphFont"/>
    <w:rsid w:val="00295358"/>
    <w:rPr>
      <w:sz w:val="16"/>
      <w:vertAlign w:val="subscript"/>
    </w:rPr>
  </w:style>
  <w:style w:type="character" w:customStyle="1" w:styleId="Superscript">
    <w:name w:val="Superscript"/>
    <w:basedOn w:val="DefaultParagraphFont"/>
    <w:rsid w:val="00295358"/>
    <w:rPr>
      <w:sz w:val="16"/>
      <w:vertAlign w:val="superscript"/>
    </w:rPr>
  </w:style>
  <w:style w:type="character" w:customStyle="1" w:styleId="Symbols">
    <w:name w:val="Symbols"/>
    <w:basedOn w:val="DefaultParagraphFont"/>
    <w:rsid w:val="00295358"/>
    <w:rPr>
      <w:rFonts w:ascii="Symbol" w:hAnsi="Symbol"/>
    </w:rPr>
  </w:style>
  <w:style w:type="character" w:customStyle="1" w:styleId="MenuOptions">
    <w:name w:val="Menu Options"/>
    <w:basedOn w:val="DefaultParagraphFont"/>
    <w:rsid w:val="00295358"/>
    <w:rPr>
      <w:rFonts w:ascii="Arial Narrow" w:hAnsi="Arial Narrow"/>
      <w:smallCaps/>
    </w:rPr>
  </w:style>
  <w:style w:type="character" w:customStyle="1" w:styleId="Buttons">
    <w:name w:val="Buttons"/>
    <w:basedOn w:val="DefaultParagraphFont"/>
    <w:rsid w:val="00295358"/>
    <w:rPr>
      <w:b/>
    </w:rPr>
  </w:style>
  <w:style w:type="character" w:customStyle="1" w:styleId="Underlined">
    <w:name w:val="Underlined"/>
    <w:basedOn w:val="DefaultParagraphFont"/>
    <w:rsid w:val="00295358"/>
    <w:rPr>
      <w:u w:val="single"/>
    </w:rPr>
  </w:style>
  <w:style w:type="paragraph" w:customStyle="1" w:styleId="TableBodyTextRight">
    <w:name w:val="Table Body Text Right"/>
    <w:basedOn w:val="TableBodyText"/>
    <w:rsid w:val="00295358"/>
    <w:pPr>
      <w:widowControl w:val="0"/>
      <w:autoSpaceDE w:val="0"/>
      <w:autoSpaceDN w:val="0"/>
      <w:adjustRightInd w:val="0"/>
      <w:jc w:val="right"/>
    </w:pPr>
    <w:rPr>
      <w:rFonts w:cs="Arial"/>
      <w:szCs w:val="18"/>
    </w:rPr>
  </w:style>
  <w:style w:type="paragraph" w:customStyle="1" w:styleId="CopyrightText">
    <w:name w:val="Copyright Text"/>
    <w:basedOn w:val="BodyText"/>
    <w:rsid w:val="00295358"/>
    <w:rPr>
      <w:sz w:val="18"/>
    </w:rPr>
  </w:style>
  <w:style w:type="paragraph" w:customStyle="1" w:styleId="BodySmallRight">
    <w:name w:val="Body Small Right"/>
    <w:basedOn w:val="BodyTextRight"/>
    <w:rsid w:val="00295358"/>
    <w:rPr>
      <w:sz w:val="18"/>
      <w:szCs w:val="18"/>
    </w:rPr>
  </w:style>
  <w:style w:type="paragraph" w:customStyle="1" w:styleId="MarginEdition">
    <w:name w:val="Margin Edition"/>
    <w:basedOn w:val="MarginNote"/>
    <w:rsid w:val="00295358"/>
    <w:pPr>
      <w:spacing w:before="0" w:after="0"/>
    </w:pPr>
    <w:rPr>
      <w:rFonts w:ascii="Times New Roman" w:hAnsi="Times New Roman"/>
      <w:color w:val="999999"/>
    </w:rPr>
  </w:style>
  <w:style w:type="paragraph" w:customStyle="1" w:styleId="Spacer">
    <w:name w:val="Spacer"/>
    <w:basedOn w:val="Normal"/>
    <w:rsid w:val="00295358"/>
    <w:rPr>
      <w:sz w:val="2"/>
      <w:szCs w:val="2"/>
    </w:rPr>
  </w:style>
  <w:style w:type="character" w:customStyle="1" w:styleId="Small">
    <w:name w:val="Small"/>
    <w:basedOn w:val="DefaultParagraphFont"/>
    <w:rsid w:val="00295358"/>
    <w:rPr>
      <w:sz w:val="16"/>
    </w:rPr>
  </w:style>
  <w:style w:type="paragraph" w:customStyle="1" w:styleId="WideTable">
    <w:name w:val="Wide Table"/>
    <w:basedOn w:val="Normal"/>
    <w:rsid w:val="00295358"/>
    <w:pPr>
      <w:ind w:left="-1418"/>
    </w:pPr>
    <w:rPr>
      <w:sz w:val="2"/>
      <w:szCs w:val="2"/>
    </w:rPr>
  </w:style>
  <w:style w:type="character" w:styleId="PageNumber">
    <w:name w:val="page number"/>
    <w:basedOn w:val="DefaultParagraphFont"/>
    <w:rsid w:val="00295358"/>
  </w:style>
  <w:style w:type="paragraph" w:styleId="Quote">
    <w:name w:val="Quote"/>
    <w:basedOn w:val="Heading1"/>
    <w:link w:val="QuoteChar"/>
    <w:qFormat/>
    <w:rsid w:val="00295358"/>
    <w:rPr>
      <w:b w:val="0"/>
      <w:sz w:val="72"/>
      <w:szCs w:val="72"/>
      <w:lang w:val="en-NZ"/>
    </w:rPr>
  </w:style>
  <w:style w:type="character" w:customStyle="1" w:styleId="QuoteChar">
    <w:name w:val="Quote Char"/>
    <w:basedOn w:val="DefaultParagraphFont"/>
    <w:link w:val="Quote"/>
    <w:rsid w:val="00295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358"/>
    <w:pPr>
      <w:pageBreakBefore/>
    </w:pPr>
  </w:style>
  <w:style w:type="paragraph" w:customStyle="1" w:styleId="Border">
    <w:name w:val="Border"/>
    <w:basedOn w:val="Normal"/>
    <w:qFormat/>
    <w:rsid w:val="00295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358"/>
    <w:rPr>
      <w:b/>
      <w:bCs/>
      <w:i/>
      <w:iCs/>
      <w:color w:val="auto"/>
    </w:rPr>
  </w:style>
  <w:style w:type="paragraph" w:styleId="IntenseQuote">
    <w:name w:val="Intense Quote"/>
    <w:basedOn w:val="Normal"/>
    <w:next w:val="Normal"/>
    <w:link w:val="IntenseQuoteChar"/>
    <w:uiPriority w:val="30"/>
    <w:qFormat/>
    <w:rsid w:val="00295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3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5358"/>
    <w:rPr>
      <w:smallCaps/>
      <w:color w:val="auto"/>
      <w:u w:val="single"/>
    </w:rPr>
  </w:style>
  <w:style w:type="character" w:styleId="IntenseReference">
    <w:name w:val="Intense Reference"/>
    <w:basedOn w:val="DefaultParagraphFont"/>
    <w:uiPriority w:val="32"/>
    <w:qFormat/>
    <w:rsid w:val="00295358"/>
    <w:rPr>
      <w:b/>
      <w:bCs/>
      <w:smallCaps/>
      <w:color w:val="auto"/>
      <w:spacing w:val="5"/>
      <w:u w:val="single"/>
    </w:rPr>
  </w:style>
  <w:style w:type="paragraph" w:customStyle="1" w:styleId="2ColumnHeading">
    <w:name w:val="2Column Heading"/>
    <w:basedOn w:val="BodyText"/>
    <w:qFormat/>
    <w:rsid w:val="00295358"/>
    <w:pPr>
      <w:spacing w:after="60"/>
      <w:ind w:left="-2268"/>
    </w:pPr>
    <w:rPr>
      <w:b/>
    </w:rPr>
  </w:style>
  <w:style w:type="paragraph" w:customStyle="1" w:styleId="Heading1TOC">
    <w:name w:val="Heading1 TOC"/>
    <w:basedOn w:val="Normal"/>
    <w:qFormat/>
    <w:rsid w:val="00295358"/>
    <w:pPr>
      <w:spacing w:before="240" w:after="120"/>
    </w:pPr>
    <w:rPr>
      <w:rFonts w:ascii="Times New Roman" w:hAnsi="Times New Roman"/>
      <w:b/>
      <w:sz w:val="32"/>
    </w:rPr>
  </w:style>
  <w:style w:type="paragraph" w:customStyle="1" w:styleId="Heading2TOC">
    <w:name w:val="Heading2 TOC"/>
    <w:basedOn w:val="Normal"/>
    <w:qFormat/>
    <w:rsid w:val="00295358"/>
    <w:pPr>
      <w:spacing w:before="240" w:after="60"/>
    </w:pPr>
    <w:rPr>
      <w:rFonts w:ascii="Times New Roman" w:hAnsi="Times New Roman"/>
      <w:b/>
      <w:sz w:val="28"/>
    </w:rPr>
  </w:style>
  <w:style w:type="character" w:customStyle="1" w:styleId="Underline">
    <w:name w:val="Underline"/>
    <w:basedOn w:val="DefaultParagraphFont"/>
    <w:qFormat/>
    <w:rsid w:val="00295358"/>
    <w:rPr>
      <w:u w:val="single"/>
    </w:rPr>
  </w:style>
  <w:style w:type="character" w:customStyle="1" w:styleId="BoldandItalics">
    <w:name w:val="Bold and Italics"/>
    <w:qFormat/>
    <w:rsid w:val="00295358"/>
    <w:rPr>
      <w:b/>
      <w:i/>
      <w:u w:val="none"/>
    </w:rPr>
  </w:style>
  <w:style w:type="paragraph" w:styleId="BalloonText">
    <w:name w:val="Balloon Text"/>
    <w:basedOn w:val="Normal"/>
    <w:link w:val="BalloonTextChar"/>
    <w:rsid w:val="00295358"/>
    <w:rPr>
      <w:rFonts w:ascii="Tahoma" w:hAnsi="Tahoma" w:cs="Tahoma"/>
      <w:sz w:val="16"/>
      <w:szCs w:val="16"/>
    </w:rPr>
  </w:style>
  <w:style w:type="character" w:customStyle="1" w:styleId="BalloonTextChar">
    <w:name w:val="Balloon Text Char"/>
    <w:basedOn w:val="DefaultParagraphFont"/>
    <w:link w:val="BalloonText"/>
    <w:rsid w:val="002953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53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3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3259</Words>
  <Characters>20764</Characters>
  <Application>Microsoft Office Word</Application>
  <DocSecurity>0</DocSecurity>
  <Lines>665</Lines>
  <Paragraphs>274</Paragraphs>
  <ScaleCrop>false</ScaleCrop>
  <Company>Author-it Software Corporation Ltd.</Company>
  <LinksUpToDate>false</LinksUpToDate>
  <CharactersWithSpaces>23861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UETTDRTP28A Set-up and install transmission structure stubs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2012-05-26T12:24:00Z</dcterms:created>
  <dcterms:modified xsi:type="dcterms:W3CDTF">2012-05-26T12:24:00Z</dcterms:modified>
</cp:coreProperties>
</file>