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EBB" w:rsidP="000A4EBB">
      <w:pPr>
        <w:pStyle w:val="Title"/>
      </w:pPr>
      <w:r>
        <w:fldChar w:fldCharType="begin"/>
      </w:r>
      <w:r>
        <w:instrText xml:space="preserve"> TITLE   \* MERGEFORMAT </w:instrText>
      </w:r>
      <w:r>
        <w:fldChar w:fldCharType="separate"/>
      </w:r>
      <w:r>
        <w:t>UETTDRTP27A Maintain transmission structures and associated hardware</w:t>
      </w:r>
      <w:r>
        <w:fldChar w:fldCharType="end"/>
      </w:r>
    </w:p>
    <w:p w:rsidR="000A4EBB" w:rsidP="000A4EBB">
      <w:pPr>
        <w:pStyle w:val="Version"/>
        <w:sectPr w:rsidSect="009C71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1DB" w:rsidP="009C71DB">
      <w:pPr>
        <w:pStyle w:val="SuperHeading"/>
      </w:pPr>
      <w:r w:rsidRPr="009C71DB">
        <w:t>UETTDRTP27A Maintain transmission structures and associated hardware</w:t>
      </w:r>
    </w:p>
    <w:p w:rsidR="00000000" w:rsidRPr="009C71DB" w:rsidP="009C71DB">
      <w:pPr>
        <w:pStyle w:val="Heading1"/>
      </w:pPr>
      <w:bookmarkStart w:id="1" w:name="O_460779"/>
      <w:bookmarkEnd w:id="1"/>
      <w:r w:rsidRPr="009C71DB">
        <w:t>Modification History</w:t>
      </w:r>
    </w:p>
    <w:p w:rsidR="00000000" w:rsidRPr="009C71DB" w:rsidP="009C71DB">
      <w:pPr>
        <w:pStyle w:val="BodyText"/>
      </w:pPr>
      <w:r w:rsidRPr="009C71DB">
        <w:t>Not applicable.</w:t>
      </w:r>
    </w:p>
    <w:p w:rsidR="00000000" w:rsidRPr="009C71DB" w:rsidP="009C71DB">
      <w:pPr>
        <w:pStyle w:val="AllowPageBreak"/>
      </w:pPr>
    </w:p>
    <w:p w:rsidR="00000000" w:rsidRPr="009C71DB" w:rsidP="009C71DB">
      <w:pPr>
        <w:pStyle w:val="Heading1"/>
      </w:pPr>
      <w:bookmarkStart w:id="2" w:name="O_460777"/>
      <w:bookmarkEnd w:id="2"/>
      <w:r w:rsidRPr="009C71DB">
        <w:t>Unit Descriptor</w:t>
      </w:r>
    </w:p>
    <w:tbl>
      <w:tblPr>
        <w:tblW w:w="0" w:type="auto"/>
        <w:tblLayout w:type="fixed"/>
        <w:tblCellMar>
          <w:left w:w="62" w:type="dxa"/>
          <w:right w:w="62" w:type="dxa"/>
        </w:tblCellMar>
        <w:tblLook w:val="0000"/>
      </w:tblPr>
      <w:tblGrid>
        <w:gridCol w:w="2700"/>
        <w:gridCol w:w="5760"/>
      </w:tblGrid>
      <w:tr w:rsidTr="000A4E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1)</w:t>
            </w:r>
            <w:r w:rsidRPr="009C71DB">
              <w:t xml:space="preserve"> </w:t>
            </w:r>
            <w:r w:rsidRPr="009C71DB">
              <w:rPr>
                <w:rStyle w:val="SpecialBold"/>
              </w:rPr>
              <w:t>Scope:</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71D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1.1) Descriptor</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This Competency Standard Unit covers the maintenance of non-energised, pyramid, delta, Pi or enterprise specific transmission towers and associated hardware. It includes the repair, and or replacement of components in accordance with construction plans, sp</w:t>
            </w:r>
            <w:r w:rsidRPr="009C71DB">
              <w:t>ecifications, work orders and standing enterprise requirements. Maintenance could also involve cleaning and welding. The updating of system data, records and or completion of relevant documentation in accordance with enterprise requirements also forms part</w:t>
            </w:r>
            <w:r w:rsidRPr="009C71DB">
              <w:t xml:space="preserve"> of this competency.</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3" w:name="O_460766"/>
      <w:bookmarkEnd w:id="3"/>
      <w:r w:rsidRPr="009C71DB">
        <w:t>Application of the Unit</w:t>
      </w:r>
    </w:p>
    <w:tbl>
      <w:tblPr>
        <w:tblW w:w="0" w:type="auto"/>
        <w:tblLayout w:type="fixed"/>
        <w:tblCellMar>
          <w:left w:w="62" w:type="dxa"/>
          <w:right w:w="62" w:type="dxa"/>
        </w:tblCellMar>
        <w:tblLook w:val="0000"/>
      </w:tblPr>
      <w:tblGrid>
        <w:gridCol w:w="2672"/>
        <w:gridCol w:w="5699"/>
      </w:tblGrid>
      <w:tr w:rsidTr="000A4E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2)</w:t>
            </w:r>
          </w:p>
        </w:tc>
      </w:tr>
      <w:tr w:rsidTr="000A4E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 xml:space="preserve">This Competency Standard Unit is intended to augment formally acquired competencies. It is suitable for employment-based programs under an </w:t>
            </w:r>
            <w:r w:rsidRPr="009C71DB">
              <w:t>approved contract of training.</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4" w:name="O_460773"/>
      <w:bookmarkEnd w:id="4"/>
      <w:r w:rsidRPr="009C71DB">
        <w:t>Licensing/Regulatory Information</w:t>
      </w:r>
    </w:p>
    <w:tbl>
      <w:tblPr>
        <w:tblW w:w="0" w:type="auto"/>
        <w:tblLayout w:type="fixed"/>
        <w:tblCellMar>
          <w:left w:w="62" w:type="dxa"/>
          <w:right w:w="62" w:type="dxa"/>
        </w:tblCellMar>
        <w:tblLook w:val="0000"/>
      </w:tblPr>
      <w:tblGrid>
        <w:gridCol w:w="2700"/>
        <w:gridCol w:w="5760"/>
      </w:tblGrid>
      <w:tr w:rsidTr="000A4E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 xml:space="preserve">3)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The skills and knowledge described in this unit may require a licence/registration to practice in the work place subject to regulations for underta</w:t>
            </w:r>
            <w:r w:rsidRPr="009C71DB">
              <w:t xml:space="preserve">king of electrical work. Practice in workplace and during training is also subject to </w:t>
            </w:r>
            <w:r w:rsidRPr="009C71DB">
              <w:t>regulations directly related to Occupational Health and Safety, electricity/telecommunications/gas/water industry safety and compliance, industrial relations, environment</w:t>
            </w:r>
            <w:r w:rsidRPr="009C71DB">
              <w:t>al protection, anti discrimination and training. Commonwealth, State/Territory or Local Government legislation and regulations may exist that limits the age of operating certain equipment.</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5" w:name="O_460774"/>
      <w:bookmarkEnd w:id="5"/>
      <w:r w:rsidRPr="009C71DB">
        <w:t>Pre-Requisites</w:t>
      </w:r>
    </w:p>
    <w:tbl>
      <w:tblPr>
        <w:tblW w:w="0" w:type="auto"/>
        <w:tblLayout w:type="fixed"/>
        <w:tblCellMar>
          <w:left w:w="62" w:type="dxa"/>
          <w:right w:w="62" w:type="dxa"/>
        </w:tblCellMar>
        <w:tblLook w:val="0000"/>
      </w:tblPr>
      <w:tblGrid>
        <w:gridCol w:w="2700"/>
        <w:gridCol w:w="1890"/>
        <w:gridCol w:w="3870"/>
      </w:tblGrid>
      <w:tr w:rsidTr="000A4E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 xml:space="preserve">4)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4.1)</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Granting of competency in this unit shall be made only after competency in the following unit(s) has/have been confirmed.</w:t>
            </w:r>
          </w:p>
          <w:p w:rsidR="00000000" w:rsidRPr="009C71DB" w:rsidP="009C71DB">
            <w:pPr>
              <w:pStyle w:val="BodyText"/>
            </w:pPr>
            <w:r w:rsidRPr="009C71DB">
              <w:t>Where pre-requisite pathways have been identified. All competencies in the Common Unit Group must be have been completed.</w:t>
            </w:r>
          </w:p>
          <w:p w:rsidR="00000000" w:rsidP="009C71DB">
            <w:pPr>
              <w:pStyle w:val="BodyText"/>
              <w:rPr>
                <w:lang w:val="en-NZ"/>
              </w:rPr>
            </w:pPr>
            <w:r w:rsidRPr="009C71DB">
              <w:t>Common Unit Group</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Unit Code</w:t>
            </w:r>
            <w:r w:rsidRPr="009C71DB">
              <w:tab/>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Unit Title</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 xml:space="preserve">Apply Occupational Health and Safety regulations, codes and practices in the </w:t>
            </w:r>
            <w:r w:rsidRPr="009C71DB">
              <w:t>workplace</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Fabricate, assemble and dismantle utilities industry components</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Fix and secure electrotechnology equipment</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Use drawings, diagrams, schedules, standards, codes and specifications</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 xml:space="preserve">Apply sustainable energy and environmental procedures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9C71DB">
            <w:pPr>
              <w:pStyle w:val="BodyText"/>
              <w:rPr>
                <w:lang w:val="en-NZ"/>
              </w:rPr>
            </w:pPr>
            <w:r w:rsidRPr="009C71DB">
              <w:t xml:space="preserve">Working safely near live electrical apparatus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UETTDRTP26A</w:t>
            </w:r>
          </w:p>
        </w:tc>
        <w:tc>
          <w:tcPr>
            <w:tcW w:w="3870" w:type="dxa"/>
            <w:tcBorders>
              <w:top w:val="nil"/>
              <w:left w:val="nil"/>
              <w:bottom w:val="nil"/>
              <w:right w:val="nil"/>
            </w:tcBorders>
            <w:tcMar>
              <w:top w:w="0" w:type="dxa"/>
              <w:left w:w="62" w:type="dxa"/>
              <w:bottom w:w="0" w:type="dxa"/>
              <w:right w:w="62" w:type="dxa"/>
            </w:tcMar>
            <w:vAlign w:val="bottom"/>
          </w:tcPr>
          <w:p w:rsidR="00000000" w:rsidRPr="009C71DB" w:rsidP="009C71DB">
            <w:pPr>
              <w:pStyle w:val="BodyText"/>
            </w:pPr>
            <w:r w:rsidRPr="009C71DB">
              <w:t xml:space="preserve">Install transmission structures and </w:t>
            </w:r>
            <w:r w:rsidRPr="009C71DB">
              <w:t xml:space="preserve">associated hardware </w:t>
            </w:r>
          </w:p>
        </w:tc>
      </w:tr>
    </w:tbl>
    <w:p w:rsidR="00000000" w:rsidRPr="009C71DB" w:rsidP="009C71D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4E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 xml:space="preserve">4.2)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Participants are best equipped to achieve this unit if they have reading, writing and numeracy skills indicated by the following scales. Description of each scale is given in Volume 2, Part 3 “Literacy and Numeracy”</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Reading</w:t>
            </w:r>
          </w:p>
        </w:tc>
        <w:tc>
          <w:tcPr>
            <w:tcW w:w="81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w:t>
            </w:r>
          </w:p>
        </w:tc>
        <w:tc>
          <w:tcPr>
            <w:tcW w:w="99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Writing</w:t>
            </w:r>
          </w:p>
        </w:tc>
        <w:tc>
          <w:tcPr>
            <w:tcW w:w="90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w:t>
            </w:r>
          </w:p>
        </w:tc>
        <w:tc>
          <w:tcPr>
            <w:tcW w:w="12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Numeracy</w:t>
            </w:r>
          </w:p>
        </w:tc>
        <w:tc>
          <w:tcPr>
            <w:tcW w:w="72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3</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6" w:name="O_460770"/>
      <w:bookmarkEnd w:id="6"/>
      <w:r w:rsidRPr="009C71DB">
        <w:t>Employability Skills Information</w:t>
      </w:r>
    </w:p>
    <w:tbl>
      <w:tblPr>
        <w:tblW w:w="0" w:type="auto"/>
        <w:tblLayout w:type="fixed"/>
        <w:tblCellMar>
          <w:left w:w="62" w:type="dxa"/>
          <w:right w:w="62" w:type="dxa"/>
        </w:tblCellMar>
        <w:tblLook w:val="0000"/>
      </w:tblPr>
      <w:tblGrid>
        <w:gridCol w:w="2700"/>
        <w:gridCol w:w="5760"/>
      </w:tblGrid>
      <w:tr w:rsidTr="000A4E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 xml:space="preserve">5)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 xml:space="preserve">The required outcomes described in this unit of competency contain applicable facets of Employability Skills. The Employability Skills Summary </w:t>
            </w:r>
            <w:r w:rsidRPr="009C71DB">
              <w:t>of the qualification in which this unit of competency is packaged will assist in identifying Employability Skill requirements.</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7" w:name="O_460769"/>
      <w:bookmarkEnd w:id="7"/>
      <w:r w:rsidRPr="009C71DB">
        <w:t>Elements and Performance Criteria Pre-Content</w:t>
      </w:r>
    </w:p>
    <w:tbl>
      <w:tblPr>
        <w:tblW w:w="0" w:type="auto"/>
        <w:tblLayout w:type="fixed"/>
        <w:tblCellMar>
          <w:left w:w="62" w:type="dxa"/>
          <w:right w:w="62" w:type="dxa"/>
        </w:tblCellMar>
        <w:tblLook w:val="0000"/>
      </w:tblPr>
      <w:tblGrid>
        <w:gridCol w:w="2700"/>
        <w:gridCol w:w="5760"/>
      </w:tblGrid>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6)</w:t>
            </w:r>
            <w:r w:rsidRPr="009C71DB">
              <w:t xml:space="preserve"> Elements describe the essential outcomes of a competency stan</w:t>
            </w:r>
            <w:r w:rsidRPr="009C71DB">
              <w:t>dard unit</w:t>
            </w:r>
          </w:p>
        </w:tc>
        <w:tc>
          <w:tcPr>
            <w:tcW w:w="57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Performance Criteria describe the required performance needed to demonstrate achievement of the element. Assessment of performance is to be consistent with the Evidence Guide.</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8" w:name="O_460768"/>
      <w:bookmarkEnd w:id="8"/>
      <w:r w:rsidRPr="009C71DB">
        <w:t>Elements and Performance Criteria</w:t>
      </w:r>
    </w:p>
    <w:tbl>
      <w:tblPr>
        <w:tblW w:w="0" w:type="auto"/>
        <w:tblLayout w:type="fixed"/>
        <w:tblCellMar>
          <w:left w:w="62" w:type="dxa"/>
          <w:right w:w="62" w:type="dxa"/>
        </w:tblCellMar>
        <w:tblLook w:val="0000"/>
      </w:tblPr>
      <w:tblGrid>
        <w:gridCol w:w="409"/>
        <w:gridCol w:w="2291"/>
        <w:gridCol w:w="952"/>
        <w:gridCol w:w="4808"/>
      </w:tblGrid>
      <w:tr w:rsidTr="000A4E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PERFORMANCE CRITERIA</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w:t>
            </w:r>
          </w:p>
        </w:tc>
        <w:tc>
          <w:tcPr>
            <w:tcW w:w="2291"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Prepare to maintain transmission towers and associated hardware</w:t>
            </w: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1.1</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Works schedule(s), including drawings, plans, requirements, established procedures, and material lists, are received, analysed and confirmed, if necessary, by site</w:t>
            </w:r>
            <w:r w:rsidRPr="009C71DB">
              <w:t xml:space="preserve"> inspection.</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1.2</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Relevant requirements and established procedures for the work are communicated to all personnel and identified for all work sites.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1.3</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OHS policies and procedures related to requirements and established procedures for the maintenance of towers and associated hardware are obtained and confirmed for the purposes of the work to be performed and communicated.</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1.4</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Work is prioritised and se</w:t>
            </w:r>
            <w:r w:rsidRPr="009C71DB">
              <w:t>quenced following consultation with others for completion within acceptable timeframes and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1.5</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Hazards are identified, OHS risks assessed and control measures are prioritised, implemented and monitored includin</w:t>
            </w:r>
            <w:r w:rsidRPr="009C71DB">
              <w:t>g emergency exits kept clear according to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1.6</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Resources including personnel, equipment, tools and personal protective equipment required for the job are obtained and confirmed in working order.</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1.7</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Relevant work permits are obtained to access and perform work according to requirements and/or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1.8</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Relevant personnel at work site are confirmed current in First Aid, Pole Tower/Top Rescue and other related work procedures accord</w:t>
            </w:r>
            <w:r w:rsidRPr="009C71DB">
              <w:t>ing to requirements.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1.9</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Liaison and communication issues with other/authorised personnel, authorities, clients and land owners are resolved to carry out work where necessary.</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1.10</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 xml:space="preserve">Site is prepared according to the work schedule </w:t>
            </w:r>
            <w:r w:rsidRPr="009C71DB">
              <w:t xml:space="preserve">and to minimise risk </w:t>
            </w:r>
            <w:r w:rsidRPr="009C71DB">
              <w:t>and damage to property, commerce, and individuals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1.11</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 xml:space="preserve">Personnel participating in the work, including plant operators and contractors, are fully briefed and respective responsibilities confirmed </w:t>
            </w:r>
            <w:r w:rsidRPr="009C71DB">
              <w:t>where applicable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1.12</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Traffic management plan is identified and implemented.</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w:t>
            </w:r>
          </w:p>
        </w:tc>
        <w:tc>
          <w:tcPr>
            <w:tcW w:w="2291"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Carry out the maintenance of transmission towers and associated hardware</w:t>
            </w: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2.1</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 xml:space="preserve">OHS, sustainable energy and environmental principles </w:t>
            </w:r>
            <w:r w:rsidRPr="009C71DB">
              <w:t>and practices to reduce the incidents of accidents and minimise waste are monitored and followed in accordance with requirements and/or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2.2</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Towers and associated hardware to be erected are stabilised according to requirements.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2.3</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Lifting, climbing, working aloft, and use of power tools/equipment, techniques and practices are safely followed and, currency according to requirements confirmed.</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2.4</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Essential knowledge and associated skills are applied in the safe erection of towers and associated hardware to ensure completion in an agreed timeframe and, to quality standards with a minimum of waste according to requirements.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2.5</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Hazard warnings and</w:t>
            </w:r>
            <w:r w:rsidRPr="009C71DB">
              <w:t xml:space="preserve"> safety signs are recognised and hazards and assessed OHS risks are reported to the immediate authorised persons for directions according to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2.6</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Maintenance, including repair and/or replacement of towers is carried out, in accord</w:t>
            </w:r>
            <w:r w:rsidRPr="009C71DB">
              <w:t>ance with the work schedule and requirements/established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2.7</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Unplanned events in the erection of towers and associated hardware are undertaken within the scope of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2.8</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Known solutions to a variety of problems are applied using acquired essential knowledge and associated skills.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2.9</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Ongoing checks of quality of the work are undertaken in accordance with instructions and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w:t>
            </w:r>
          </w:p>
        </w:tc>
        <w:tc>
          <w:tcPr>
            <w:tcW w:w="2291" w:type="dxa"/>
            <w:vMerge w:val="restart"/>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Complete the maintenan</w:t>
            </w:r>
            <w:r w:rsidRPr="009C71DB">
              <w:t>ce of transmission towers and associated hardware</w:t>
            </w: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3.1</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Work undertaken is checked against works schedule for conformance with requirements and anomalies reported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3.2</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Accidents and/or injuries are reported in accordance with requirements/established procedures, where applicable.</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3.3</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Work site is rehabilitated, cleaned up and made safe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3.4</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 xml:space="preserve">Tools, equipment and any surplus </w:t>
            </w:r>
            <w:r w:rsidRPr="009C71DB">
              <w:t>resources and materials are, where appropriate, cleaned, checked and returned to storage or disposed of in accordance with established procedures.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3.5</w:t>
            </w:r>
          </w:p>
        </w:tc>
        <w:tc>
          <w:tcPr>
            <w:tcW w:w="4808"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Relevant work permit(s) are signed off and, towers and associated hardware are returned to service in accordance with requirements.</w:t>
            </w:r>
          </w:p>
        </w:tc>
      </w:tr>
      <w:tr w:rsidTr="000A4EBB">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2"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t>3.6</w:t>
            </w:r>
          </w:p>
        </w:tc>
        <w:tc>
          <w:tcPr>
            <w:tcW w:w="4808"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 xml:space="preserve">Works completion records, reports, as installed /modified drawing and/or documentation and information are finalised </w:t>
            </w:r>
            <w:r w:rsidRPr="009C71DB">
              <w:t>and processed and appropriate personnel notified.</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9" w:name="O_460776"/>
      <w:bookmarkEnd w:id="9"/>
      <w:r w:rsidRPr="009C71DB">
        <w:t>Required Skills and Knowledge</w:t>
      </w:r>
    </w:p>
    <w:tbl>
      <w:tblPr>
        <w:tblW w:w="0" w:type="auto"/>
        <w:tblLayout w:type="fixed"/>
        <w:tblCellMar>
          <w:left w:w="62" w:type="dxa"/>
          <w:right w:w="62" w:type="dxa"/>
        </w:tblCellMar>
        <w:tblLook w:val="0000"/>
      </w:tblPr>
      <w:tblGrid>
        <w:gridCol w:w="8460"/>
      </w:tblGrid>
      <w:tr w:rsidTr="000A4E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REQUIRED SKILLS AND KNOWLEDGE</w:t>
            </w:r>
          </w:p>
        </w:tc>
      </w:tr>
      <w:tr w:rsidTr="000A4E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8)</w:t>
            </w:r>
            <w:r w:rsidRPr="009C71DB">
              <w:t xml:space="preserve"> Essential Knowledge and Associated Skills (EKAS): This describes the essential skills and knowledge and their level, requir</w:t>
            </w:r>
            <w:r w:rsidRPr="009C71DB">
              <w:t>ed for this unit.</w:t>
            </w:r>
          </w:p>
          <w:p w:rsidR="00000000" w:rsidRPr="009C71DB" w:rsidP="009C71DB">
            <w:pPr>
              <w:pStyle w:val="BodyText"/>
            </w:pPr>
            <w:r w:rsidRPr="009C71DB">
              <w:t xml:space="preserve">Evidence shall show that knowledge has been acquired of maintaining transmission towers and associated hardware. </w:t>
            </w:r>
          </w:p>
          <w:p w:rsidR="00000000" w:rsidRPr="009C71DB" w:rsidP="009C71DB">
            <w:pPr>
              <w:pStyle w:val="BodyText"/>
            </w:pPr>
            <w:r w:rsidRPr="009C71DB">
              <w:t>All knowledge and skills detailed in this unit should be contextualised to current industry practices and technologies.</w:t>
            </w:r>
          </w:p>
          <w:p w:rsidR="00000000" w:rsidRPr="009C71DB" w:rsidP="009C71DB">
            <w:pPr>
              <w:pStyle w:val="BodyText"/>
            </w:pPr>
            <w:r w:rsidRPr="009C71DB">
              <w:t xml:space="preserve">KS01-TTP27A </w:t>
            </w:r>
            <w:r w:rsidRPr="009C71DB">
              <w:tab/>
              <w:t>Routine maintenance on transmission structures</w:t>
            </w:r>
          </w:p>
          <w:p w:rsidR="00000000" w:rsidRPr="009C71DB" w:rsidP="009C71DB">
            <w:pPr>
              <w:pStyle w:val="BodyText"/>
            </w:pPr>
            <w:r w:rsidRPr="009C71DB">
              <w:t>Evidence shall show an understanding of procedures for routine maintenance on transmission structures and hardware to an extent indicated by the following aspects:</w:t>
            </w:r>
          </w:p>
          <w:p w:rsidR="00000000" w:rsidRPr="009C71DB" w:rsidP="009C71DB">
            <w:pPr>
              <w:pStyle w:val="BodyText"/>
            </w:pPr>
            <w:r w:rsidRPr="009C71DB">
              <w:t>T1</w:t>
            </w:r>
            <w:r w:rsidRPr="009C71DB">
              <w:tab/>
              <w:t>Procedures for gaining access</w:t>
            </w:r>
            <w:r w:rsidRPr="009C71DB">
              <w:t xml:space="preserve"> permits </w:t>
            </w:r>
          </w:p>
          <w:p w:rsidR="00000000" w:rsidRPr="009C71DB" w:rsidP="009C71DB">
            <w:pPr>
              <w:pStyle w:val="BodyText"/>
            </w:pPr>
            <w:r w:rsidRPr="009C71DB">
              <w:t>T2</w:t>
            </w:r>
            <w:r w:rsidRPr="009C71DB">
              <w:tab/>
              <w:t xml:space="preserve">Reasons for gaining access </w:t>
            </w:r>
          </w:p>
          <w:p w:rsidR="00000000" w:rsidRPr="009C71DB" w:rsidP="009C71DB">
            <w:pPr>
              <w:pStyle w:val="BodyText"/>
            </w:pPr>
            <w:r w:rsidRPr="009C71DB">
              <w:t>T3</w:t>
            </w:r>
            <w:r w:rsidRPr="009C71DB">
              <w:tab/>
              <w:t xml:space="preserve">Types of maintenance procedures on transmission structures encompassing: </w:t>
            </w:r>
          </w:p>
          <w:p w:rsidR="00000000" w:rsidRPr="009C71DB" w:rsidP="009C71DB">
            <w:pPr>
              <w:pStyle w:val="ListBullet"/>
            </w:pPr>
            <w:r w:rsidRPr="009C71DB">
              <w:t xml:space="preserve">Procedure to follow for inspection/patrols according to the Transmission Supply Authority </w:t>
            </w:r>
          </w:p>
          <w:p w:rsidR="00000000" w:rsidRPr="009C71DB" w:rsidP="009C71DB">
            <w:pPr>
              <w:pStyle w:val="BodyText"/>
            </w:pPr>
            <w:r w:rsidRPr="009C71DB">
              <w:t>T4</w:t>
            </w:r>
            <w:r w:rsidRPr="009C71DB">
              <w:tab/>
              <w:t>Erecting and removing of transmission equip</w:t>
            </w:r>
            <w:r w:rsidRPr="009C71DB">
              <w:t xml:space="preserve">ment and hardware from a tower encompassing: </w:t>
            </w:r>
          </w:p>
          <w:p w:rsidR="00000000" w:rsidRPr="009C71DB" w:rsidP="009C71DB">
            <w:pPr>
              <w:pStyle w:val="ListBullet"/>
            </w:pPr>
            <w:r w:rsidRPr="009C71DB">
              <w:t xml:space="preserve">Climbing procedures </w:t>
            </w:r>
          </w:p>
          <w:p w:rsidR="00000000" w:rsidRPr="009C71DB" w:rsidP="009C71DB">
            <w:pPr>
              <w:pStyle w:val="ListBullet"/>
            </w:pPr>
            <w:r w:rsidRPr="009C71DB">
              <w:t xml:space="preserve">Square rigging principles </w:t>
            </w:r>
          </w:p>
          <w:p w:rsidR="00000000" w:rsidRPr="009C71DB" w:rsidP="009C71DB">
            <w:pPr>
              <w:pStyle w:val="ListBullet"/>
            </w:pPr>
            <w:r w:rsidRPr="009C71DB">
              <w:t xml:space="preserve">Calculation of forces at work within a given square rigging system </w:t>
            </w:r>
          </w:p>
          <w:p w:rsidR="00000000" w:rsidRPr="009C71DB" w:rsidP="009C71DB">
            <w:pPr>
              <w:pStyle w:val="ListBullet"/>
            </w:pPr>
            <w:r w:rsidRPr="009C71DB">
              <w:t xml:space="preserve">Construction of a square rigging system </w:t>
            </w:r>
          </w:p>
          <w:p w:rsidR="00000000" w:rsidRPr="009C71DB" w:rsidP="009C71DB">
            <w:pPr>
              <w:pStyle w:val="ListBullet"/>
            </w:pPr>
            <w:r w:rsidRPr="009C71DB">
              <w:t xml:space="preserve">Procedures for changing insulators </w:t>
            </w:r>
          </w:p>
          <w:p w:rsidR="00000000" w:rsidRPr="009C71DB" w:rsidP="009C71DB">
            <w:pPr>
              <w:pStyle w:val="ListBullet"/>
            </w:pPr>
            <w:r w:rsidRPr="009C71DB">
              <w:t>Note: Examples i</w:t>
            </w:r>
            <w:r w:rsidRPr="009C71DB">
              <w:t xml:space="preserve">nclude vertical angle suspension, strain insulator, post insulator (horizontal or vertical) and bridge insulator, calculation of conductor forces </w:t>
            </w:r>
          </w:p>
          <w:p w:rsidR="00000000" w:rsidRPr="009C71DB" w:rsidP="009C71DB">
            <w:pPr>
              <w:pStyle w:val="BodyText"/>
            </w:pPr>
            <w:r w:rsidRPr="009C71DB">
              <w:t>T5</w:t>
            </w:r>
            <w:r w:rsidRPr="009C71DB">
              <w:tab/>
              <w:t xml:space="preserve">Installation of temporary work platforms encompassing: </w:t>
            </w:r>
          </w:p>
          <w:p w:rsidR="00000000" w:rsidRPr="009C71DB" w:rsidP="009C71DB">
            <w:pPr>
              <w:pStyle w:val="ListBullet"/>
            </w:pPr>
            <w:r w:rsidRPr="009C71DB">
              <w:t>Types and function of installation tools and equi</w:t>
            </w:r>
            <w:r w:rsidRPr="009C71DB">
              <w:t xml:space="preserve">pment </w:t>
            </w:r>
          </w:p>
          <w:p w:rsidR="00000000" w:rsidRPr="009C71DB" w:rsidP="009C71DB">
            <w:pPr>
              <w:pStyle w:val="ListBullet"/>
            </w:pPr>
            <w:r w:rsidRPr="009C71DB">
              <w:t xml:space="preserve">Precautions and work methods to follow </w:t>
            </w:r>
          </w:p>
          <w:p w:rsidR="00000000" w:rsidRPr="009C71DB" w:rsidP="009C71DB">
            <w:pPr>
              <w:pStyle w:val="ListBullet"/>
            </w:pPr>
            <w:r w:rsidRPr="009C71DB">
              <w:t xml:space="preserve">Procedures for installations of temporary work platforms </w:t>
            </w:r>
          </w:p>
          <w:p w:rsidR="00000000" w:rsidRPr="009C71DB" w:rsidP="009C71DB">
            <w:pPr>
              <w:pStyle w:val="BodyText"/>
            </w:pPr>
            <w:r w:rsidRPr="009C71DB">
              <w:t>T6</w:t>
            </w:r>
            <w:r w:rsidRPr="009C71DB">
              <w:tab/>
              <w:t xml:space="preserve">Installation of conductor protective hardware encompassing: </w:t>
            </w:r>
          </w:p>
          <w:p w:rsidR="00000000" w:rsidRPr="009C71DB" w:rsidP="009C71DB">
            <w:pPr>
              <w:pStyle w:val="ListBullet"/>
            </w:pPr>
            <w:r w:rsidRPr="009C71DB">
              <w:t xml:space="preserve">Types and selection of common dampers, tools and equipment </w:t>
            </w:r>
          </w:p>
          <w:p w:rsidR="00000000" w:rsidRPr="009C71DB" w:rsidP="009C71DB">
            <w:pPr>
              <w:pStyle w:val="ListBullet"/>
            </w:pPr>
            <w:r w:rsidRPr="009C71DB">
              <w:t xml:space="preserve">Control of Aeolian vibration </w:t>
            </w:r>
          </w:p>
          <w:p w:rsidR="00000000" w:rsidRPr="009C71DB" w:rsidP="009C71DB">
            <w:pPr>
              <w:pStyle w:val="ListBullet"/>
            </w:pPr>
            <w:r w:rsidRPr="009C71DB">
              <w:t xml:space="preserve">Procedures for the installation of dampers onto conductors </w:t>
            </w:r>
          </w:p>
          <w:p w:rsidR="00000000" w:rsidRPr="009C71DB" w:rsidP="009C71DB">
            <w:pPr>
              <w:pStyle w:val="BodyText"/>
            </w:pPr>
            <w:r w:rsidRPr="009C71DB">
              <w:t>T7</w:t>
            </w:r>
            <w:r w:rsidRPr="009C71DB">
              <w:tab/>
              <w:t xml:space="preserve">Dead line insulator washing encompassing: </w:t>
            </w:r>
          </w:p>
          <w:p w:rsidR="00000000" w:rsidRPr="009C71DB" w:rsidP="009C71DB">
            <w:pPr>
              <w:pStyle w:val="ListBullet"/>
            </w:pPr>
            <w:r w:rsidRPr="009C71DB">
              <w:t xml:space="preserve">Supply Authority regulations </w:t>
            </w:r>
          </w:p>
          <w:p w:rsidR="00000000" w:rsidRPr="009C71DB" w:rsidP="009C71DB">
            <w:pPr>
              <w:pStyle w:val="ListBullet"/>
            </w:pPr>
            <w:r w:rsidRPr="009C71DB">
              <w:t>Procedure for washing de-energised transmission lines</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10" w:name="O_460771"/>
      <w:bookmarkEnd w:id="10"/>
      <w:r w:rsidRPr="009C71DB">
        <w:t>Evidence Guide</w:t>
      </w:r>
    </w:p>
    <w:tbl>
      <w:tblPr>
        <w:tblW w:w="0" w:type="auto"/>
        <w:tblLayout w:type="fixed"/>
        <w:tblCellMar>
          <w:left w:w="62" w:type="dxa"/>
          <w:right w:w="62" w:type="dxa"/>
        </w:tblCellMar>
        <w:tblLook w:val="0000"/>
      </w:tblPr>
      <w:tblGrid>
        <w:gridCol w:w="8460"/>
      </w:tblGrid>
      <w:tr w:rsidTr="000A4E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E</w:t>
            </w:r>
            <w:r w:rsidRPr="009C71DB">
              <w:rPr>
                <w:rStyle w:val="SpecialBold"/>
              </w:rPr>
              <w:t>VIDENCE GUIDE</w:t>
            </w:r>
          </w:p>
        </w:tc>
      </w:tr>
      <w:tr w:rsidTr="000A4E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9)</w:t>
            </w:r>
            <w:r w:rsidRPr="009C71DB">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9C71DB" w:rsidP="009C71DB">
            <w:pPr>
              <w:pStyle w:val="BodyText"/>
            </w:pPr>
            <w:r w:rsidRPr="009C71DB">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9C71DB" w:rsidP="009C71DB">
      <w:pPr>
        <w:pStyle w:val="BodyText"/>
      </w:pPr>
    </w:p>
    <w:tbl>
      <w:tblPr>
        <w:tblW w:w="0" w:type="auto"/>
        <w:tblLayout w:type="fixed"/>
        <w:tblCellMar>
          <w:left w:w="62" w:type="dxa"/>
          <w:right w:w="62" w:type="dxa"/>
        </w:tblCellMar>
        <w:tblLook w:val="0000"/>
      </w:tblPr>
      <w:tblGrid>
        <w:gridCol w:w="1890"/>
        <w:gridCol w:w="6570"/>
      </w:tblGrid>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9.1)</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Longitudinal competency development approaches to assessment, such as Profiling, require data to be reliably gathered in a form that can be consistently interpreted over time. This approach is best utilised in Apprenticeship programs and reduces as</w:t>
            </w:r>
            <w:r w:rsidRPr="009C71DB">
              <w:t>sessment intervention. It is the Industry’s preferred model for apprenticeships. However, where summative (or final) assessment is used it is to include the application of the competency in the normal work environment or, at a minimum, the application of t</w:t>
            </w:r>
            <w:r w:rsidRPr="009C71DB">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9C71DB" w:rsidP="009C71DB">
            <w:pPr>
              <w:pStyle w:val="BodyText"/>
            </w:pPr>
            <w:r w:rsidRPr="009C71DB">
              <w:t>Method</w:t>
            </w:r>
            <w:r w:rsidRPr="009C71DB">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9C71DB">
              <w:t>may be required and the critical nature of the competencies being assessed.</w:t>
            </w:r>
          </w:p>
          <w:p w:rsidR="00000000" w:rsidRPr="009C71DB" w:rsidP="009C71DB">
            <w:pPr>
              <w:pStyle w:val="BodyText"/>
            </w:pPr>
            <w:r w:rsidRPr="009C71DB">
              <w:t>The critical safety nature of working with electricity, electrical equipment, gas or any other hazardous substance/material carries risk in deeming a person competent. Hence, sourc</w:t>
            </w:r>
            <w:r w:rsidRPr="009C71DB">
              <w:t>es of evidence need to be ‘rich’ in nature so as to minimise error in judgment.</w:t>
            </w:r>
          </w:p>
          <w:p w:rsidR="00000000" w:rsidRPr="009C71DB" w:rsidP="009C71DB">
            <w:pPr>
              <w:pStyle w:val="BodyText"/>
            </w:pPr>
            <w:r w:rsidRPr="009C71DB">
              <w:t>Activities associated with normal every day work have a bearing on the decision as to how much and how detailed the data gathered will contribute to its ‘richness’</w:t>
            </w:r>
            <w:r w:rsidRPr="009C71DB">
              <w:t>. Some skills are more critical to safety and operational requirements while the same skills may be more or less frequently practiced. These points are raised for the assessors to consider when choosing an assessment method and developing assessment instru</w:t>
            </w:r>
            <w:r w:rsidRPr="009C71DB">
              <w:t>ments. Sample assessment instruments are included for Assessors in the Assessment Guidelines of this Training Package.</w:t>
            </w:r>
          </w:p>
        </w:tc>
      </w:tr>
    </w:tbl>
    <w:p w:rsidR="00000000" w:rsidRPr="009C71DB" w:rsidP="009C71D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9.2)</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Before the critical aspects of evidence are cons</w:t>
            </w:r>
            <w:r w:rsidRPr="009C71DB">
              <w:t>idered all prerequisites shall be met.</w:t>
            </w:r>
          </w:p>
          <w:p w:rsidR="00000000" w:rsidRPr="009C71DB" w:rsidP="009C71DB">
            <w:pPr>
              <w:pStyle w:val="BodyText"/>
            </w:pPr>
            <w:r w:rsidRPr="009C71DB">
              <w:t>Evidence for competence in this unit shall be considered holistically. Each element and associated Performance Criteria shall be demonstrated on at least two occasions in accordance with the “Assessment Guidelines – U</w:t>
            </w:r>
            <w:r w:rsidRPr="009C71DB">
              <w:t>ET12”. Evidence shall also comprise:</w:t>
            </w:r>
          </w:p>
          <w:p w:rsidR="00000000" w:rsidRPr="009C71DB" w:rsidP="009C71DB">
            <w:pPr>
              <w:pStyle w:val="ListBullet"/>
            </w:pPr>
            <w:r w:rsidRPr="009C71DB">
              <w:t xml:space="preserve">A representative body of Performance Criteria demonstrated within the timeframes typically expected of the discipline, work function and industrial environment. In particular this shall incorporate evidence that shows </w:t>
            </w:r>
            <w:r w:rsidRPr="009C71DB">
              <w:t>a candidate is able to:</w:t>
            </w:r>
          </w:p>
          <w:p w:rsidR="00000000" w:rsidRPr="009C71DB" w:rsidP="009C71DB">
            <w:pPr>
              <w:pStyle w:val="ListBullet2"/>
            </w:pPr>
            <w:r w:rsidRPr="009C71DB">
              <w:t>Implement Occupational Health and Safety workplace procedures and practices including the use of risk control measures as specified in the Performance Criteria and range; and</w:t>
            </w:r>
          </w:p>
          <w:p w:rsidR="00000000" w:rsidRPr="009C71DB" w:rsidP="009C71DB">
            <w:pPr>
              <w:pStyle w:val="ListBullet2"/>
            </w:pPr>
            <w:r w:rsidRPr="009C71DB">
              <w:t>Apply sustainable energy principles and practices as specified in the Performance Criteria and range; and</w:t>
            </w:r>
          </w:p>
          <w:p w:rsidR="00000000" w:rsidRPr="009C71DB" w:rsidP="009C71DB">
            <w:pPr>
              <w:pStyle w:val="ListBullet2"/>
            </w:pPr>
            <w:r w:rsidRPr="009C71DB">
              <w:t>Demonstrate an understanding of the essential knowledge and associated skills as described in this unit to such an extent that the learner’s performan</w:t>
            </w:r>
            <w:r w:rsidRPr="009C71DB">
              <w:t>ce outcome is reported in accordance with the preferred approach; namely a percentile graded result, where required by the regulated environment; and</w:t>
            </w:r>
          </w:p>
          <w:p w:rsidR="00000000" w:rsidRPr="009C71DB" w:rsidP="009C71DB">
            <w:pPr>
              <w:pStyle w:val="ListBullet2"/>
            </w:pPr>
            <w:r w:rsidRPr="009C71DB">
              <w:t>Demonstrate an appropriate level of employability skills; and</w:t>
            </w:r>
          </w:p>
          <w:p w:rsidR="00000000" w:rsidRPr="009C71DB" w:rsidP="009C71DB">
            <w:pPr>
              <w:pStyle w:val="ListBullet"/>
            </w:pPr>
            <w:r w:rsidRPr="009C71DB">
              <w:t>Conduct work observing the relevant Anti Di</w:t>
            </w:r>
            <w:r w:rsidRPr="009C71DB">
              <w:t>scrimination legislation, regulations, policies and workplace procedures; and</w:t>
            </w:r>
          </w:p>
          <w:p w:rsidR="00000000" w:rsidP="009C71DB">
            <w:pPr>
              <w:pStyle w:val="ListBullet2"/>
              <w:rPr>
                <w:lang w:val="en-NZ"/>
              </w:rPr>
            </w:pPr>
            <w:r w:rsidRPr="009C71DB">
              <w:t>Demonstrated performance across a representative range of contexts from the prescribed items below:</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C71D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rPr>
                <w:rStyle w:val="SpecialBold"/>
              </w:rPr>
              <w:t>Range of too</w:t>
            </w:r>
            <w:r w:rsidRPr="009C71DB">
              <w:rPr>
                <w:rStyle w:val="SpecialBold"/>
              </w:rPr>
              <w:t>ls/equipment/materials/procedures/workplaces/other variables</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C71D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rPr>
                <w:rStyle w:val="SpecialBold"/>
              </w:rPr>
              <w:t>Item List</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t xml:space="preserve">Pyramid </w:t>
            </w:r>
          </w:p>
          <w:p w:rsidR="00000000" w:rsidRPr="009C71DB" w:rsidP="009C71DB">
            <w:pPr>
              <w:pStyle w:val="BodyText"/>
            </w:pPr>
            <w:r w:rsidRPr="009C71DB">
              <w:t>Delta pi</w:t>
            </w:r>
          </w:p>
          <w:p w:rsidR="00000000" w:rsidP="009C71DB">
            <w:pPr>
              <w:pStyle w:val="BodyText"/>
              <w:rPr>
                <w:lang w:val="en-NZ"/>
              </w:rPr>
            </w:pPr>
            <w:r w:rsidRPr="009C71DB">
              <w:t>Enterprise specific type</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t>Insulators</w:t>
            </w:r>
          </w:p>
          <w:p w:rsidR="00000000" w:rsidRPr="009C71DB" w:rsidP="009C71DB">
            <w:pPr>
              <w:pStyle w:val="BodyText"/>
            </w:pPr>
            <w:r w:rsidRPr="009C71DB">
              <w:t>Clamps</w:t>
            </w:r>
          </w:p>
          <w:p w:rsidR="00000000" w:rsidRPr="009C71DB" w:rsidP="009C71DB">
            <w:pPr>
              <w:pStyle w:val="BodyText"/>
            </w:pPr>
            <w:r w:rsidRPr="009C71DB">
              <w:t>Bolts</w:t>
            </w:r>
          </w:p>
          <w:p w:rsidR="00000000" w:rsidP="009C71DB">
            <w:pPr>
              <w:pStyle w:val="BodyText"/>
              <w:rPr>
                <w:lang w:val="en-NZ"/>
              </w:rPr>
            </w:pPr>
            <w:r w:rsidRPr="009C71DB">
              <w:t>Structural components</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t>Welding</w:t>
            </w:r>
          </w:p>
          <w:p w:rsidR="00000000" w:rsidP="009C71DB">
            <w:pPr>
              <w:pStyle w:val="BodyText"/>
              <w:rPr>
                <w:lang w:val="en-NZ"/>
              </w:rPr>
            </w:pPr>
            <w:r w:rsidRPr="009C71DB">
              <w:t>Cleaning</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1DB">
            <w:pPr>
              <w:pStyle w:val="BodyText"/>
              <w:rPr>
                <w:lang w:val="en-NZ"/>
              </w:rPr>
            </w:pPr>
            <w:r w:rsidRPr="009C71D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1DB" w:rsidP="009C71DB">
            <w:pPr>
              <w:pStyle w:val="BodyText"/>
            </w:pPr>
            <w:r w:rsidRPr="009C71DB">
              <w:t xml:space="preserve">Dealing with an unplanned event by drawing on essential knowledge and associated skills to provide appropriate solutions incorporated in the holistic assessment with the above listed </w:t>
            </w:r>
            <w:r w:rsidRPr="009C71DB">
              <w:t>items.</w:t>
            </w:r>
          </w:p>
        </w:tc>
      </w:tr>
    </w:tbl>
    <w:p w:rsidR="00000000" w:rsidRPr="009C71DB" w:rsidP="009C71DB">
      <w:pPr>
        <w:pStyle w:val="BodyText"/>
      </w:pPr>
    </w:p>
    <w:tbl>
      <w:tblPr>
        <w:tblW w:w="0" w:type="auto"/>
        <w:tblLayout w:type="fixed"/>
        <w:tblCellMar>
          <w:left w:w="62" w:type="dxa"/>
          <w:right w:w="62" w:type="dxa"/>
        </w:tblCellMar>
        <w:tblLook w:val="0000"/>
      </w:tblPr>
      <w:tblGrid>
        <w:gridCol w:w="1890"/>
        <w:gridCol w:w="6570"/>
      </w:tblGrid>
      <w:tr w:rsidTr="000A4E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9.3)</w:t>
            </w:r>
          </w:p>
        </w:tc>
      </w:tr>
      <w:tr w:rsidTr="000A4E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This unit should be assessed as it relates to normal work practice using procedures, information and resources typical of a workplace. This should include:</w:t>
            </w:r>
          </w:p>
          <w:p w:rsidR="00000000" w:rsidRPr="009C71DB" w:rsidP="009C71DB">
            <w:pPr>
              <w:pStyle w:val="ListBullet"/>
            </w:pPr>
            <w:r w:rsidRPr="009C71DB">
              <w:t>OHS policy and work procedures and instructions.</w:t>
            </w:r>
          </w:p>
          <w:p w:rsidR="00000000" w:rsidRPr="009C71DB" w:rsidP="009C71DB">
            <w:pPr>
              <w:pStyle w:val="ListBullet"/>
            </w:pPr>
            <w:r w:rsidRPr="009C71DB">
              <w:t>Suitable work environment, facilities, equipment a</w:t>
            </w:r>
            <w:r w:rsidRPr="009C71DB">
              <w:t>nd materials to undertake actual pre-tension stringing of transmission overhead conductors and cables.</w:t>
            </w:r>
          </w:p>
          <w:p w:rsidR="00000000" w:rsidRPr="009C71DB" w:rsidP="009C71DB">
            <w:pPr>
              <w:pStyle w:val="BodyText"/>
            </w:pPr>
            <w:r w:rsidRPr="009C71DB">
              <w:t>In addition to the resources listed above, in Context of and specific resources for assessment, evidence should show demonstrated competency working belo</w:t>
            </w:r>
            <w:r w:rsidRPr="009C71DB">
              <w:t>w ground, in limited spaces, with different structural/construction types and method and in a variety of environments</w:t>
            </w:r>
          </w:p>
        </w:tc>
      </w:tr>
    </w:tbl>
    <w:p w:rsidR="00000000" w:rsidRPr="009C71DB" w:rsidP="009C71DB">
      <w:pPr>
        <w:pStyle w:val="BodyText"/>
      </w:pPr>
    </w:p>
    <w:tbl>
      <w:tblPr>
        <w:tblW w:w="0" w:type="auto"/>
        <w:tblLayout w:type="fixed"/>
        <w:tblCellMar>
          <w:left w:w="62" w:type="dxa"/>
          <w:right w:w="62" w:type="dxa"/>
        </w:tblCellMar>
        <w:tblLook w:val="0000"/>
      </w:tblPr>
      <w:tblGrid>
        <w:gridCol w:w="1890"/>
        <w:gridCol w:w="6570"/>
      </w:tblGrid>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9.4)</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This Competency Standard Unit shall be assessed by methods given in Volume 1, Part 3 “Assessment Guidelines”</w:t>
            </w:r>
            <w:r w:rsidRPr="009C71DB">
              <w:t>.</w:t>
            </w:r>
          </w:p>
          <w:p w:rsidR="00000000" w:rsidRPr="009C71DB" w:rsidP="009C71DB">
            <w:pPr>
              <w:pStyle w:val="BodyText"/>
            </w:pPr>
            <w:r w:rsidRPr="009C71DB">
              <w:t>Note:</w:t>
            </w:r>
          </w:p>
          <w:p w:rsidR="00000000" w:rsidRPr="009C71DB" w:rsidP="009C71DB">
            <w:pPr>
              <w:pStyle w:val="BodyText"/>
            </w:pPr>
            <w:r w:rsidRPr="009C71DB">
              <w:t>Competent performance with inherent safe working practices is expected in the Transmission, Distribution and Rail Traction Industry. This requires that the specified essential knowledge and associated skills are assessed in a structured environment</w:t>
            </w:r>
            <w:r w:rsidRPr="009C71DB">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9C71DB" w:rsidP="009C71DB">
      <w:pPr>
        <w:pStyle w:val="BodyText"/>
      </w:pPr>
    </w:p>
    <w:tbl>
      <w:tblPr>
        <w:tblW w:w="0" w:type="auto"/>
        <w:tblLayout w:type="fixed"/>
        <w:tblCellMar>
          <w:left w:w="62" w:type="dxa"/>
          <w:right w:w="62" w:type="dxa"/>
        </w:tblCellMar>
        <w:tblLook w:val="0000"/>
      </w:tblPr>
      <w:tblGrid>
        <w:gridCol w:w="1890"/>
        <w:gridCol w:w="6570"/>
      </w:tblGrid>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Concurrent assessment and relations</w:t>
            </w:r>
            <w:r w:rsidRPr="009C71DB">
              <w:rPr>
                <w:rStyle w:val="SpecialBold"/>
              </w:rPr>
              <w:t>hip with other units</w:t>
            </w:r>
          </w:p>
        </w:tc>
        <w:tc>
          <w:tcPr>
            <w:tcW w:w="657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9.5)</w:t>
            </w:r>
          </w:p>
        </w:tc>
      </w:tr>
      <w:tr w:rsidTr="000A4E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There are no concurrent assessment recommendations for this unit.</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11" w:name="O_460775"/>
      <w:bookmarkEnd w:id="11"/>
      <w:r w:rsidRPr="009C71DB">
        <w:t>Range Statement</w:t>
      </w:r>
    </w:p>
    <w:tbl>
      <w:tblPr>
        <w:tblW w:w="0" w:type="auto"/>
        <w:tblLayout w:type="fixed"/>
        <w:tblCellMar>
          <w:left w:w="62" w:type="dxa"/>
          <w:right w:w="62" w:type="dxa"/>
        </w:tblCellMar>
        <w:tblLook w:val="0000"/>
      </w:tblPr>
      <w:tblGrid>
        <w:gridCol w:w="8460"/>
      </w:tblGrid>
      <w:tr w:rsidTr="000A4E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RANGE STATEMENT</w:t>
            </w:r>
          </w:p>
        </w:tc>
      </w:tr>
      <w:tr w:rsidTr="000A4E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10)</w:t>
            </w:r>
            <w:r w:rsidRPr="009C71DB">
              <w:t xml:space="preserve"> This relates to the unit of competency as a whole providing the range of contexts and conditions </w:t>
            </w:r>
            <w:r w:rsidRPr="009C71DB">
              <w:t>to which the Performance Criteria apply. It allows for different work environments and situations that will affect performance.</w:t>
            </w:r>
          </w:p>
          <w:p w:rsidR="00000000" w:rsidRPr="009C71DB" w:rsidP="009C71DB">
            <w:pPr>
              <w:pStyle w:val="BodyText"/>
            </w:pPr>
            <w:r w:rsidRPr="009C71DB">
              <w:t>This Competency Standard Unit shall be demonstrated in relation to the erection of non-energised, pyramid, delta, Pi or enterpri</w:t>
            </w:r>
            <w:r w:rsidRPr="009C71DB">
              <w:t>se specific towers in accordance with construction plans and specifications</w:t>
            </w:r>
          </w:p>
          <w:p w:rsidR="00000000" w:rsidRPr="009C71DB" w:rsidP="009C71DB">
            <w:pPr>
              <w:pStyle w:val="BodyText"/>
            </w:pPr>
            <w:r w:rsidRPr="009C71DB">
              <w:t>Tower types may include pyramid, delta and pi and other enterprise specific types.</w:t>
            </w:r>
          </w:p>
          <w:p w:rsidR="00000000" w:rsidRPr="009C71DB" w:rsidP="009C71DB">
            <w:pPr>
              <w:pStyle w:val="BodyText"/>
            </w:pPr>
            <w:r w:rsidRPr="009C71DB">
              <w:t>Maintenance may include the removal, repair and replacement of tower components, including weldin</w:t>
            </w:r>
            <w:r w:rsidRPr="009C71DB">
              <w:t>g where appropriate; and the replacement, repair and cleaning of associated hardware.</w:t>
            </w:r>
          </w:p>
          <w:p w:rsidR="00000000" w:rsidRPr="009C71DB" w:rsidP="009C71DB">
            <w:pPr>
              <w:pStyle w:val="BodyText"/>
            </w:pPr>
            <w:r w:rsidRPr="009C71DB">
              <w:t>The following constants and variables included in the element/Performance Criteria in this unit are fully described in the Definitions Section 1 of this volume and form a</w:t>
            </w:r>
            <w:r w:rsidRPr="009C71DB">
              <w:t>n integral part of the Range Statement of this unit:</w:t>
            </w:r>
          </w:p>
          <w:p w:rsidR="00000000" w:rsidRPr="009C71DB" w:rsidP="009C71DB">
            <w:pPr>
              <w:pStyle w:val="ListBullet3"/>
            </w:pPr>
            <w:r w:rsidRPr="009C71DB">
              <w:t>Appropriate and relevant persons (see Personnel)</w:t>
            </w:r>
          </w:p>
          <w:p w:rsidR="00000000" w:rsidRPr="009C71DB" w:rsidP="009C71DB">
            <w:pPr>
              <w:pStyle w:val="ListBullet3"/>
            </w:pPr>
            <w:r w:rsidRPr="009C71DB">
              <w:t>Appropriate authorities</w:t>
            </w:r>
          </w:p>
          <w:p w:rsidR="00000000" w:rsidRPr="009C71DB" w:rsidP="009C71DB">
            <w:pPr>
              <w:pStyle w:val="ListBullet3"/>
            </w:pPr>
            <w:r w:rsidRPr="009C71DB">
              <w:t>Appropriate work platform</w:t>
            </w:r>
          </w:p>
          <w:p w:rsidR="00000000" w:rsidRPr="009C71DB" w:rsidP="009C71DB">
            <w:pPr>
              <w:pStyle w:val="ListBullet3"/>
            </w:pPr>
            <w:r w:rsidRPr="009C71DB">
              <w:t>Assessing risk</w:t>
            </w:r>
          </w:p>
          <w:p w:rsidR="00000000" w:rsidRPr="009C71DB" w:rsidP="009C71DB">
            <w:pPr>
              <w:pStyle w:val="ListBullet3"/>
            </w:pPr>
            <w:r w:rsidRPr="009C71DB">
              <w:t>Assessment</w:t>
            </w:r>
          </w:p>
          <w:p w:rsidR="00000000" w:rsidRPr="009C71DB" w:rsidP="009C71DB">
            <w:pPr>
              <w:pStyle w:val="ListBullet3"/>
            </w:pPr>
            <w:r w:rsidRPr="009C71DB">
              <w:t>Authorisation</w:t>
            </w:r>
          </w:p>
          <w:p w:rsidR="00000000" w:rsidRPr="009C71DB" w:rsidP="009C71DB">
            <w:pPr>
              <w:pStyle w:val="ListBullet3"/>
            </w:pPr>
            <w:r w:rsidRPr="009C71DB">
              <w:t>Diagnostic, testing and restoration</w:t>
            </w:r>
          </w:p>
          <w:p w:rsidR="00000000" w:rsidRPr="009C71DB" w:rsidP="009C71DB">
            <w:pPr>
              <w:pStyle w:val="ListBullet3"/>
            </w:pPr>
            <w:r w:rsidRPr="009C71DB">
              <w:t>Documenting detail work eve</w:t>
            </w:r>
            <w:r w:rsidRPr="009C71DB">
              <w:t>nts, record keeping and or storage of information</w:t>
            </w:r>
          </w:p>
          <w:p w:rsidR="00000000" w:rsidRPr="009C71DB" w:rsidP="009C71DB">
            <w:pPr>
              <w:pStyle w:val="ListBullet3"/>
            </w:pPr>
            <w:r w:rsidRPr="009C71DB">
              <w:t>Drawings and specifications</w:t>
            </w:r>
          </w:p>
          <w:p w:rsidR="00000000" w:rsidRPr="009C71DB" w:rsidP="009C71DB">
            <w:pPr>
              <w:pStyle w:val="ListBullet3"/>
            </w:pPr>
            <w:r w:rsidRPr="009C71DB">
              <w:t>Emergency</w:t>
            </w:r>
          </w:p>
          <w:p w:rsidR="00000000" w:rsidRPr="009C71DB" w:rsidP="009C71DB">
            <w:pPr>
              <w:pStyle w:val="ListBullet3"/>
            </w:pPr>
            <w:r w:rsidRPr="009C71DB">
              <w:t>Environmental and sustainable energy procedures</w:t>
            </w:r>
          </w:p>
          <w:p w:rsidR="00000000" w:rsidRPr="009C71DB" w:rsidP="009C71DB">
            <w:pPr>
              <w:pStyle w:val="ListBullet3"/>
            </w:pPr>
            <w:r w:rsidRPr="009C71DB">
              <w:t>Environmental legislation</w:t>
            </w:r>
          </w:p>
          <w:p w:rsidR="00000000" w:rsidRPr="009C71DB" w:rsidP="009C71DB">
            <w:pPr>
              <w:pStyle w:val="ListBullet3"/>
            </w:pPr>
            <w:r w:rsidRPr="009C71DB">
              <w:t>Environmental management documentation</w:t>
            </w:r>
          </w:p>
          <w:p w:rsidR="00000000" w:rsidRPr="009C71DB" w:rsidP="009C71DB">
            <w:pPr>
              <w:pStyle w:val="ListBullet3"/>
            </w:pPr>
            <w:r w:rsidRPr="009C71DB">
              <w:t>Established procedures</w:t>
            </w:r>
          </w:p>
          <w:p w:rsidR="00000000" w:rsidRPr="009C71DB" w:rsidP="009C71DB">
            <w:pPr>
              <w:pStyle w:val="ListBullet3"/>
            </w:pPr>
            <w:r w:rsidRPr="009C71DB">
              <w:t>Fall prevention</w:t>
            </w:r>
          </w:p>
          <w:p w:rsidR="00000000" w:rsidRPr="009C71DB" w:rsidP="009C71DB">
            <w:pPr>
              <w:pStyle w:val="ListBullet3"/>
            </w:pPr>
            <w:r w:rsidRPr="009C71DB">
              <w:t>Hazards</w:t>
            </w:r>
          </w:p>
          <w:p w:rsidR="00000000" w:rsidRPr="009C71DB" w:rsidP="009C71DB">
            <w:pPr>
              <w:pStyle w:val="ListBullet3"/>
            </w:pPr>
            <w:r w:rsidRPr="009C71DB">
              <w:t>Identifying hazards</w:t>
            </w:r>
          </w:p>
          <w:p w:rsidR="00000000" w:rsidRPr="009C71DB" w:rsidP="009C71DB">
            <w:pPr>
              <w:pStyle w:val="ListBullet3"/>
            </w:pPr>
            <w:r w:rsidRPr="009C71DB">
              <w:t>Inspect</w:t>
            </w:r>
          </w:p>
          <w:p w:rsidR="00000000" w:rsidRPr="009C71DB" w:rsidP="009C71DB">
            <w:pPr>
              <w:pStyle w:val="ListBullet3"/>
            </w:pPr>
            <w:r w:rsidRPr="009C71DB">
              <w:t>Legislation</w:t>
            </w:r>
          </w:p>
          <w:p w:rsidR="00000000" w:rsidRPr="009C71DB" w:rsidP="009C71DB">
            <w:pPr>
              <w:pStyle w:val="ListBullet3"/>
            </w:pPr>
            <w:r w:rsidRPr="009C71DB">
              <w:t>MSDS</w:t>
            </w:r>
          </w:p>
          <w:p w:rsidR="00000000" w:rsidRPr="009C71DB" w:rsidP="009C71DB">
            <w:pPr>
              <w:pStyle w:val="ListBullet3"/>
            </w:pPr>
            <w:r w:rsidRPr="009C71DB">
              <w:t>Notification</w:t>
            </w:r>
          </w:p>
          <w:p w:rsidR="00000000" w:rsidRPr="009C71DB" w:rsidP="009C71DB">
            <w:pPr>
              <w:pStyle w:val="ListBullet3"/>
            </w:pPr>
            <w:r w:rsidRPr="009C71DB">
              <w:t>OHS practices</w:t>
            </w:r>
          </w:p>
          <w:p w:rsidR="00000000" w:rsidRPr="009C71DB" w:rsidP="009C71DB">
            <w:pPr>
              <w:pStyle w:val="ListBullet3"/>
            </w:pPr>
            <w:r w:rsidRPr="009C71DB">
              <w:t>OHS issues</w:t>
            </w:r>
          </w:p>
          <w:p w:rsidR="00000000" w:rsidRPr="009C71DB" w:rsidP="009C71DB">
            <w:pPr>
              <w:pStyle w:val="ListBullet3"/>
            </w:pPr>
            <w:r w:rsidRPr="009C71DB">
              <w:t>Permits and/or permits to work</w:t>
            </w:r>
          </w:p>
          <w:p w:rsidR="00000000" w:rsidRPr="009C71DB" w:rsidP="009C71DB">
            <w:pPr>
              <w:pStyle w:val="ListBullet3"/>
            </w:pPr>
            <w:r w:rsidRPr="009C71DB">
              <w:t>Personnel</w:t>
            </w:r>
          </w:p>
          <w:p w:rsidR="00000000" w:rsidRPr="009C71DB" w:rsidP="009C71DB">
            <w:pPr>
              <w:pStyle w:val="ListBullet3"/>
            </w:pPr>
            <w:r w:rsidRPr="009C71DB">
              <w:t>Quality assurance systems</w:t>
            </w:r>
          </w:p>
          <w:p w:rsidR="00000000" w:rsidRPr="009C71DB" w:rsidP="009C71DB">
            <w:pPr>
              <w:pStyle w:val="ListBullet3"/>
            </w:pPr>
            <w:r w:rsidRPr="009C71DB">
              <w:t>Requirements</w:t>
            </w:r>
          </w:p>
          <w:p w:rsidR="00000000" w:rsidRPr="009C71DB" w:rsidP="009C71DB">
            <w:pPr>
              <w:pStyle w:val="ListBullet3"/>
            </w:pPr>
            <w:r w:rsidRPr="009C71DB">
              <w:t>Testing procedures</w:t>
            </w:r>
          </w:p>
          <w:p w:rsidR="00000000" w:rsidRPr="009C71DB" w:rsidP="009C71DB">
            <w:pPr>
              <w:pStyle w:val="ListBullet3"/>
            </w:pPr>
            <w:r w:rsidRPr="009C71DB">
              <w:t>Work clearance systems</w:t>
            </w:r>
          </w:p>
        </w:tc>
      </w:tr>
    </w:tbl>
    <w:p w:rsidR="00000000" w:rsidRPr="009C71DB" w:rsidP="009C71DB">
      <w:pPr>
        <w:pStyle w:val="BodyText"/>
      </w:pPr>
    </w:p>
    <w:p w:rsidR="00000000" w:rsidRPr="009C71DB" w:rsidP="009C71DB">
      <w:pPr>
        <w:pStyle w:val="AllowPageBreak"/>
      </w:pPr>
    </w:p>
    <w:p w:rsidR="00000000" w:rsidRPr="009C71DB" w:rsidP="009C71DB">
      <w:pPr>
        <w:pStyle w:val="Heading1"/>
      </w:pPr>
      <w:bookmarkStart w:id="12" w:name="O_460778"/>
      <w:bookmarkEnd w:id="12"/>
      <w:r w:rsidRPr="009C71DB">
        <w:t>Unit Sector(s)</w:t>
      </w:r>
    </w:p>
    <w:p w:rsidR="00000000" w:rsidRPr="009C71DB" w:rsidP="009C71DB">
      <w:pPr>
        <w:pStyle w:val="BodyText"/>
      </w:pPr>
      <w:r w:rsidRPr="009C71DB">
        <w:t>Not applicable.</w:t>
      </w:r>
    </w:p>
    <w:p w:rsidR="00000000" w:rsidRPr="009C71DB" w:rsidP="009C71DB">
      <w:pPr>
        <w:pStyle w:val="AllowPageBreak"/>
      </w:pPr>
    </w:p>
    <w:p w:rsidR="00000000" w:rsidRPr="009C71DB" w:rsidP="009C71DB">
      <w:pPr>
        <w:pStyle w:val="Heading1"/>
      </w:pPr>
      <w:bookmarkStart w:id="13" w:name="O_460767"/>
      <w:bookmarkEnd w:id="13"/>
      <w:r w:rsidRPr="009C71DB">
        <w:t>Competency Field</w:t>
      </w:r>
    </w:p>
    <w:tbl>
      <w:tblPr>
        <w:tblW w:w="0" w:type="auto"/>
        <w:tblLayout w:type="fixed"/>
        <w:tblCellMar>
          <w:left w:w="62" w:type="dxa"/>
          <w:right w:w="62" w:type="dxa"/>
        </w:tblCellMar>
        <w:tblLook w:val="0000"/>
      </w:tblPr>
      <w:tblGrid>
        <w:gridCol w:w="2700"/>
        <w:gridCol w:w="5760"/>
      </w:tblGrid>
      <w:tr w:rsidTr="000A4E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C71DB">
            <w:pPr>
              <w:pStyle w:val="BodyText"/>
              <w:rPr>
                <w:lang w:val="en-NZ"/>
              </w:rPr>
            </w:pPr>
            <w:r w:rsidRPr="009C71DB">
              <w:rPr>
                <w:rStyle w:val="SpecialBold"/>
              </w:rPr>
              <w:t xml:space="preserve">11) </w:t>
            </w:r>
          </w:p>
        </w:tc>
      </w:tr>
      <w:tr w:rsidTr="000A4E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C71DB" w:rsidP="009C71DB">
            <w:pPr>
              <w:pStyle w:val="BodyText"/>
            </w:pPr>
            <w:r w:rsidRPr="009C71DB">
              <w:t>Transmission Units</w:t>
            </w:r>
          </w:p>
        </w:tc>
      </w:tr>
    </w:tbl>
    <w:p w:rsidR="00000000" w:rsidRPr="009C71DB" w:rsidP="009C71DB">
      <w:pPr>
        <w:pStyle w:val="BodyText"/>
      </w:pPr>
    </w:p>
    <w:p w:rsidR="00000000" w:rsidRPr="009C71DB" w:rsidP="009C71DB"/>
    <w:sectPr w:rsidSect="009C71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EBB" w:rsidP="000A4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EBB" w:rsidP="009C7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A4EBB" w:rsidP="009C71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4EBB" w:rsidP="009C71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EBB" w:rsidP="000A4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EBB" w:rsidP="009C71DB">
    <w:pPr>
      <w:pStyle w:val="Header"/>
      <w:framePr w:wrap="around"/>
    </w:pPr>
    <w:r>
      <w:fldChar w:fldCharType="begin"/>
    </w:r>
    <w:r>
      <w:instrText xml:space="preserve"> TITLE   \* MERGEFORMAT </w:instrText>
    </w:r>
    <w:r>
      <w:fldChar w:fldCharType="separate"/>
    </w:r>
    <w:r>
      <w:t>UETTDRTP27A Maintain transmission structures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4EBB" w:rsidP="009C71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6F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40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4D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1DB"/>
    <w:pPr>
      <w:spacing w:before="360" w:after="60"/>
      <w:outlineLvl w:val="0"/>
    </w:pPr>
    <w:rPr>
      <w:sz w:val="32"/>
    </w:rPr>
  </w:style>
  <w:style w:type="paragraph" w:styleId="Heading2">
    <w:name w:val="heading 2"/>
    <w:basedOn w:val="HeadingBase"/>
    <w:next w:val="BodyText"/>
    <w:link w:val="Heading2Char"/>
    <w:qFormat/>
    <w:rsid w:val="009C71DB"/>
    <w:pPr>
      <w:keepLines/>
      <w:spacing w:before="240" w:after="120"/>
      <w:outlineLvl w:val="1"/>
    </w:pPr>
    <w:rPr>
      <w:sz w:val="28"/>
      <w:szCs w:val="40"/>
    </w:rPr>
  </w:style>
  <w:style w:type="paragraph" w:styleId="Heading3">
    <w:name w:val="heading 3"/>
    <w:basedOn w:val="HeadingBase"/>
    <w:next w:val="BodyText"/>
    <w:link w:val="Heading3Char"/>
    <w:qFormat/>
    <w:rsid w:val="009C71DB"/>
    <w:pPr>
      <w:spacing w:before="180" w:after="120"/>
      <w:outlineLvl w:val="2"/>
    </w:pPr>
    <w:rPr>
      <w:spacing w:val="-10"/>
      <w:kern w:val="32"/>
    </w:rPr>
  </w:style>
  <w:style w:type="paragraph" w:styleId="Heading4">
    <w:name w:val="heading 4"/>
    <w:basedOn w:val="HeadingBase"/>
    <w:next w:val="BodyText"/>
    <w:link w:val="Heading4Char"/>
    <w:qFormat/>
    <w:rsid w:val="009C71DB"/>
    <w:pPr>
      <w:spacing w:before="160" w:after="120"/>
      <w:outlineLvl w:val="3"/>
    </w:pPr>
    <w:rPr>
      <w:sz w:val="22"/>
    </w:rPr>
  </w:style>
  <w:style w:type="paragraph" w:styleId="Heading5">
    <w:name w:val="heading 5"/>
    <w:basedOn w:val="HeadingBase"/>
    <w:next w:val="Normal"/>
    <w:link w:val="Heading5Char"/>
    <w:qFormat/>
    <w:rsid w:val="009C71DB"/>
    <w:pPr>
      <w:spacing w:before="80"/>
      <w:outlineLvl w:val="4"/>
    </w:pPr>
    <w:rPr>
      <w:color w:val="918585"/>
      <w:sz w:val="20"/>
    </w:rPr>
  </w:style>
  <w:style w:type="paragraph" w:styleId="Heading6">
    <w:name w:val="heading 6"/>
    <w:basedOn w:val="HeadingBase"/>
    <w:next w:val="Normal"/>
    <w:link w:val="Heading6Char"/>
    <w:qFormat/>
    <w:rsid w:val="009C71DB"/>
    <w:pPr>
      <w:spacing w:before="60"/>
      <w:outlineLvl w:val="5"/>
    </w:pPr>
    <w:rPr>
      <w:color w:val="918585"/>
      <w:sz w:val="20"/>
    </w:rPr>
  </w:style>
  <w:style w:type="paragraph" w:styleId="Heading7">
    <w:name w:val="heading 7"/>
    <w:basedOn w:val="Normal"/>
    <w:next w:val="Normal"/>
    <w:link w:val="Heading7Char"/>
    <w:qFormat/>
    <w:rsid w:val="009C71DB"/>
    <w:pPr>
      <w:ind w:left="720"/>
      <w:outlineLvl w:val="6"/>
    </w:pPr>
    <w:rPr>
      <w:i/>
    </w:rPr>
  </w:style>
  <w:style w:type="paragraph" w:styleId="Heading8">
    <w:name w:val="heading 8"/>
    <w:basedOn w:val="Normal"/>
    <w:next w:val="Normal"/>
    <w:link w:val="Heading8Char"/>
    <w:qFormat/>
    <w:rsid w:val="009C71DB"/>
    <w:pPr>
      <w:ind w:left="720"/>
      <w:outlineLvl w:val="7"/>
    </w:pPr>
    <w:rPr>
      <w:i/>
    </w:rPr>
  </w:style>
  <w:style w:type="paragraph" w:styleId="Heading9">
    <w:name w:val="heading 9"/>
    <w:basedOn w:val="Normal"/>
    <w:next w:val="Normal"/>
    <w:link w:val="Heading9Char"/>
    <w:qFormat/>
    <w:rsid w:val="009C71DB"/>
    <w:pPr>
      <w:ind w:left="720"/>
      <w:outlineLvl w:val="8"/>
    </w:pPr>
    <w:rPr>
      <w:i/>
    </w:rPr>
  </w:style>
  <w:style w:type="character" w:default="1" w:styleId="DefaultParagraphFont">
    <w:name w:val="Default Paragraph Font"/>
    <w:uiPriority w:val="1"/>
    <w:unhideWhenUsed/>
    <w:rsid w:val="009C7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1DB"/>
  </w:style>
  <w:style w:type="character" w:customStyle="1" w:styleId="Heading1Char">
    <w:name w:val="Heading 1 Char"/>
    <w:basedOn w:val="DefaultParagraphFont"/>
    <w:link w:val="Heading1"/>
    <w:rsid w:val="009C71DB"/>
    <w:rPr>
      <w:rFonts w:ascii="Times New Roman" w:eastAsia="Times New Roman" w:hAnsi="Times New Roman" w:cs="Times New Roman"/>
      <w:b/>
      <w:sz w:val="32"/>
      <w:szCs w:val="20"/>
      <w:lang w:eastAsia="en-US"/>
    </w:rPr>
  </w:style>
  <w:style w:type="paragraph" w:styleId="BodyText">
    <w:name w:val="Body Text"/>
    <w:basedOn w:val="Normal"/>
    <w:link w:val="BodyTextChar"/>
    <w:rsid w:val="009C71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1DB"/>
    <w:rPr>
      <w:rFonts w:ascii="Times New Roman" w:eastAsia="Times New Roman" w:hAnsi="Times New Roman" w:cs="Times New Roman"/>
      <w:sz w:val="24"/>
      <w:lang w:val="en-US" w:eastAsia="en-US"/>
    </w:rPr>
  </w:style>
  <w:style w:type="paragraph" w:styleId="Footer">
    <w:name w:val="footer"/>
    <w:basedOn w:val="Normal"/>
    <w:link w:val="FooterChar"/>
    <w:rsid w:val="009C7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1DB"/>
    <w:rPr>
      <w:rFonts w:ascii="Times New Roman" w:eastAsia="Times New Roman" w:hAnsi="Times New Roman" w:cs="Times New Roman"/>
      <w:sz w:val="16"/>
      <w:lang w:val="en-US" w:eastAsia="en-US"/>
    </w:rPr>
  </w:style>
  <w:style w:type="paragraph" w:styleId="ListBullet">
    <w:name w:val="List Bullet"/>
    <w:basedOn w:val="List"/>
    <w:rsid w:val="009C71DB"/>
    <w:pPr>
      <w:numPr>
        <w:numId w:val="14"/>
      </w:numPr>
      <w:tabs>
        <w:tab w:val="clear" w:pos="340"/>
      </w:tabs>
      <w:spacing w:before="40" w:after="40"/>
    </w:pPr>
  </w:style>
  <w:style w:type="character" w:customStyle="1" w:styleId="SpecialBold">
    <w:name w:val="Special Bold"/>
    <w:basedOn w:val="DefaultParagraphFont"/>
    <w:rsid w:val="009C71DB"/>
    <w:rPr>
      <w:b/>
      <w:spacing w:val="0"/>
    </w:rPr>
  </w:style>
  <w:style w:type="paragraph" w:styleId="ListBullet2">
    <w:name w:val="List Bullet 2"/>
    <w:basedOn w:val="List2"/>
    <w:rsid w:val="009C71DB"/>
    <w:pPr>
      <w:numPr>
        <w:numId w:val="15"/>
      </w:numPr>
      <w:tabs>
        <w:tab w:val="clear" w:pos="680"/>
      </w:tabs>
    </w:pPr>
  </w:style>
  <w:style w:type="paragraph" w:styleId="Header">
    <w:name w:val="header"/>
    <w:basedOn w:val="Normal"/>
    <w:link w:val="HeaderChar"/>
    <w:rsid w:val="009C7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1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71DB"/>
    <w:pPr>
      <w:spacing w:before="240" w:after="120"/>
      <w:outlineLvl w:val="0"/>
    </w:pPr>
    <w:rPr>
      <w:rFonts w:ascii="Times New Roman" w:hAnsi="Times New Roman"/>
      <w:b/>
      <w:sz w:val="28"/>
    </w:rPr>
  </w:style>
  <w:style w:type="paragraph" w:customStyle="1" w:styleId="AllowPageBreak">
    <w:name w:val="AllowPageBreak"/>
    <w:rsid w:val="009C71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71DB"/>
    <w:pPr>
      <w:numPr>
        <w:numId w:val="3"/>
      </w:numPr>
      <w:tabs>
        <w:tab w:val="clear" w:pos="1021"/>
      </w:tabs>
      <w:ind w:left="1037" w:hanging="357"/>
    </w:pPr>
  </w:style>
  <w:style w:type="character" w:customStyle="1" w:styleId="Heading2Char">
    <w:name w:val="Heading 2 Char"/>
    <w:basedOn w:val="DefaultParagraphFont"/>
    <w:link w:val="Heading2"/>
    <w:rsid w:val="009C7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1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1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1DB"/>
    <w:rPr>
      <w:rFonts w:ascii="Courier New" w:eastAsia="Times New Roman" w:hAnsi="Courier New" w:cs="Times New Roman"/>
      <w:i/>
      <w:szCs w:val="20"/>
      <w:lang w:val="en-US" w:eastAsia="en-US"/>
    </w:rPr>
  </w:style>
  <w:style w:type="paragraph" w:customStyle="1" w:styleId="HeadingBase">
    <w:name w:val="Heading Base"/>
    <w:rsid w:val="009C7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1DB"/>
    <w:pPr>
      <w:tabs>
        <w:tab w:val="right" w:leader="dot" w:pos="9072"/>
      </w:tabs>
      <w:ind w:left="567"/>
    </w:pPr>
    <w:rPr>
      <w:szCs w:val="22"/>
    </w:rPr>
  </w:style>
  <w:style w:type="paragraph" w:customStyle="1" w:styleId="TOCBase">
    <w:name w:val="TOC Base"/>
    <w:rsid w:val="009C7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1DB"/>
    <w:pPr>
      <w:tabs>
        <w:tab w:val="right" w:leader="dot" w:pos="9072"/>
      </w:tabs>
      <w:spacing w:before="40" w:after="40"/>
      <w:ind w:left="284"/>
    </w:pPr>
    <w:rPr>
      <w:rFonts w:ascii="Times New Roman" w:hAnsi="Times New Roman"/>
    </w:rPr>
  </w:style>
  <w:style w:type="paragraph" w:styleId="TOC1">
    <w:name w:val="toc 1"/>
    <w:basedOn w:val="TOCBase"/>
    <w:next w:val="Normal"/>
    <w:rsid w:val="009C71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1DB"/>
    <w:pPr>
      <w:spacing w:before="5040"/>
      <w:jc w:val="center"/>
    </w:pPr>
    <w:rPr>
      <w:sz w:val="48"/>
      <w:szCs w:val="72"/>
      <w:lang w:val="en-US"/>
    </w:rPr>
  </w:style>
  <w:style w:type="character" w:customStyle="1" w:styleId="TitleChar">
    <w:name w:val="Title Char"/>
    <w:basedOn w:val="DefaultParagraphFont"/>
    <w:link w:val="Title"/>
    <w:rsid w:val="009C7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1DB"/>
    <w:pPr>
      <w:tabs>
        <w:tab w:val="left" w:pos="3600"/>
        <w:tab w:val="left" w:pos="3958"/>
      </w:tabs>
    </w:pPr>
  </w:style>
  <w:style w:type="paragraph" w:styleId="List">
    <w:name w:val="List"/>
    <w:basedOn w:val="BodyText"/>
    <w:next w:val="BodyText"/>
    <w:rsid w:val="009C71DB"/>
    <w:pPr>
      <w:tabs>
        <w:tab w:val="left" w:pos="340"/>
      </w:tabs>
      <w:spacing w:before="60" w:after="60"/>
      <w:ind w:left="340" w:hanging="340"/>
    </w:pPr>
  </w:style>
  <w:style w:type="paragraph" w:customStyle="1" w:styleId="Note">
    <w:name w:val="Note"/>
    <w:basedOn w:val="BodyText"/>
    <w:rsid w:val="009C7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1DB"/>
    <w:pPr>
      <w:framePr w:wrap="auto" w:hAnchor="text" w:y="6049"/>
    </w:pPr>
    <w:rPr>
      <w:color w:val="000000"/>
      <w:sz w:val="40"/>
    </w:rPr>
  </w:style>
  <w:style w:type="paragraph" w:customStyle="1" w:styleId="TOCTitle">
    <w:name w:val="TOCTitle"/>
    <w:basedOn w:val="Heading1"/>
    <w:rsid w:val="009C71DB"/>
    <w:pPr>
      <w:spacing w:after="240"/>
      <w:jc w:val="center"/>
      <w:outlineLvl w:val="9"/>
    </w:pPr>
    <w:rPr>
      <w:caps/>
    </w:rPr>
  </w:style>
  <w:style w:type="paragraph" w:customStyle="1" w:styleId="Version">
    <w:name w:val="Version"/>
    <w:rsid w:val="009C71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1DB"/>
    <w:pPr>
      <w:keepNext w:val="0"/>
      <w:tabs>
        <w:tab w:val="right" w:pos="4176"/>
      </w:tabs>
      <w:ind w:left="198" w:hanging="198"/>
    </w:pPr>
    <w:rPr>
      <w:rFonts w:ascii="Garamond" w:hAnsi="Garamond"/>
    </w:rPr>
  </w:style>
  <w:style w:type="paragraph" w:styleId="IndexHeading">
    <w:name w:val="index heading"/>
    <w:basedOn w:val="Normal"/>
    <w:next w:val="Index1"/>
    <w:semiHidden/>
    <w:rsid w:val="009C71DB"/>
    <w:pPr>
      <w:spacing w:before="120" w:after="120"/>
    </w:pPr>
    <w:rPr>
      <w:rFonts w:ascii="Arial" w:hAnsi="Arial"/>
      <w:b/>
      <w:color w:val="918585"/>
      <w:sz w:val="24"/>
    </w:rPr>
  </w:style>
  <w:style w:type="paragraph" w:customStyle="1" w:styleId="Chapter">
    <w:name w:val="Chapter"/>
    <w:basedOn w:val="Normal"/>
    <w:rsid w:val="009C71DB"/>
    <w:pPr>
      <w:spacing w:before="240"/>
    </w:pPr>
    <w:rPr>
      <w:rFonts w:ascii="Times New Roman" w:hAnsi="Times New Roman"/>
      <w:smallCaps/>
      <w:spacing w:val="80"/>
      <w:sz w:val="28"/>
    </w:rPr>
  </w:style>
  <w:style w:type="paragraph" w:customStyle="1" w:styleId="InChapter">
    <w:name w:val="InChapter"/>
    <w:basedOn w:val="Heading3"/>
    <w:rsid w:val="009C71DB"/>
    <w:pPr>
      <w:spacing w:after="240"/>
      <w:outlineLvl w:val="9"/>
    </w:pPr>
    <w:rPr>
      <w:noProof/>
    </w:rPr>
  </w:style>
  <w:style w:type="paragraph" w:styleId="Index2">
    <w:name w:val="index 2"/>
    <w:basedOn w:val="Normal"/>
    <w:next w:val="Normal"/>
    <w:semiHidden/>
    <w:rsid w:val="009C71DB"/>
    <w:pPr>
      <w:tabs>
        <w:tab w:val="right" w:pos="4176"/>
      </w:tabs>
      <w:ind w:left="568" w:hanging="284"/>
    </w:pPr>
    <w:rPr>
      <w:rFonts w:ascii="Garamond" w:hAnsi="Garamond"/>
    </w:rPr>
  </w:style>
  <w:style w:type="paragraph" w:customStyle="1" w:styleId="Byline">
    <w:name w:val="Byline"/>
    <w:rsid w:val="009C7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1DB"/>
    <w:pPr>
      <w:tabs>
        <w:tab w:val="clear" w:pos="3600"/>
        <w:tab w:val="clear" w:pos="3958"/>
      </w:tabs>
      <w:jc w:val="right"/>
    </w:pPr>
  </w:style>
  <w:style w:type="character" w:styleId="Emphasis">
    <w:name w:val="Emphasis"/>
    <w:basedOn w:val="DefaultParagraphFont"/>
    <w:qFormat/>
    <w:rsid w:val="009C71DB"/>
    <w:rPr>
      <w:i/>
    </w:rPr>
  </w:style>
  <w:style w:type="paragraph" w:styleId="Caption">
    <w:name w:val="caption"/>
    <w:basedOn w:val="BodyText"/>
    <w:next w:val="Normal"/>
    <w:qFormat/>
    <w:rsid w:val="009C71DB"/>
    <w:pPr>
      <w:framePr w:w="2268" w:hSpace="181" w:vSpace="181" w:wrap="around" w:vAnchor="text" w:hAnchor="page" w:x="1135" w:y="285" w:anchorLock="1"/>
    </w:pPr>
    <w:rPr>
      <w:i/>
    </w:rPr>
  </w:style>
  <w:style w:type="paragraph" w:customStyle="1" w:styleId="MiniTOCTitle">
    <w:name w:val="MiniTOCTitle"/>
    <w:basedOn w:val="Heading4"/>
    <w:rsid w:val="009C71DB"/>
    <w:pPr>
      <w:spacing w:before="240"/>
      <w:outlineLvl w:val="9"/>
    </w:pPr>
    <w:rPr>
      <w:noProof/>
      <w:sz w:val="24"/>
    </w:rPr>
  </w:style>
  <w:style w:type="paragraph" w:customStyle="1" w:styleId="MiniTOCItem">
    <w:name w:val="MiniTOCItem"/>
    <w:basedOn w:val="ListBullet"/>
    <w:rsid w:val="009C71DB"/>
    <w:pPr>
      <w:numPr>
        <w:numId w:val="0"/>
      </w:numPr>
      <w:tabs>
        <w:tab w:val="right" w:leader="dot" w:pos="6521"/>
      </w:tabs>
      <w:spacing w:before="0" w:after="0"/>
    </w:pPr>
  </w:style>
  <w:style w:type="paragraph" w:customStyle="1" w:styleId="TOFTitle">
    <w:name w:val="TOFTitle"/>
    <w:basedOn w:val="TOCTitle"/>
    <w:rsid w:val="009C71DB"/>
  </w:style>
  <w:style w:type="paragraph" w:styleId="TableofFigures">
    <w:name w:val="table of figures"/>
    <w:basedOn w:val="Normal"/>
    <w:next w:val="Normal"/>
    <w:semiHidden/>
    <w:rsid w:val="009C71DB"/>
    <w:pPr>
      <w:tabs>
        <w:tab w:val="right" w:leader="dot" w:pos="9072"/>
      </w:tabs>
      <w:ind w:left="970" w:hanging="403"/>
    </w:pPr>
    <w:rPr>
      <w:rFonts w:ascii="Times New Roman" w:hAnsi="Times New Roman"/>
      <w:b/>
    </w:rPr>
  </w:style>
  <w:style w:type="paragraph" w:styleId="ListNumber">
    <w:name w:val="List Number"/>
    <w:basedOn w:val="List"/>
    <w:rsid w:val="009C71DB"/>
    <w:pPr>
      <w:numPr>
        <w:numId w:val="12"/>
      </w:numPr>
    </w:pPr>
  </w:style>
  <w:style w:type="character" w:customStyle="1" w:styleId="WingdingSymbols">
    <w:name w:val="Wingding Symbols"/>
    <w:rsid w:val="009C71DB"/>
    <w:rPr>
      <w:rFonts w:ascii="Wingdings" w:hAnsi="Wingdings"/>
    </w:rPr>
  </w:style>
  <w:style w:type="paragraph" w:customStyle="1" w:styleId="TableHeading">
    <w:name w:val="Table Heading"/>
    <w:basedOn w:val="HeadingBase"/>
    <w:rsid w:val="009C71DB"/>
    <w:pPr>
      <w:keepLines/>
      <w:pBdr>
        <w:bottom w:val="single" w:sz="6" w:space="1" w:color="918585"/>
      </w:pBdr>
      <w:spacing w:before="240"/>
    </w:pPr>
  </w:style>
  <w:style w:type="character" w:customStyle="1" w:styleId="HotSpot">
    <w:name w:val="HotSpot"/>
    <w:rsid w:val="009C71DB"/>
    <w:rPr>
      <w:color w:val="0033CC"/>
      <w:u w:val="none"/>
    </w:rPr>
  </w:style>
  <w:style w:type="paragraph" w:customStyle="1" w:styleId="BodyTextRight">
    <w:name w:val="Body Text Right"/>
    <w:basedOn w:val="BodyText"/>
    <w:rsid w:val="009C71DB"/>
    <w:pPr>
      <w:spacing w:before="0" w:after="0"/>
      <w:jc w:val="right"/>
    </w:pPr>
  </w:style>
  <w:style w:type="paragraph" w:styleId="Index3">
    <w:name w:val="index 3"/>
    <w:basedOn w:val="ListNumber2"/>
    <w:next w:val="Normal"/>
    <w:semiHidden/>
    <w:rsid w:val="009C71DB"/>
    <w:pPr>
      <w:numPr>
        <w:numId w:val="0"/>
      </w:numPr>
      <w:tabs>
        <w:tab w:val="right" w:leader="dot" w:pos="4176"/>
      </w:tabs>
    </w:pPr>
  </w:style>
  <w:style w:type="paragraph" w:styleId="ListNumber2">
    <w:name w:val="List Number 2"/>
    <w:basedOn w:val="List2"/>
    <w:rsid w:val="009C71DB"/>
    <w:pPr>
      <w:numPr>
        <w:numId w:val="11"/>
      </w:numPr>
      <w:tabs>
        <w:tab w:val="clear" w:pos="1060"/>
      </w:tabs>
    </w:pPr>
  </w:style>
  <w:style w:type="paragraph" w:customStyle="1" w:styleId="MarginNote">
    <w:name w:val="Margin Note"/>
    <w:basedOn w:val="BodyText"/>
    <w:rsid w:val="009C7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1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1DB"/>
    <w:rPr>
      <w:sz w:val="32"/>
    </w:rPr>
  </w:style>
  <w:style w:type="paragraph" w:customStyle="1" w:styleId="HeadingProcedure">
    <w:name w:val="Heading Procedure"/>
    <w:basedOn w:val="HeadingBase"/>
    <w:next w:val="Normal"/>
    <w:rsid w:val="009C71DB"/>
    <w:pPr>
      <w:tabs>
        <w:tab w:val="left" w:pos="0"/>
      </w:tabs>
      <w:spacing w:before="120" w:after="60"/>
    </w:pPr>
    <w:rPr>
      <w:i/>
      <w:color w:val="918585"/>
      <w:sz w:val="22"/>
    </w:rPr>
  </w:style>
  <w:style w:type="paragraph" w:customStyle="1" w:styleId="TableBodyText">
    <w:name w:val="Table Body Text"/>
    <w:basedOn w:val="BodyText"/>
    <w:rsid w:val="009C71DB"/>
    <w:pPr>
      <w:spacing w:before="60" w:after="60"/>
    </w:pPr>
  </w:style>
  <w:style w:type="paragraph" w:styleId="ListContinue">
    <w:name w:val="List Continue"/>
    <w:basedOn w:val="List"/>
    <w:rsid w:val="009C71DB"/>
    <w:pPr>
      <w:ind w:firstLine="0"/>
    </w:pPr>
  </w:style>
  <w:style w:type="paragraph" w:customStyle="1" w:styleId="ListNote">
    <w:name w:val="List Note"/>
    <w:basedOn w:val="List"/>
    <w:rsid w:val="009C71DB"/>
    <w:pPr>
      <w:pBdr>
        <w:top w:val="single" w:sz="6" w:space="2" w:color="918585"/>
        <w:bottom w:val="single" w:sz="6" w:space="2" w:color="918585"/>
      </w:pBdr>
      <w:tabs>
        <w:tab w:val="left" w:pos="1021"/>
      </w:tabs>
      <w:ind w:firstLine="0"/>
    </w:pPr>
  </w:style>
  <w:style w:type="paragraph" w:customStyle="1" w:styleId="Warning">
    <w:name w:val="Warning"/>
    <w:basedOn w:val="BodyText"/>
    <w:rsid w:val="009C71DB"/>
    <w:pPr>
      <w:shd w:val="clear" w:color="auto" w:fill="D9D9D9"/>
      <w:tabs>
        <w:tab w:val="left" w:pos="992"/>
      </w:tabs>
      <w:ind w:left="119" w:right="119"/>
    </w:pPr>
    <w:rPr>
      <w:sz w:val="20"/>
    </w:rPr>
  </w:style>
  <w:style w:type="paragraph" w:customStyle="1" w:styleId="MarginIcons">
    <w:name w:val="Margin Icons"/>
    <w:basedOn w:val="BodyText"/>
    <w:rsid w:val="009C7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1DB"/>
    <w:rPr>
      <w:rFonts w:ascii="Courier New" w:hAnsi="Courier New"/>
    </w:rPr>
  </w:style>
  <w:style w:type="paragraph" w:customStyle="1" w:styleId="NoteBullet">
    <w:name w:val="Note Bullet"/>
    <w:basedOn w:val="Note"/>
    <w:rsid w:val="009C71DB"/>
    <w:pPr>
      <w:tabs>
        <w:tab w:val="clear" w:pos="680"/>
      </w:tabs>
      <w:spacing w:before="60" w:after="60"/>
    </w:pPr>
  </w:style>
  <w:style w:type="paragraph" w:customStyle="1" w:styleId="SubHeading2">
    <w:name w:val="SubHeading2"/>
    <w:basedOn w:val="HeadingBase"/>
    <w:rsid w:val="009C71DB"/>
    <w:pPr>
      <w:spacing w:before="240" w:after="60"/>
    </w:pPr>
    <w:rPr>
      <w:sz w:val="20"/>
    </w:rPr>
  </w:style>
  <w:style w:type="paragraph" w:customStyle="1" w:styleId="SubHeading1">
    <w:name w:val="SubHeading1"/>
    <w:basedOn w:val="HeadingBase"/>
    <w:rsid w:val="009C71DB"/>
    <w:pPr>
      <w:spacing w:before="240" w:after="60"/>
    </w:pPr>
    <w:rPr>
      <w:color w:val="918585"/>
      <w:sz w:val="22"/>
    </w:rPr>
  </w:style>
  <w:style w:type="paragraph" w:customStyle="1" w:styleId="SideHeading">
    <w:name w:val="Side Heading"/>
    <w:basedOn w:val="HeadingBase"/>
    <w:rsid w:val="009C7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1DB"/>
    <w:pPr>
      <w:numPr>
        <w:numId w:val="13"/>
      </w:numPr>
    </w:pPr>
  </w:style>
  <w:style w:type="paragraph" w:styleId="PlainText">
    <w:name w:val="Plain Text"/>
    <w:basedOn w:val="Normal"/>
    <w:link w:val="PlainTextChar"/>
    <w:rsid w:val="009C71DB"/>
    <w:rPr>
      <w:sz w:val="20"/>
    </w:rPr>
  </w:style>
  <w:style w:type="character" w:customStyle="1" w:styleId="PlainTextChar">
    <w:name w:val="Plain Text Char"/>
    <w:basedOn w:val="DefaultParagraphFont"/>
    <w:link w:val="PlainText"/>
    <w:rsid w:val="009C71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1DB"/>
    <w:rPr>
      <w:b/>
      <w:smallCaps/>
    </w:rPr>
  </w:style>
  <w:style w:type="paragraph" w:customStyle="1" w:styleId="TableListNumber">
    <w:name w:val="Table List Number"/>
    <w:basedOn w:val="ListNumber"/>
    <w:rsid w:val="009C71DB"/>
    <w:pPr>
      <w:numPr>
        <w:numId w:val="0"/>
      </w:numPr>
    </w:pPr>
  </w:style>
  <w:style w:type="paragraph" w:styleId="TOC4">
    <w:name w:val="toc 4"/>
    <w:basedOn w:val="TOCBase"/>
    <w:next w:val="Normal"/>
    <w:semiHidden/>
    <w:rsid w:val="009C71DB"/>
    <w:pPr>
      <w:tabs>
        <w:tab w:val="right" w:leader="dot" w:pos="9071"/>
      </w:tabs>
      <w:ind w:left="1701"/>
    </w:pPr>
  </w:style>
  <w:style w:type="paragraph" w:customStyle="1" w:styleId="ListAlpha">
    <w:name w:val="List Alpha"/>
    <w:basedOn w:val="List"/>
    <w:rsid w:val="009C71DB"/>
    <w:pPr>
      <w:numPr>
        <w:numId w:val="10"/>
      </w:numPr>
    </w:pPr>
  </w:style>
  <w:style w:type="paragraph" w:customStyle="1" w:styleId="ListAlpha2">
    <w:name w:val="List Alpha 2"/>
    <w:basedOn w:val="List2"/>
    <w:rsid w:val="009C71DB"/>
    <w:pPr>
      <w:numPr>
        <w:numId w:val="9"/>
      </w:numPr>
    </w:pPr>
  </w:style>
  <w:style w:type="paragraph" w:styleId="List2">
    <w:name w:val="List 2"/>
    <w:basedOn w:val="BodyText"/>
    <w:rsid w:val="009C71DB"/>
    <w:pPr>
      <w:tabs>
        <w:tab w:val="left" w:pos="680"/>
      </w:tabs>
      <w:spacing w:before="60" w:after="60"/>
      <w:ind w:left="680" w:hanging="340"/>
    </w:pPr>
  </w:style>
  <w:style w:type="paragraph" w:styleId="List3">
    <w:name w:val="List 3"/>
    <w:basedOn w:val="BodyText"/>
    <w:rsid w:val="009C71DB"/>
    <w:pPr>
      <w:tabs>
        <w:tab w:val="left" w:pos="1021"/>
      </w:tabs>
      <w:spacing w:before="60" w:after="60"/>
      <w:ind w:left="1020" w:hanging="340"/>
    </w:pPr>
  </w:style>
  <w:style w:type="paragraph" w:styleId="List4">
    <w:name w:val="List 4"/>
    <w:basedOn w:val="BodyText"/>
    <w:rsid w:val="009C71DB"/>
    <w:pPr>
      <w:tabs>
        <w:tab w:val="left" w:pos="1361"/>
      </w:tabs>
      <w:spacing w:before="60" w:after="60"/>
      <w:ind w:left="1361" w:hanging="340"/>
    </w:pPr>
  </w:style>
  <w:style w:type="paragraph" w:styleId="List5">
    <w:name w:val="List 5"/>
    <w:basedOn w:val="BodyText"/>
    <w:rsid w:val="009C71DB"/>
    <w:pPr>
      <w:tabs>
        <w:tab w:val="left" w:pos="1701"/>
      </w:tabs>
      <w:spacing w:before="60" w:after="60"/>
      <w:ind w:left="1701" w:hanging="340"/>
    </w:pPr>
  </w:style>
  <w:style w:type="paragraph" w:styleId="ListBullet4">
    <w:name w:val="List Bullet 4"/>
    <w:basedOn w:val="List4"/>
    <w:rsid w:val="009C71DB"/>
    <w:pPr>
      <w:numPr>
        <w:numId w:val="4"/>
      </w:numPr>
    </w:pPr>
  </w:style>
  <w:style w:type="paragraph" w:styleId="ListBullet5">
    <w:name w:val="List Bullet 5"/>
    <w:basedOn w:val="List5"/>
    <w:rsid w:val="009C71DB"/>
    <w:pPr>
      <w:numPr>
        <w:numId w:val="5"/>
      </w:numPr>
    </w:pPr>
  </w:style>
  <w:style w:type="paragraph" w:styleId="ListContinue2">
    <w:name w:val="List Continue 2"/>
    <w:basedOn w:val="List2"/>
    <w:rsid w:val="009C71DB"/>
    <w:pPr>
      <w:ind w:firstLine="0"/>
    </w:pPr>
  </w:style>
  <w:style w:type="paragraph" w:styleId="ListContinue3">
    <w:name w:val="List Continue 3"/>
    <w:basedOn w:val="List3"/>
    <w:rsid w:val="009C71DB"/>
    <w:pPr>
      <w:ind w:left="1021" w:firstLine="0"/>
    </w:pPr>
  </w:style>
  <w:style w:type="paragraph" w:styleId="ListContinue4">
    <w:name w:val="List Continue 4"/>
    <w:basedOn w:val="List4"/>
    <w:rsid w:val="009C71DB"/>
    <w:pPr>
      <w:ind w:firstLine="0"/>
    </w:pPr>
  </w:style>
  <w:style w:type="paragraph" w:styleId="ListContinue5">
    <w:name w:val="List Continue 5"/>
    <w:basedOn w:val="List5"/>
    <w:rsid w:val="009C71DB"/>
    <w:pPr>
      <w:ind w:firstLine="0"/>
    </w:pPr>
  </w:style>
  <w:style w:type="paragraph" w:styleId="ListNumber3">
    <w:name w:val="List Number 3"/>
    <w:basedOn w:val="List3"/>
    <w:rsid w:val="009C71DB"/>
    <w:pPr>
      <w:numPr>
        <w:numId w:val="6"/>
      </w:numPr>
    </w:pPr>
  </w:style>
  <w:style w:type="paragraph" w:styleId="ListNumber4">
    <w:name w:val="List Number 4"/>
    <w:basedOn w:val="List4"/>
    <w:rsid w:val="009C71DB"/>
    <w:pPr>
      <w:numPr>
        <w:numId w:val="7"/>
      </w:numPr>
    </w:pPr>
  </w:style>
  <w:style w:type="paragraph" w:styleId="ListNumber5">
    <w:name w:val="List Number 5"/>
    <w:basedOn w:val="List5"/>
    <w:rsid w:val="009C71DB"/>
    <w:pPr>
      <w:numPr>
        <w:numId w:val="8"/>
      </w:numPr>
    </w:pPr>
  </w:style>
  <w:style w:type="paragraph" w:styleId="BlockText">
    <w:name w:val="Block Text"/>
    <w:basedOn w:val="Normal"/>
    <w:rsid w:val="009C71DB"/>
    <w:pPr>
      <w:spacing w:after="120"/>
      <w:ind w:left="1440" w:right="1440"/>
    </w:pPr>
  </w:style>
  <w:style w:type="character" w:customStyle="1" w:styleId="Subscript">
    <w:name w:val="Subscript"/>
    <w:basedOn w:val="DefaultParagraphFont"/>
    <w:rsid w:val="009C71DB"/>
    <w:rPr>
      <w:sz w:val="16"/>
      <w:vertAlign w:val="subscript"/>
    </w:rPr>
  </w:style>
  <w:style w:type="character" w:customStyle="1" w:styleId="Superscript">
    <w:name w:val="Superscript"/>
    <w:basedOn w:val="DefaultParagraphFont"/>
    <w:rsid w:val="009C71DB"/>
    <w:rPr>
      <w:sz w:val="16"/>
      <w:vertAlign w:val="superscript"/>
    </w:rPr>
  </w:style>
  <w:style w:type="character" w:customStyle="1" w:styleId="Symbols">
    <w:name w:val="Symbols"/>
    <w:basedOn w:val="DefaultParagraphFont"/>
    <w:rsid w:val="009C71DB"/>
    <w:rPr>
      <w:rFonts w:ascii="Symbol" w:hAnsi="Symbol"/>
    </w:rPr>
  </w:style>
  <w:style w:type="character" w:customStyle="1" w:styleId="MenuOptions">
    <w:name w:val="Menu Options"/>
    <w:basedOn w:val="DefaultParagraphFont"/>
    <w:rsid w:val="009C71DB"/>
    <w:rPr>
      <w:rFonts w:ascii="Arial Narrow" w:hAnsi="Arial Narrow"/>
      <w:smallCaps/>
    </w:rPr>
  </w:style>
  <w:style w:type="character" w:customStyle="1" w:styleId="Buttons">
    <w:name w:val="Buttons"/>
    <w:basedOn w:val="DefaultParagraphFont"/>
    <w:rsid w:val="009C71DB"/>
    <w:rPr>
      <w:b/>
    </w:rPr>
  </w:style>
  <w:style w:type="character" w:customStyle="1" w:styleId="Underlined">
    <w:name w:val="Underlined"/>
    <w:basedOn w:val="DefaultParagraphFont"/>
    <w:rsid w:val="009C71DB"/>
    <w:rPr>
      <w:u w:val="single"/>
    </w:rPr>
  </w:style>
  <w:style w:type="paragraph" w:customStyle="1" w:styleId="TableBodyTextRight">
    <w:name w:val="Table Body Text Right"/>
    <w:basedOn w:val="TableBodyText"/>
    <w:rsid w:val="009C71DB"/>
    <w:pPr>
      <w:widowControl w:val="0"/>
      <w:autoSpaceDE w:val="0"/>
      <w:autoSpaceDN w:val="0"/>
      <w:adjustRightInd w:val="0"/>
      <w:jc w:val="right"/>
    </w:pPr>
    <w:rPr>
      <w:rFonts w:cs="Arial"/>
      <w:szCs w:val="18"/>
    </w:rPr>
  </w:style>
  <w:style w:type="paragraph" w:customStyle="1" w:styleId="CopyrightText">
    <w:name w:val="Copyright Text"/>
    <w:basedOn w:val="BodyText"/>
    <w:rsid w:val="009C71DB"/>
    <w:rPr>
      <w:sz w:val="18"/>
    </w:rPr>
  </w:style>
  <w:style w:type="paragraph" w:customStyle="1" w:styleId="BodySmallRight">
    <w:name w:val="Body Small Right"/>
    <w:basedOn w:val="BodyTextRight"/>
    <w:rsid w:val="009C71DB"/>
    <w:rPr>
      <w:sz w:val="18"/>
      <w:szCs w:val="18"/>
    </w:rPr>
  </w:style>
  <w:style w:type="paragraph" w:customStyle="1" w:styleId="MarginEdition">
    <w:name w:val="Margin Edition"/>
    <w:basedOn w:val="MarginNote"/>
    <w:rsid w:val="009C71DB"/>
    <w:pPr>
      <w:spacing w:before="0" w:after="0"/>
    </w:pPr>
    <w:rPr>
      <w:rFonts w:ascii="Times New Roman" w:hAnsi="Times New Roman"/>
      <w:color w:val="999999"/>
    </w:rPr>
  </w:style>
  <w:style w:type="paragraph" w:customStyle="1" w:styleId="Spacer">
    <w:name w:val="Spacer"/>
    <w:basedOn w:val="Normal"/>
    <w:rsid w:val="009C71DB"/>
    <w:rPr>
      <w:sz w:val="2"/>
      <w:szCs w:val="2"/>
    </w:rPr>
  </w:style>
  <w:style w:type="character" w:customStyle="1" w:styleId="Small">
    <w:name w:val="Small"/>
    <w:basedOn w:val="DefaultParagraphFont"/>
    <w:rsid w:val="009C71DB"/>
    <w:rPr>
      <w:sz w:val="16"/>
    </w:rPr>
  </w:style>
  <w:style w:type="paragraph" w:customStyle="1" w:styleId="WideTable">
    <w:name w:val="Wide Table"/>
    <w:basedOn w:val="Normal"/>
    <w:rsid w:val="009C71DB"/>
    <w:pPr>
      <w:ind w:left="-1418"/>
    </w:pPr>
    <w:rPr>
      <w:sz w:val="2"/>
      <w:szCs w:val="2"/>
    </w:rPr>
  </w:style>
  <w:style w:type="character" w:styleId="PageNumber">
    <w:name w:val="page number"/>
    <w:basedOn w:val="DefaultParagraphFont"/>
    <w:rsid w:val="009C71DB"/>
  </w:style>
  <w:style w:type="paragraph" w:styleId="Quote">
    <w:name w:val="Quote"/>
    <w:basedOn w:val="Heading1"/>
    <w:link w:val="QuoteChar"/>
    <w:qFormat/>
    <w:rsid w:val="009C71DB"/>
    <w:rPr>
      <w:b w:val="0"/>
      <w:sz w:val="72"/>
      <w:szCs w:val="72"/>
      <w:lang w:val="en-NZ"/>
    </w:rPr>
  </w:style>
  <w:style w:type="character" w:customStyle="1" w:styleId="QuoteChar">
    <w:name w:val="Quote Char"/>
    <w:basedOn w:val="DefaultParagraphFont"/>
    <w:link w:val="Quote"/>
    <w:rsid w:val="009C7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1DB"/>
    <w:pPr>
      <w:pageBreakBefore/>
    </w:pPr>
  </w:style>
  <w:style w:type="paragraph" w:customStyle="1" w:styleId="Border">
    <w:name w:val="Border"/>
    <w:basedOn w:val="Normal"/>
    <w:qFormat/>
    <w:rsid w:val="009C7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1DB"/>
    <w:rPr>
      <w:b/>
      <w:bCs/>
      <w:i/>
      <w:iCs/>
      <w:color w:val="auto"/>
    </w:rPr>
  </w:style>
  <w:style w:type="paragraph" w:styleId="IntenseQuote">
    <w:name w:val="Intense Quote"/>
    <w:basedOn w:val="Normal"/>
    <w:next w:val="Normal"/>
    <w:link w:val="IntenseQuoteChar"/>
    <w:uiPriority w:val="30"/>
    <w:qFormat/>
    <w:rsid w:val="009C7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1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1DB"/>
    <w:rPr>
      <w:smallCaps/>
      <w:color w:val="auto"/>
      <w:u w:val="single"/>
    </w:rPr>
  </w:style>
  <w:style w:type="character" w:styleId="IntenseReference">
    <w:name w:val="Intense Reference"/>
    <w:basedOn w:val="DefaultParagraphFont"/>
    <w:uiPriority w:val="32"/>
    <w:qFormat/>
    <w:rsid w:val="009C71DB"/>
    <w:rPr>
      <w:b/>
      <w:bCs/>
      <w:smallCaps/>
      <w:color w:val="auto"/>
      <w:spacing w:val="5"/>
      <w:u w:val="single"/>
    </w:rPr>
  </w:style>
  <w:style w:type="paragraph" w:customStyle="1" w:styleId="2ColumnHeading">
    <w:name w:val="2Column Heading"/>
    <w:basedOn w:val="BodyText"/>
    <w:qFormat/>
    <w:rsid w:val="009C71DB"/>
    <w:pPr>
      <w:spacing w:after="60"/>
      <w:ind w:left="-2268"/>
    </w:pPr>
    <w:rPr>
      <w:b/>
    </w:rPr>
  </w:style>
  <w:style w:type="paragraph" w:customStyle="1" w:styleId="Heading1TOC">
    <w:name w:val="Heading1 TOC"/>
    <w:basedOn w:val="Normal"/>
    <w:qFormat/>
    <w:rsid w:val="009C71DB"/>
    <w:pPr>
      <w:spacing w:before="240" w:after="120"/>
    </w:pPr>
    <w:rPr>
      <w:rFonts w:ascii="Times New Roman" w:hAnsi="Times New Roman"/>
      <w:b/>
      <w:sz w:val="32"/>
    </w:rPr>
  </w:style>
  <w:style w:type="paragraph" w:customStyle="1" w:styleId="Heading2TOC">
    <w:name w:val="Heading2 TOC"/>
    <w:basedOn w:val="Normal"/>
    <w:qFormat/>
    <w:rsid w:val="009C71DB"/>
    <w:pPr>
      <w:spacing w:before="240" w:after="60"/>
    </w:pPr>
    <w:rPr>
      <w:rFonts w:ascii="Times New Roman" w:hAnsi="Times New Roman"/>
      <w:b/>
      <w:sz w:val="28"/>
    </w:rPr>
  </w:style>
  <w:style w:type="character" w:customStyle="1" w:styleId="Underline">
    <w:name w:val="Underline"/>
    <w:basedOn w:val="DefaultParagraphFont"/>
    <w:qFormat/>
    <w:rsid w:val="009C71DB"/>
    <w:rPr>
      <w:u w:val="single"/>
    </w:rPr>
  </w:style>
  <w:style w:type="character" w:customStyle="1" w:styleId="BoldandItalics">
    <w:name w:val="Bold and Italics"/>
    <w:qFormat/>
    <w:rsid w:val="009C71DB"/>
    <w:rPr>
      <w:b/>
      <w:i/>
      <w:u w:val="none"/>
    </w:rPr>
  </w:style>
  <w:style w:type="paragraph" w:styleId="BalloonText">
    <w:name w:val="Balloon Text"/>
    <w:basedOn w:val="Normal"/>
    <w:link w:val="BalloonTextChar"/>
    <w:rsid w:val="009C71DB"/>
    <w:rPr>
      <w:rFonts w:ascii="Tahoma" w:hAnsi="Tahoma" w:cs="Tahoma"/>
      <w:sz w:val="16"/>
      <w:szCs w:val="16"/>
    </w:rPr>
  </w:style>
  <w:style w:type="character" w:customStyle="1" w:styleId="BalloonTextChar">
    <w:name w:val="Balloon Text Char"/>
    <w:basedOn w:val="DefaultParagraphFont"/>
    <w:link w:val="BalloonText"/>
    <w:rsid w:val="009C71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1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1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2398</Words>
  <Characters>15028</Characters>
  <Application>Microsoft Office Word</Application>
  <DocSecurity>0</DocSecurity>
  <Lines>608</Lines>
  <Paragraphs>249</Paragraphs>
  <ScaleCrop>false</ScaleCrop>
  <Company>Author-it Software Corporation Ltd.</Company>
  <LinksUpToDate>false</LinksUpToDate>
  <CharactersWithSpaces>17263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UETTDRTP27A Maintain transmission structures and associated hardware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2012-05-26T12:24:00Z</dcterms:created>
  <dcterms:modified xsi:type="dcterms:W3CDTF">2012-05-26T12:24:00Z</dcterms:modified>
</cp:coreProperties>
</file>