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90C" w:rsidP="009E190C">
      <w:pPr>
        <w:pStyle w:val="Title"/>
      </w:pPr>
      <w:r>
        <w:fldChar w:fldCharType="begin"/>
      </w:r>
      <w:r>
        <w:instrText xml:space="preserve"> TITLE   \* MERGEFORMAT </w:instrText>
      </w:r>
      <w:r>
        <w:fldChar w:fldCharType="separate"/>
      </w:r>
      <w:r>
        <w:t>UETTDRTP26A Install transmission structures and associated hardware</w:t>
      </w:r>
      <w:r>
        <w:fldChar w:fldCharType="end"/>
      </w:r>
    </w:p>
    <w:p w:rsidR="009E190C" w:rsidP="009E190C">
      <w:pPr>
        <w:pStyle w:val="Version"/>
        <w:sectPr w:rsidSect="005A48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893" w:rsidP="005A4893">
      <w:pPr>
        <w:pStyle w:val="SuperHeading"/>
      </w:pPr>
      <w:r w:rsidRPr="005A4893">
        <w:t>UETTDRTP26A Install transmission structures and associated hardware</w:t>
      </w:r>
    </w:p>
    <w:p w:rsidR="00000000" w:rsidRPr="005A4893" w:rsidP="005A4893">
      <w:pPr>
        <w:pStyle w:val="Heading1"/>
      </w:pPr>
      <w:bookmarkStart w:id="1" w:name="O_460430"/>
      <w:bookmarkEnd w:id="1"/>
      <w:r w:rsidRPr="005A4893">
        <w:t>Modification History</w:t>
      </w:r>
    </w:p>
    <w:p w:rsidR="00000000" w:rsidRPr="005A4893" w:rsidP="005A4893">
      <w:pPr>
        <w:pStyle w:val="BodyText"/>
      </w:pPr>
      <w:r w:rsidRPr="005A4893">
        <w:t>Not applicable.</w:t>
      </w:r>
    </w:p>
    <w:p w:rsidR="00000000" w:rsidRPr="005A4893" w:rsidP="005A4893">
      <w:pPr>
        <w:pStyle w:val="AllowPageBreak"/>
      </w:pPr>
    </w:p>
    <w:p w:rsidR="00000000" w:rsidRPr="005A4893" w:rsidP="005A4893">
      <w:pPr>
        <w:pStyle w:val="Heading1"/>
      </w:pPr>
      <w:bookmarkStart w:id="2" w:name="O_460428"/>
      <w:bookmarkEnd w:id="2"/>
      <w:r w:rsidRPr="005A4893">
        <w:t>Unit Descriptor</w:t>
      </w:r>
    </w:p>
    <w:tbl>
      <w:tblPr>
        <w:tblW w:w="0" w:type="auto"/>
        <w:tblLayout w:type="fixed"/>
        <w:tblCellMar>
          <w:left w:w="62" w:type="dxa"/>
          <w:right w:w="62" w:type="dxa"/>
        </w:tblCellMar>
        <w:tblLook w:val="0000"/>
      </w:tblPr>
      <w:tblGrid>
        <w:gridCol w:w="2700"/>
        <w:gridCol w:w="5760"/>
      </w:tblGrid>
      <w:tr w:rsidTr="009E19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1)</w:t>
            </w:r>
            <w:r w:rsidRPr="005A4893">
              <w:t xml:space="preserve"> </w:t>
            </w:r>
            <w:r w:rsidRPr="005A4893">
              <w:rPr>
                <w:rStyle w:val="SpecialBold"/>
              </w:rPr>
              <w:t>Scope:</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489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1.1) Descriptor</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This Competency Standard Unit covers the erection of non-energised, pyramid, delta, Pi or enterprise specific transmission towers and associated hardware. It includes the erection of components in accordance with construction plans, specifications, work or</w:t>
            </w:r>
            <w:r w:rsidRPr="005A4893">
              <w:t>ders and standing enterprise requirements. Erection could also involve cleaning and welding. The updating of system data, records and or completion of relevant documentation in accordance with enterprise requirements also forms part of this competency.</w:t>
            </w:r>
          </w:p>
        </w:tc>
      </w:tr>
    </w:tbl>
    <w:p w:rsidR="00000000" w:rsidRPr="005A4893" w:rsidP="005A4893">
      <w:pPr>
        <w:pStyle w:val="BodyText"/>
      </w:pPr>
    </w:p>
    <w:p w:rsidR="00000000" w:rsidRPr="005A4893" w:rsidP="005A4893">
      <w:pPr>
        <w:pStyle w:val="AllowPageBreak"/>
      </w:pPr>
    </w:p>
    <w:p w:rsidR="00000000" w:rsidRPr="005A4893" w:rsidP="005A4893">
      <w:pPr>
        <w:pStyle w:val="Heading1"/>
      </w:pPr>
      <w:bookmarkStart w:id="3" w:name="O_460417"/>
      <w:bookmarkEnd w:id="3"/>
      <w:r w:rsidRPr="005A4893">
        <w:t>Application of the Unit</w:t>
      </w:r>
    </w:p>
    <w:tbl>
      <w:tblPr>
        <w:tblW w:w="0" w:type="auto"/>
        <w:tblLayout w:type="fixed"/>
        <w:tblCellMar>
          <w:left w:w="62" w:type="dxa"/>
          <w:right w:w="62" w:type="dxa"/>
        </w:tblCellMar>
        <w:tblLook w:val="0000"/>
      </w:tblPr>
      <w:tblGrid>
        <w:gridCol w:w="2672"/>
        <w:gridCol w:w="5699"/>
      </w:tblGrid>
      <w:tr w:rsidTr="009E190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2)</w:t>
            </w:r>
          </w:p>
        </w:tc>
      </w:tr>
      <w:tr w:rsidTr="009E190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This Competency Standard Unit is intended to augment formally acquired competencies. It is suitable for employment-based programs under an approved contract of training.</w:t>
            </w:r>
          </w:p>
        </w:tc>
      </w:tr>
    </w:tbl>
    <w:p w:rsidR="00000000" w:rsidRPr="005A4893" w:rsidP="005A4893">
      <w:pPr>
        <w:pStyle w:val="BodyText"/>
      </w:pPr>
    </w:p>
    <w:p w:rsidR="00000000" w:rsidRPr="005A4893" w:rsidP="005A4893">
      <w:pPr>
        <w:pStyle w:val="AllowPageBreak"/>
      </w:pPr>
    </w:p>
    <w:p w:rsidR="00000000" w:rsidRPr="005A4893" w:rsidP="005A4893">
      <w:pPr>
        <w:pStyle w:val="Heading1"/>
      </w:pPr>
      <w:bookmarkStart w:id="4" w:name="O_460424"/>
      <w:bookmarkEnd w:id="4"/>
      <w:r w:rsidRPr="005A4893">
        <w:t>Licensing/Regulatory Information</w:t>
      </w:r>
    </w:p>
    <w:tbl>
      <w:tblPr>
        <w:tblW w:w="0" w:type="auto"/>
        <w:tblLayout w:type="fixed"/>
        <w:tblCellMar>
          <w:left w:w="62" w:type="dxa"/>
          <w:right w:w="62" w:type="dxa"/>
        </w:tblCellMar>
        <w:tblLook w:val="0000"/>
      </w:tblPr>
      <w:tblGrid>
        <w:gridCol w:w="2700"/>
        <w:gridCol w:w="5760"/>
      </w:tblGrid>
      <w:tr w:rsidTr="009E19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 xml:space="preserve">3) </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The skills and knowledge described in this unit may require a licence/registration to practice in the work place subject to regulations for undertaking of electrical work. Practice in workp</w:t>
            </w:r>
            <w:r w:rsidRPr="005A4893">
              <w:t xml:space="preserve">lace and during training is also subject to regulations directly related to Occupational Health and </w:t>
            </w:r>
            <w:r w:rsidRPr="005A4893">
              <w:t>Safety, electricity/telecommunications/gas/water industry safety and compliance, industrial relations, environmental protection, anti discrimination and tra</w:t>
            </w:r>
            <w:r w:rsidRPr="005A4893">
              <w:t>ining. Commonwealth, State/Territory or Local Government legislation and regulations may exist that limits the age of operating certain equipment.</w:t>
            </w:r>
          </w:p>
        </w:tc>
      </w:tr>
    </w:tbl>
    <w:p w:rsidR="00000000" w:rsidRPr="005A4893" w:rsidP="005A4893">
      <w:pPr>
        <w:pStyle w:val="BodyText"/>
      </w:pPr>
    </w:p>
    <w:p w:rsidR="00000000" w:rsidRPr="005A4893" w:rsidP="005A4893">
      <w:pPr>
        <w:pStyle w:val="AllowPageBreak"/>
      </w:pPr>
    </w:p>
    <w:p w:rsidR="00000000" w:rsidRPr="005A4893" w:rsidP="005A4893">
      <w:pPr>
        <w:pStyle w:val="Heading1"/>
      </w:pPr>
      <w:bookmarkStart w:id="5" w:name="O_460425"/>
      <w:bookmarkEnd w:id="5"/>
      <w:r w:rsidRPr="005A4893">
        <w:t>Pre-Requisites</w:t>
      </w:r>
    </w:p>
    <w:tbl>
      <w:tblPr>
        <w:tblW w:w="0" w:type="auto"/>
        <w:tblLayout w:type="fixed"/>
        <w:tblCellMar>
          <w:left w:w="62" w:type="dxa"/>
          <w:right w:w="62" w:type="dxa"/>
        </w:tblCellMar>
        <w:tblLook w:val="0000"/>
      </w:tblPr>
      <w:tblGrid>
        <w:gridCol w:w="2700"/>
        <w:gridCol w:w="1890"/>
        <w:gridCol w:w="3780"/>
      </w:tblGrid>
      <w:tr w:rsidTr="009E19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Prerequisite Unit(s)</w:t>
            </w:r>
          </w:p>
        </w:tc>
        <w:tc>
          <w:tcPr>
            <w:tcW w:w="5670" w:type="dxa"/>
            <w:gridSpan w:val="2"/>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 xml:space="preserve">4) </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Competencies</w:t>
            </w:r>
          </w:p>
        </w:tc>
        <w:tc>
          <w:tcPr>
            <w:tcW w:w="5670" w:type="dxa"/>
            <w:gridSpan w:val="2"/>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4.1)</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Granting of competency in this unit shall be made only after competency in the following unit(s) has/have been confirmed.</w:t>
            </w:r>
          </w:p>
          <w:p w:rsidR="00000000" w:rsidRPr="005A4893" w:rsidP="005A4893">
            <w:pPr>
              <w:pStyle w:val="BodyText"/>
            </w:pPr>
            <w:r w:rsidRPr="005A4893">
              <w:t>Where pre-requisite pathways have been identified. All competencies in the Common Unit Group must be have been completed.</w:t>
            </w:r>
          </w:p>
          <w:p w:rsidR="00000000" w:rsidP="005A4893">
            <w:pPr>
              <w:pStyle w:val="BodyText"/>
              <w:rPr>
                <w:lang w:val="en-NZ"/>
              </w:rPr>
            </w:pPr>
            <w:r w:rsidRPr="005A4893">
              <w:t xml:space="preserve">Common Unit </w:t>
            </w:r>
            <w:r w:rsidRPr="005A4893">
              <w:t>Group</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Unit Code</w:t>
            </w:r>
            <w:r w:rsidRPr="005A4893">
              <w:tab/>
            </w:r>
          </w:p>
        </w:tc>
        <w:tc>
          <w:tcPr>
            <w:tcW w:w="3780" w:type="dxa"/>
            <w:tcBorders>
              <w:top w:val="nil"/>
              <w:left w:val="nil"/>
              <w:bottom w:val="nil"/>
              <w:right w:val="nil"/>
            </w:tcBorders>
            <w:tcMar>
              <w:top w:w="0" w:type="dxa"/>
              <w:left w:w="62" w:type="dxa"/>
              <w:bottom w:w="0" w:type="dxa"/>
              <w:right w:w="62" w:type="dxa"/>
            </w:tcMar>
            <w:vAlign w:val="bottom"/>
          </w:tcPr>
          <w:p w:rsidR="00000000" w:rsidP="005A4893">
            <w:pPr>
              <w:pStyle w:val="BodyText"/>
              <w:rPr>
                <w:lang w:val="en-NZ"/>
              </w:rPr>
            </w:pPr>
            <w:r w:rsidRPr="005A4893">
              <w:t>Unit Title</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5A4893">
            <w:pPr>
              <w:pStyle w:val="BodyText"/>
              <w:rPr>
                <w:lang w:val="en-NZ"/>
              </w:rPr>
            </w:pPr>
            <w:r w:rsidRPr="005A4893">
              <w:t>Apply Occupational Health and Safety regulations, codes and practices in the workplace</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5A4893">
            <w:pPr>
              <w:pStyle w:val="BodyText"/>
              <w:rPr>
                <w:lang w:val="en-NZ"/>
              </w:rPr>
            </w:pPr>
            <w:r w:rsidRPr="005A4893">
              <w:t>Fabricate, assemble and dismantle utilities industry components</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5A4893">
            <w:pPr>
              <w:pStyle w:val="BodyText"/>
              <w:rPr>
                <w:lang w:val="en-NZ"/>
              </w:rPr>
            </w:pPr>
            <w:r w:rsidRPr="005A4893">
              <w:t>Fix and secure electrotechnology equipment</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5A4893">
            <w:pPr>
              <w:pStyle w:val="BodyText"/>
              <w:rPr>
                <w:lang w:val="en-NZ"/>
              </w:rPr>
            </w:pPr>
            <w:r w:rsidRPr="005A4893">
              <w:t>Use drawings, diagrams, schedules, standards, codes and specifications</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5A4893">
            <w:pPr>
              <w:pStyle w:val="BodyText"/>
              <w:rPr>
                <w:lang w:val="en-NZ"/>
              </w:rPr>
            </w:pPr>
            <w:r w:rsidRPr="005A4893">
              <w:t xml:space="preserve">Apply sustainable energy and environmental procedures </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RPr="005A4893" w:rsidP="005A4893">
            <w:pPr>
              <w:pStyle w:val="BodyText"/>
            </w:pPr>
            <w:r w:rsidRPr="005A4893">
              <w:t xml:space="preserve">Working safely near live electrical apparatus </w:t>
            </w:r>
          </w:p>
        </w:tc>
      </w:tr>
    </w:tbl>
    <w:p w:rsidR="00000000" w:rsidRPr="005A4893" w:rsidP="005A4893">
      <w:pPr>
        <w:pStyle w:val="BodyText"/>
      </w:pPr>
    </w:p>
    <w:tbl>
      <w:tblPr>
        <w:tblW w:w="0" w:type="auto"/>
        <w:tblLayout w:type="fixed"/>
        <w:tblCellMar>
          <w:left w:w="62" w:type="dxa"/>
          <w:right w:w="62" w:type="dxa"/>
        </w:tblCellMar>
        <w:tblLook w:val="0000"/>
      </w:tblPr>
      <w:tblGrid>
        <w:gridCol w:w="2700"/>
        <w:gridCol w:w="1080"/>
        <w:gridCol w:w="810"/>
        <w:gridCol w:w="990"/>
        <w:gridCol w:w="900"/>
        <w:gridCol w:w="1080"/>
        <w:gridCol w:w="900"/>
      </w:tblGrid>
      <w:tr w:rsidTr="009E190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 xml:space="preserve">4.2) </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Participants are best equipped to achieve this unit if they have reading, writing and numeracy skills indicated by the following scales. Description of each scale is</w:t>
            </w:r>
            <w:r w:rsidRPr="005A4893">
              <w:t xml:space="preserve"> given in Volume 2, Part 3 “Literacy and Numeracy”</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Reading</w:t>
            </w:r>
          </w:p>
        </w:tc>
        <w:tc>
          <w:tcPr>
            <w:tcW w:w="81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3</w:t>
            </w:r>
          </w:p>
        </w:tc>
        <w:tc>
          <w:tcPr>
            <w:tcW w:w="99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Writing</w:t>
            </w:r>
          </w:p>
        </w:tc>
        <w:tc>
          <w:tcPr>
            <w:tcW w:w="90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3</w:t>
            </w:r>
          </w:p>
        </w:tc>
        <w:tc>
          <w:tcPr>
            <w:tcW w:w="108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Numeracy</w:t>
            </w:r>
          </w:p>
        </w:tc>
        <w:tc>
          <w:tcPr>
            <w:tcW w:w="90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3</w:t>
            </w:r>
          </w:p>
        </w:tc>
      </w:tr>
    </w:tbl>
    <w:p w:rsidR="00000000" w:rsidRPr="005A4893" w:rsidP="005A4893">
      <w:pPr>
        <w:pStyle w:val="BodyText"/>
      </w:pPr>
    </w:p>
    <w:p w:rsidR="00000000" w:rsidRPr="005A4893" w:rsidP="005A4893">
      <w:pPr>
        <w:pStyle w:val="AllowPageBreak"/>
      </w:pPr>
    </w:p>
    <w:p w:rsidR="00000000" w:rsidRPr="005A4893" w:rsidP="005A4893">
      <w:pPr>
        <w:pStyle w:val="Heading1"/>
      </w:pPr>
      <w:bookmarkStart w:id="6" w:name="O_460421"/>
      <w:bookmarkEnd w:id="6"/>
      <w:r w:rsidRPr="005A4893">
        <w:t>Employability Skills Information</w:t>
      </w:r>
    </w:p>
    <w:tbl>
      <w:tblPr>
        <w:tblW w:w="0" w:type="auto"/>
        <w:tblLayout w:type="fixed"/>
        <w:tblCellMar>
          <w:left w:w="62" w:type="dxa"/>
          <w:right w:w="62" w:type="dxa"/>
        </w:tblCellMar>
        <w:tblLook w:val="0000"/>
      </w:tblPr>
      <w:tblGrid>
        <w:gridCol w:w="2700"/>
        <w:gridCol w:w="5760"/>
      </w:tblGrid>
      <w:tr w:rsidTr="009E19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 xml:space="preserve">5) </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A4893">
              <w:t>requirements.</w:t>
            </w:r>
          </w:p>
        </w:tc>
      </w:tr>
    </w:tbl>
    <w:p w:rsidR="00000000" w:rsidRPr="005A4893" w:rsidP="005A4893">
      <w:pPr>
        <w:pStyle w:val="BodyText"/>
      </w:pPr>
    </w:p>
    <w:p w:rsidR="00000000" w:rsidRPr="005A4893" w:rsidP="005A4893">
      <w:pPr>
        <w:pStyle w:val="AllowPageBreak"/>
      </w:pPr>
    </w:p>
    <w:p w:rsidR="00000000" w:rsidRPr="005A4893" w:rsidP="005A4893">
      <w:pPr>
        <w:pStyle w:val="Heading1"/>
      </w:pPr>
      <w:bookmarkStart w:id="7" w:name="O_460420"/>
      <w:bookmarkEnd w:id="7"/>
      <w:r w:rsidRPr="005A4893">
        <w:t>Elements and Performance Criteria Pre-Content</w:t>
      </w:r>
    </w:p>
    <w:tbl>
      <w:tblPr>
        <w:tblW w:w="0" w:type="auto"/>
        <w:tblLayout w:type="fixed"/>
        <w:tblCellMar>
          <w:left w:w="62" w:type="dxa"/>
          <w:right w:w="62" w:type="dxa"/>
        </w:tblCellMar>
        <w:tblLook w:val="0000"/>
      </w:tblPr>
      <w:tblGrid>
        <w:gridCol w:w="2700"/>
        <w:gridCol w:w="5760"/>
      </w:tblGrid>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6)</w:t>
            </w:r>
            <w:r w:rsidRPr="005A489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Performance Criteria describe the required performance needed to demonstrate achievement of the element</w:t>
            </w:r>
            <w:r w:rsidRPr="005A4893">
              <w:t>. Assessment of performance is to be consistent with the Evidence Guide.</w:t>
            </w:r>
          </w:p>
        </w:tc>
      </w:tr>
    </w:tbl>
    <w:p w:rsidR="00000000" w:rsidRPr="005A4893" w:rsidP="005A4893">
      <w:pPr>
        <w:pStyle w:val="BodyText"/>
      </w:pPr>
    </w:p>
    <w:p w:rsidR="00000000" w:rsidRPr="005A4893" w:rsidP="005A4893">
      <w:pPr>
        <w:pStyle w:val="AllowPageBreak"/>
      </w:pPr>
    </w:p>
    <w:p w:rsidR="00000000" w:rsidRPr="005A4893" w:rsidP="005A4893">
      <w:pPr>
        <w:pStyle w:val="Heading1"/>
      </w:pPr>
      <w:bookmarkStart w:id="8" w:name="O_460419"/>
      <w:bookmarkEnd w:id="8"/>
      <w:r w:rsidRPr="005A4893">
        <w:t>Elements and Performance Criteria</w:t>
      </w:r>
    </w:p>
    <w:tbl>
      <w:tblPr>
        <w:tblW w:w="0" w:type="auto"/>
        <w:tblLayout w:type="fixed"/>
        <w:tblCellMar>
          <w:left w:w="62" w:type="dxa"/>
          <w:right w:w="62" w:type="dxa"/>
        </w:tblCellMar>
        <w:tblLook w:val="0000"/>
      </w:tblPr>
      <w:tblGrid>
        <w:gridCol w:w="409"/>
        <w:gridCol w:w="2291"/>
        <w:gridCol w:w="851"/>
        <w:gridCol w:w="4909"/>
      </w:tblGrid>
      <w:tr w:rsidTr="009E190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PERFORMANCE CRITERIA</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w:t>
            </w:r>
          </w:p>
        </w:tc>
        <w:tc>
          <w:tcPr>
            <w:tcW w:w="229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Prepare to erect transmission towers and associated hardware</w:t>
            </w: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1.1</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 xml:space="preserve">Works schedule(s), including </w:t>
            </w:r>
            <w:r w:rsidRPr="005A4893">
              <w:t>drawings, plans, requirements, established procedures, and material lists, are received, analysed and confirmed, if necessary, by site inspection.</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1.2</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Relevant requirements and established procedures for the work are communicated to all personnel and identified for all work sites.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1.3</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OHS policies and procedures related to requirements and established procedures for the erect towers and associated har</w:t>
            </w:r>
            <w:r w:rsidRPr="005A4893">
              <w:t>dware are obtained and confirmed for the purposes of the work to be performed and communicated.</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1.4</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Work is prioritised and sequenced following consultation with others for completion within acceptable timeframes and in accordance with established proce</w:t>
            </w:r>
            <w:r w:rsidRPr="005A4893">
              <w:t>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1.5</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Hazards are identified, OHS risks assessed and control measures are prioritised, implemented and monitored including emergency exits kept clear according to established procedures.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1.6</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Relevant work permits are obtained to access and perfo</w:t>
            </w:r>
            <w:r w:rsidRPr="005A4893">
              <w:t>rm work according to requirements and/or established procedures.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1.7</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Resources including personnel, equipment, tools and personal protective equipment required for the job are obtained and confirmed in working order.</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1.8</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Relevant personnel at work site are confirmed current in First Aid, Tower/Pole Top Rescue and other related work procedures according to requirements.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1.9</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Liaison and communication issues with other/authorised personnel, authorities, clients and land ow</w:t>
            </w:r>
            <w:r w:rsidRPr="005A4893">
              <w:t>ners are resolved to carry out work where necessary.</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1.10</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Personnel participating in the work, including plant operators and contractors, are fully briefed and respective responsibilities confirmed where applicable in accordance with established procedu</w:t>
            </w:r>
            <w:r w:rsidRPr="005A4893">
              <w:t>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1.11</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Site is prepared according to the work schedule and to minimise risk and damage to property, commerce, and individuals in accordance with established procedures.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1.12</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Traffic management plan is identified and implemented.</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2</w:t>
            </w:r>
          </w:p>
        </w:tc>
        <w:tc>
          <w:tcPr>
            <w:tcW w:w="2291" w:type="dxa"/>
            <w:vMerge w:val="restart"/>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Carry out the erection of transmission towers and associated hardware</w:t>
            </w: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2.1</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 xml:space="preserve">OHS, sustainable energy and environmental principles and practices to reduce the incidents of accidents and minimise waste are monitored and followed in accordance with requirements </w:t>
            </w:r>
            <w:r w:rsidRPr="005A4893">
              <w:t>and/or established procedures.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2.2</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Lifting, climbing, working aloft, and use of power tools/equipment, techniques and practices are safely followed and, currency according to requirements confirmed.</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2.3</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Essential knowledge and associated skills are applied in the safe erection of towers and associated hardware to ensure completion in an agreed timeframe and, to quality standards with a minimum of waste according to requirements.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2.4</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Towers and associat</w:t>
            </w:r>
            <w:r w:rsidRPr="005A4893">
              <w:t>ed hardware to be erected are stabilised according to requirements.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2.5</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 xml:space="preserve">Hazard warnings and safety signs are recognised and hazards and assessed OHS risks are reported to the immediate authorised persons for directions </w:t>
            </w:r>
            <w:r w:rsidRPr="005A4893">
              <w:t>according to established procedures.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2.6</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Erection of towers and associated hardware is carried out, in accordance with the work schedule and requirements/established procedures.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2.7</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Unplanned events in the erection of towers and associated hardware a</w:t>
            </w:r>
            <w:r w:rsidRPr="005A4893">
              <w:t>re undertaken within the scope of established procedures.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2.8</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Known solutions to a variety of problems are applied using acquired essential knowledge and associated skills.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2.9</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Ongoing checks of quality of the work are undertaken in accordance with instructions and established procedures.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3</w:t>
            </w:r>
          </w:p>
        </w:tc>
        <w:tc>
          <w:tcPr>
            <w:tcW w:w="2291" w:type="dxa"/>
            <w:vMerge w:val="restart"/>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Complete the erection of transmission towers and associated hardware</w:t>
            </w: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3.1</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Work undertaken is checked against works schedule for conformance w</w:t>
            </w:r>
            <w:r w:rsidRPr="005A4893">
              <w:t>ith requirements and anomalies reported in accordance with established procedures.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3.2</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Accidents and/or injuries are reported in accordance with requirements/established procedures, where applicable.</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3.3</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Work site is rehabilitated, cleaned up and made safe in accordance with established procedures.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3.4</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Tools, equipment and any surplus resources and materials are, where appropriate, cleaned, checked and returned to storage or disposed of in accordance wi</w:t>
            </w:r>
            <w:r w:rsidRPr="005A4893">
              <w:t>th established procedures.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3.5</w:t>
            </w:r>
          </w:p>
        </w:tc>
        <w:tc>
          <w:tcPr>
            <w:tcW w:w="4909"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Relevant work permit(s) are signed off and, towers and associated hardware are returned to service in accordance with requirements.</w:t>
            </w:r>
          </w:p>
        </w:tc>
      </w:tr>
      <w:tr w:rsidTr="009E190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t>3.6</w:t>
            </w:r>
          </w:p>
        </w:tc>
        <w:tc>
          <w:tcPr>
            <w:tcW w:w="4909"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Works completion records, reports, as installed /modified drawing and/or documentation and information are finalised and processed and appropriate personnel notified.</w:t>
            </w:r>
          </w:p>
        </w:tc>
      </w:tr>
    </w:tbl>
    <w:p w:rsidR="00000000" w:rsidRPr="005A4893" w:rsidP="005A4893">
      <w:pPr>
        <w:pStyle w:val="BodyText"/>
      </w:pPr>
    </w:p>
    <w:p w:rsidR="00000000" w:rsidRPr="005A4893" w:rsidP="005A4893">
      <w:pPr>
        <w:pStyle w:val="AllowPageBreak"/>
      </w:pPr>
    </w:p>
    <w:p w:rsidR="00000000" w:rsidRPr="005A4893" w:rsidP="005A4893">
      <w:pPr>
        <w:pStyle w:val="Heading1"/>
      </w:pPr>
      <w:bookmarkStart w:id="9" w:name="O_460427"/>
      <w:bookmarkEnd w:id="9"/>
      <w:r w:rsidRPr="005A4893">
        <w:t>Required Skills and Knowledge</w:t>
      </w:r>
    </w:p>
    <w:tbl>
      <w:tblPr>
        <w:tblW w:w="0" w:type="auto"/>
        <w:tblLayout w:type="fixed"/>
        <w:tblCellMar>
          <w:left w:w="62" w:type="dxa"/>
          <w:right w:w="62" w:type="dxa"/>
        </w:tblCellMar>
        <w:tblLook w:val="0000"/>
      </w:tblPr>
      <w:tblGrid>
        <w:gridCol w:w="8460"/>
      </w:tblGrid>
      <w:tr w:rsidTr="009E19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REQUIRED SKILLS AND KNOWLEDGE</w:t>
            </w:r>
          </w:p>
        </w:tc>
      </w:tr>
      <w:tr w:rsidTr="009E190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8)</w:t>
            </w:r>
            <w:r w:rsidRPr="005A4893">
              <w:t xml:space="preserve"> Essent</w:t>
            </w:r>
            <w:r w:rsidRPr="005A4893">
              <w:t>ial Knowledge and Associated Skills (EKAS): This describes the essential skills and knowledge and their level, required for this unit.</w:t>
            </w:r>
          </w:p>
          <w:p w:rsidR="00000000" w:rsidRPr="005A4893" w:rsidP="005A4893">
            <w:pPr>
              <w:pStyle w:val="BodyText"/>
            </w:pPr>
            <w:r w:rsidRPr="005A4893">
              <w:t xml:space="preserve">Evidence shall show that knowledge has been acquired of erecting transmission towers and associated hardware. </w:t>
            </w:r>
          </w:p>
          <w:p w:rsidR="00000000" w:rsidRPr="005A4893" w:rsidP="005A4893">
            <w:pPr>
              <w:pStyle w:val="BodyText"/>
            </w:pPr>
            <w:r w:rsidRPr="005A4893">
              <w:t>All knowle</w:t>
            </w:r>
            <w:r w:rsidRPr="005A4893">
              <w:t>dge and skills detailed in this unit should be contextualised to current industry practices and technologies.</w:t>
            </w:r>
          </w:p>
          <w:p w:rsidR="00000000" w:rsidRPr="005A4893" w:rsidP="005A4893">
            <w:pPr>
              <w:pStyle w:val="BodyText"/>
            </w:pPr>
            <w:r w:rsidRPr="005A4893">
              <w:t xml:space="preserve">KS01-TTP26A </w:t>
            </w:r>
            <w:r w:rsidRPr="005A4893">
              <w:tab/>
              <w:t>Transmission structures and hardware</w:t>
            </w:r>
          </w:p>
          <w:p w:rsidR="00000000" w:rsidRPr="005A4893" w:rsidP="005A4893">
            <w:pPr>
              <w:pStyle w:val="BodyText"/>
            </w:pPr>
            <w:r w:rsidRPr="005A4893">
              <w:t>Evidence shall show an understanding of transmission structures and hardware to an extent indica</w:t>
            </w:r>
            <w:r w:rsidRPr="005A4893">
              <w:t>ted by the following aspects:</w:t>
            </w:r>
          </w:p>
          <w:p w:rsidR="00000000" w:rsidRPr="005A4893" w:rsidP="005A4893">
            <w:pPr>
              <w:pStyle w:val="BodyText"/>
            </w:pPr>
            <w:r w:rsidRPr="005A4893">
              <w:t>T1</w:t>
            </w:r>
            <w:r w:rsidRPr="005A4893">
              <w:tab/>
              <w:t xml:space="preserve">Requirements for the use of enterprise construction manuals, system diagrams/plans and drawings </w:t>
            </w:r>
          </w:p>
          <w:p w:rsidR="00000000" w:rsidRPr="005A4893" w:rsidP="005A4893">
            <w:pPr>
              <w:pStyle w:val="BodyText"/>
            </w:pPr>
            <w:r w:rsidRPr="005A4893">
              <w:t>T2</w:t>
            </w:r>
            <w:r w:rsidRPr="005A4893">
              <w:tab/>
              <w:t xml:space="preserve">Types of structures </w:t>
            </w:r>
          </w:p>
          <w:p w:rsidR="00000000" w:rsidRPr="005A4893" w:rsidP="005A4893">
            <w:pPr>
              <w:pStyle w:val="BodyText"/>
            </w:pPr>
            <w:r w:rsidRPr="005A4893">
              <w:t>T3</w:t>
            </w:r>
            <w:r w:rsidRPr="005A4893">
              <w:tab/>
              <w:t xml:space="preserve">Types and function of associated hardware/equipment and insulators </w:t>
            </w:r>
          </w:p>
          <w:p w:rsidR="00000000" w:rsidRPr="005A4893" w:rsidP="005A4893">
            <w:pPr>
              <w:pStyle w:val="BodyText"/>
            </w:pPr>
            <w:r w:rsidRPr="005A4893">
              <w:t>T4</w:t>
            </w:r>
            <w:r w:rsidRPr="005A4893">
              <w:tab/>
              <w:t xml:space="preserve">Types of conductors </w:t>
            </w:r>
          </w:p>
          <w:p w:rsidR="00000000" w:rsidRPr="005A4893" w:rsidP="005A4893">
            <w:pPr>
              <w:pStyle w:val="BodyText"/>
            </w:pPr>
            <w:r w:rsidRPr="005A4893">
              <w:t>T5</w:t>
            </w:r>
            <w:r w:rsidRPr="005A4893">
              <w:tab/>
            </w:r>
            <w:r w:rsidRPr="005A4893">
              <w:t xml:space="preserve">Location of transmissions structures </w:t>
            </w:r>
          </w:p>
          <w:p w:rsidR="00000000" w:rsidRPr="005A4893" w:rsidP="005A4893">
            <w:pPr>
              <w:pStyle w:val="BodyText"/>
            </w:pPr>
            <w:r w:rsidRPr="005A4893">
              <w:t>T6</w:t>
            </w:r>
            <w:r w:rsidRPr="005A4893">
              <w:tab/>
              <w:t xml:space="preserve">Other equipment used on transmission structures, e.g. aircraft warning devices </w:t>
            </w:r>
          </w:p>
          <w:p w:rsidR="00000000" w:rsidRPr="005A4893" w:rsidP="005A4893">
            <w:pPr>
              <w:pStyle w:val="BodyText"/>
            </w:pPr>
            <w:r w:rsidRPr="005A4893">
              <w:t>T7</w:t>
            </w:r>
            <w:r w:rsidRPr="005A4893">
              <w:tab/>
              <w:t xml:space="preserve">Voltages on transmission structures </w:t>
            </w:r>
          </w:p>
          <w:p w:rsidR="00000000" w:rsidRPr="005A4893" w:rsidP="005A4893">
            <w:pPr>
              <w:pStyle w:val="BodyText"/>
            </w:pPr>
            <w:r w:rsidRPr="005A4893">
              <w:t>T8</w:t>
            </w:r>
            <w:r w:rsidRPr="005A4893">
              <w:tab/>
              <w:t xml:space="preserve">Traffic management  </w:t>
            </w:r>
          </w:p>
          <w:p w:rsidR="00000000" w:rsidRPr="005A4893" w:rsidP="005A4893">
            <w:pPr>
              <w:pStyle w:val="ListBullet"/>
            </w:pPr>
            <w:r w:rsidRPr="005A4893">
              <w:t>Note: Examples include purpose of traffic management and a power worke</w:t>
            </w:r>
            <w:r w:rsidRPr="005A4893">
              <w:t>r’s responsibilities in accordance with relevant statutory requirements and electricity supply industry requirements, demonstration of the procedure used to provide an effective traffic management scheme and the use of a two-way radio</w:t>
            </w:r>
          </w:p>
          <w:p w:rsidR="00000000" w:rsidRPr="005A4893" w:rsidP="005A4893">
            <w:pPr>
              <w:pStyle w:val="BodyText"/>
            </w:pPr>
            <w:r w:rsidRPr="005A4893">
              <w:t>T9</w:t>
            </w:r>
            <w:r w:rsidRPr="005A4893">
              <w:tab/>
              <w:t>Classification and</w:t>
            </w:r>
            <w:r w:rsidRPr="005A4893">
              <w:t xml:space="preserve"> identification of equipment, components and tools </w:t>
            </w:r>
          </w:p>
          <w:p w:rsidR="00000000" w:rsidRPr="005A4893" w:rsidP="005A4893">
            <w:pPr>
              <w:pStyle w:val="BodyText"/>
            </w:pPr>
            <w:r w:rsidRPr="005A4893">
              <w:t>T10</w:t>
            </w:r>
            <w:r w:rsidRPr="005A4893">
              <w:tab/>
              <w:t xml:space="preserve">Procedures for purchasing/ordering items, removing/dispatching items, stocktaking, and record keeping </w:t>
            </w:r>
          </w:p>
          <w:p w:rsidR="00000000" w:rsidRPr="005A4893" w:rsidP="005A4893">
            <w:pPr>
              <w:pStyle w:val="BodyText"/>
            </w:pPr>
            <w:r w:rsidRPr="005A4893">
              <w:t>T11</w:t>
            </w:r>
            <w:r w:rsidRPr="005A4893">
              <w:tab/>
              <w:t>Safe working practices encompassing:</w:t>
            </w:r>
          </w:p>
          <w:p w:rsidR="00000000" w:rsidRPr="005A4893" w:rsidP="005A4893">
            <w:pPr>
              <w:pStyle w:val="ListBullet"/>
            </w:pPr>
            <w:r w:rsidRPr="005A4893">
              <w:t>Requirements to enable safe working on conductive poles</w:t>
            </w:r>
          </w:p>
          <w:p w:rsidR="00000000" w:rsidRPr="005A4893" w:rsidP="005A4893">
            <w:pPr>
              <w:pStyle w:val="ListBullet"/>
            </w:pPr>
            <w:r w:rsidRPr="005A4893">
              <w:t>Safe working practices when working with associated hardware/equipment and insulators</w:t>
            </w:r>
          </w:p>
          <w:p w:rsidR="00000000" w:rsidRPr="005A4893" w:rsidP="005A4893">
            <w:pPr>
              <w:pStyle w:val="ListBullet"/>
            </w:pPr>
            <w:r w:rsidRPr="005A4893">
              <w:t>Precautions of voltages on transmission structures</w:t>
            </w:r>
          </w:p>
          <w:p w:rsidR="00000000" w:rsidRPr="005A4893" w:rsidP="005A4893">
            <w:pPr>
              <w:pStyle w:val="ListBullet"/>
            </w:pPr>
            <w:r w:rsidRPr="005A4893">
              <w:t>Safe working practices when using specialised equipment</w:t>
            </w:r>
          </w:p>
        </w:tc>
      </w:tr>
    </w:tbl>
    <w:p w:rsidR="00000000" w:rsidRPr="005A4893" w:rsidP="005A4893">
      <w:pPr>
        <w:pStyle w:val="BodyText"/>
      </w:pPr>
    </w:p>
    <w:p w:rsidR="00000000" w:rsidRPr="005A4893" w:rsidP="005A4893">
      <w:pPr>
        <w:pStyle w:val="AllowPageBreak"/>
      </w:pPr>
    </w:p>
    <w:p w:rsidR="00000000" w:rsidRPr="005A4893" w:rsidP="005A4893">
      <w:pPr>
        <w:pStyle w:val="Heading1"/>
      </w:pPr>
      <w:bookmarkStart w:id="10" w:name="O_460422"/>
      <w:bookmarkEnd w:id="10"/>
      <w:r w:rsidRPr="005A4893">
        <w:t>Evidence Guide</w:t>
      </w:r>
    </w:p>
    <w:tbl>
      <w:tblPr>
        <w:tblW w:w="0" w:type="auto"/>
        <w:tblLayout w:type="fixed"/>
        <w:tblCellMar>
          <w:left w:w="62" w:type="dxa"/>
          <w:right w:w="62" w:type="dxa"/>
        </w:tblCellMar>
        <w:tblLook w:val="0000"/>
      </w:tblPr>
      <w:tblGrid>
        <w:gridCol w:w="8460"/>
      </w:tblGrid>
      <w:tr w:rsidTr="009E19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EVIDENCE GUIDE</w:t>
            </w:r>
          </w:p>
        </w:tc>
      </w:tr>
      <w:tr w:rsidTr="009E19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9)</w:t>
            </w:r>
            <w:r w:rsidRPr="005A4893">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5A4893" w:rsidP="005A4893">
            <w:pPr>
              <w:pStyle w:val="BodyText"/>
            </w:pPr>
            <w:r w:rsidRPr="005A4893">
              <w:t>The Evidence Guide form</w:t>
            </w:r>
            <w:r w:rsidRPr="005A4893">
              <w:t>s an integral part of this Competency Standard Unit and shall be used in conjunction with all component parts of this unit and, performed in accordance with the Assessment Guidelines of this Training Package.</w:t>
            </w:r>
          </w:p>
        </w:tc>
      </w:tr>
    </w:tbl>
    <w:p w:rsidR="00000000" w:rsidRPr="005A4893" w:rsidP="005A4893">
      <w:pPr>
        <w:pStyle w:val="BodyText"/>
      </w:pPr>
    </w:p>
    <w:tbl>
      <w:tblPr>
        <w:tblW w:w="0" w:type="auto"/>
        <w:tblLayout w:type="fixed"/>
        <w:tblCellMar>
          <w:left w:w="62" w:type="dxa"/>
          <w:right w:w="62" w:type="dxa"/>
        </w:tblCellMar>
        <w:tblLook w:val="0000"/>
      </w:tblPr>
      <w:tblGrid>
        <w:gridCol w:w="1890"/>
        <w:gridCol w:w="6570"/>
      </w:tblGrid>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9.1)</w:t>
            </w:r>
          </w:p>
        </w:tc>
      </w:tr>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Longitudinal competency development approaches to assessment, such as Profiling, require data to be reliably gathered in a form that can be consistently interpreted over time. This approach is best utilised in Apprenticeship programs and reduces assessment</w:t>
            </w:r>
            <w:r w:rsidRPr="005A489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A4893">
              <w:t>tency in a realistically simulated work environment. It is recognised that, in some circumstances, assessment in part or full can occur outside the workplace. However, it must be in accord with Industry and, Regulatory policy in this regard.</w:t>
            </w:r>
          </w:p>
          <w:p w:rsidR="00000000" w:rsidRPr="005A4893" w:rsidP="005A4893">
            <w:pPr>
              <w:pStyle w:val="BodyText"/>
            </w:pPr>
            <w:r w:rsidRPr="005A4893">
              <w:t>Methods chosen</w:t>
            </w:r>
            <w:r w:rsidRPr="005A4893">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A4893">
              <w:t>equired and the critical nature of the competencies being assessed.</w:t>
            </w:r>
          </w:p>
          <w:p w:rsidR="00000000" w:rsidRPr="005A4893" w:rsidP="005A4893">
            <w:pPr>
              <w:pStyle w:val="BodyText"/>
            </w:pPr>
            <w:r w:rsidRPr="005A4893">
              <w:t>The critical safety nature of working with electricity, electrical equipment, gas or any other hazardous substance/material carries risk in deeming a person competent. Hence, sources of ev</w:t>
            </w:r>
            <w:r w:rsidRPr="005A4893">
              <w:t>idence need to be ‘rich’ in nature so as to minimise error in judgment.</w:t>
            </w:r>
          </w:p>
          <w:p w:rsidR="00000000" w:rsidRPr="005A4893" w:rsidP="005A4893">
            <w:pPr>
              <w:pStyle w:val="BodyText"/>
            </w:pPr>
            <w:r w:rsidRPr="005A4893">
              <w:t>Activities associated with normal every day work have a bearing on the decision as to how much and how detailed the data gathered will contribute to its ‘richness’. Some skills are mor</w:t>
            </w:r>
            <w:r w:rsidRPr="005A4893">
              <w:t>e critical to safety and operational requirements while the same skills may be more or less frequently practiced. These points are raised for the assessors to consider when choosing an assessment method and developing assessment instruments. Sample assessm</w:t>
            </w:r>
            <w:r w:rsidRPr="005A4893">
              <w:t>ent instruments are included for Assessors in the Assessment Guidelines of this Training Package.</w:t>
            </w:r>
          </w:p>
        </w:tc>
      </w:tr>
    </w:tbl>
    <w:p w:rsidR="00000000" w:rsidRPr="005A4893" w:rsidP="005A4893">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9.2)</w:t>
            </w:r>
          </w:p>
        </w:tc>
      </w:tr>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Before the critical aspects of evidence are considered all prerequisi</w:t>
            </w:r>
            <w:r w:rsidRPr="005A4893">
              <w:t>tes shall be met.</w:t>
            </w:r>
          </w:p>
          <w:p w:rsidR="00000000" w:rsidRPr="005A4893" w:rsidP="005A4893">
            <w:pPr>
              <w:pStyle w:val="BodyText"/>
            </w:pPr>
            <w:r w:rsidRPr="005A4893">
              <w:t xml:space="preserve">Evidence for competence in this unit shall be considered holistically. Each element and associated Performance Criteria shall be demonstrated on at least two occasions in accordance with the “Assessment Guidelines – UET12”. Evidence </w:t>
            </w:r>
            <w:r w:rsidRPr="005A4893">
              <w:t>shall also comprise:</w:t>
            </w:r>
          </w:p>
          <w:p w:rsidR="00000000" w:rsidRPr="005A4893" w:rsidP="005A4893">
            <w:pPr>
              <w:pStyle w:val="ListBullet"/>
            </w:pPr>
            <w:r w:rsidRPr="005A4893">
              <w:t>A representative body of Performance Criteria demonstrated within the timeframes typically expected of the discipline, work function and industrial environment. In particular this shall incorporate evidence that shows a candidate is a</w:t>
            </w:r>
            <w:r w:rsidRPr="005A4893">
              <w:t>ble to:</w:t>
            </w:r>
          </w:p>
          <w:p w:rsidR="00000000" w:rsidRPr="005A4893" w:rsidP="005A4893">
            <w:pPr>
              <w:pStyle w:val="ListBullet2"/>
            </w:pPr>
            <w:r w:rsidRPr="005A4893">
              <w:t>Implement Occupational Health and Safety workplace procedures and practices including the use of risk control measures as specified in the Performance Criteria and range; and;</w:t>
            </w:r>
          </w:p>
          <w:p w:rsidR="00000000" w:rsidRPr="005A4893" w:rsidP="005A4893">
            <w:pPr>
              <w:pStyle w:val="ListBullet2"/>
            </w:pPr>
            <w:r w:rsidRPr="005A4893">
              <w:t>Apply sustainable energy principles and practices as specified in the P</w:t>
            </w:r>
            <w:r w:rsidRPr="005A4893">
              <w:t>erformance Criteria and range; and</w:t>
            </w:r>
          </w:p>
          <w:p w:rsidR="00000000" w:rsidRPr="005A4893" w:rsidP="005A4893">
            <w:pPr>
              <w:pStyle w:val="ListBullet2"/>
            </w:pPr>
            <w:r w:rsidRPr="005A4893">
              <w:t>Demonstrate an understanding of the essential knowledge and associated skills as described in this unit to such an extent that the learner’s performance outcome is reported in accordance with the preferred approach; namel</w:t>
            </w:r>
            <w:r w:rsidRPr="005A4893">
              <w:t>y a percentile graded result, where required by the regulated environment; and</w:t>
            </w:r>
          </w:p>
          <w:p w:rsidR="00000000" w:rsidRPr="005A4893" w:rsidP="005A4893">
            <w:pPr>
              <w:pStyle w:val="ListBullet2"/>
            </w:pPr>
            <w:r w:rsidRPr="005A4893">
              <w:t>Demonstrate an appropriate level of employability skills; and</w:t>
            </w:r>
          </w:p>
          <w:p w:rsidR="00000000" w:rsidRPr="005A4893" w:rsidP="005A4893">
            <w:pPr>
              <w:pStyle w:val="ListBullet"/>
            </w:pPr>
            <w:r w:rsidRPr="005A4893">
              <w:t>Conduct work observing the relevant Anti Discrimination legislation, regulations, policies and workplace procedure</w:t>
            </w:r>
            <w:r w:rsidRPr="005A4893">
              <w:t>s; and</w:t>
            </w:r>
          </w:p>
          <w:p w:rsidR="00000000" w:rsidP="005A4893">
            <w:pPr>
              <w:pStyle w:val="ListBullet2"/>
              <w:rPr>
                <w:lang w:val="en-NZ"/>
              </w:rPr>
            </w:pPr>
            <w:r w:rsidRPr="005A4893">
              <w:t>Demonstrated performance across a representative range of contexts from the prescribed items below:</w:t>
            </w:r>
          </w:p>
        </w:tc>
      </w:tr>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A4893">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93">
            <w:pPr>
              <w:pStyle w:val="BodyText"/>
              <w:rPr>
                <w:lang w:val="en-NZ"/>
              </w:rPr>
            </w:pPr>
            <w:r w:rsidRPr="005A4893">
              <w:rPr>
                <w:rStyle w:val="SpecialBold"/>
              </w:rPr>
              <w:t>Range of tools/equipment/materials/procedures/workplaces/other variables</w:t>
            </w:r>
          </w:p>
        </w:tc>
      </w:tr>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A4893">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93" w:rsidP="005A4893">
            <w:pPr>
              <w:pStyle w:val="BodyText"/>
            </w:pPr>
            <w:r w:rsidRPr="005A4893">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93" w:rsidP="005A4893">
            <w:pPr>
              <w:pStyle w:val="BodyText"/>
            </w:pPr>
            <w:r w:rsidRPr="005A4893">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93">
            <w:pPr>
              <w:pStyle w:val="BodyText"/>
              <w:rPr>
                <w:lang w:val="en-NZ"/>
              </w:rPr>
            </w:pPr>
            <w:r w:rsidRPr="005A4893">
              <w:rPr>
                <w:rStyle w:val="SpecialBold"/>
              </w:rPr>
              <w:t>Item List</w:t>
            </w:r>
          </w:p>
        </w:tc>
      </w:tr>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93">
            <w:pPr>
              <w:pStyle w:val="BodyText"/>
              <w:rPr>
                <w:lang w:val="en-NZ"/>
              </w:rPr>
            </w:pPr>
            <w:r w:rsidRPr="005A4893">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93">
            <w:pPr>
              <w:pStyle w:val="BodyText"/>
              <w:rPr>
                <w:lang w:val="en-NZ"/>
              </w:rPr>
            </w:pPr>
            <w:r w:rsidRPr="005A4893">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93" w:rsidP="005A4893">
            <w:pPr>
              <w:pStyle w:val="BodyText"/>
            </w:pPr>
            <w:r w:rsidRPr="005A4893">
              <w:t>Pyramid</w:t>
            </w:r>
          </w:p>
          <w:p w:rsidR="00000000" w:rsidRPr="005A4893" w:rsidP="005A4893">
            <w:pPr>
              <w:pStyle w:val="BodyText"/>
            </w:pPr>
            <w:r w:rsidRPr="005A4893">
              <w:t>Delta pi</w:t>
            </w:r>
          </w:p>
          <w:p w:rsidR="00000000" w:rsidP="005A4893">
            <w:pPr>
              <w:pStyle w:val="BodyText"/>
              <w:rPr>
                <w:lang w:val="en-NZ"/>
              </w:rPr>
            </w:pPr>
            <w:r w:rsidRPr="005A4893">
              <w:t>Enterprise specific type</w:t>
            </w:r>
          </w:p>
        </w:tc>
      </w:tr>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93">
            <w:pPr>
              <w:pStyle w:val="BodyText"/>
              <w:rPr>
                <w:lang w:val="en-NZ"/>
              </w:rPr>
            </w:pPr>
            <w:r w:rsidRPr="005A4893">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93">
            <w:pPr>
              <w:pStyle w:val="BodyText"/>
              <w:rPr>
                <w:lang w:val="en-NZ"/>
              </w:rPr>
            </w:pPr>
            <w:r w:rsidRPr="005A4893">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93" w:rsidP="005A4893">
            <w:pPr>
              <w:pStyle w:val="BodyText"/>
            </w:pPr>
            <w:r w:rsidRPr="005A4893">
              <w:t>Insulators</w:t>
            </w:r>
          </w:p>
          <w:p w:rsidR="00000000" w:rsidRPr="005A4893" w:rsidP="005A4893">
            <w:pPr>
              <w:pStyle w:val="BodyText"/>
            </w:pPr>
            <w:r w:rsidRPr="005A4893">
              <w:t>Clamps</w:t>
            </w:r>
          </w:p>
          <w:p w:rsidR="00000000" w:rsidRPr="005A4893" w:rsidP="005A4893">
            <w:pPr>
              <w:pStyle w:val="BodyText"/>
            </w:pPr>
            <w:r w:rsidRPr="005A4893">
              <w:t>Bolts</w:t>
            </w:r>
          </w:p>
          <w:p w:rsidR="00000000" w:rsidP="005A4893">
            <w:pPr>
              <w:pStyle w:val="BodyText"/>
              <w:rPr>
                <w:lang w:val="en-NZ"/>
              </w:rPr>
            </w:pPr>
            <w:r w:rsidRPr="005A4893">
              <w:t>Structural components</w:t>
            </w:r>
          </w:p>
        </w:tc>
      </w:tr>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93">
            <w:pPr>
              <w:pStyle w:val="BodyText"/>
              <w:rPr>
                <w:lang w:val="en-NZ"/>
              </w:rPr>
            </w:pPr>
            <w:r w:rsidRPr="005A4893">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93">
            <w:pPr>
              <w:pStyle w:val="BodyText"/>
              <w:rPr>
                <w:lang w:val="en-NZ"/>
              </w:rPr>
            </w:pPr>
            <w:r w:rsidRPr="005A4893">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93" w:rsidP="005A4893">
            <w:pPr>
              <w:pStyle w:val="BodyText"/>
            </w:pPr>
            <w:r w:rsidRPr="005A4893">
              <w:t>Welding</w:t>
            </w:r>
          </w:p>
          <w:p w:rsidR="00000000" w:rsidP="005A4893">
            <w:pPr>
              <w:pStyle w:val="BodyText"/>
              <w:rPr>
                <w:lang w:val="en-NZ"/>
              </w:rPr>
            </w:pPr>
            <w:r w:rsidRPr="005A4893">
              <w:t>Cleaning</w:t>
            </w:r>
          </w:p>
        </w:tc>
      </w:tr>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93">
            <w:pPr>
              <w:pStyle w:val="BodyText"/>
              <w:rPr>
                <w:lang w:val="en-NZ"/>
              </w:rPr>
            </w:pPr>
            <w:r w:rsidRPr="005A4893">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93">
            <w:pPr>
              <w:pStyle w:val="BodyText"/>
              <w:rPr>
                <w:lang w:val="en-NZ"/>
              </w:rPr>
            </w:pPr>
            <w:r w:rsidRPr="005A4893">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93" w:rsidP="005A4893">
            <w:pPr>
              <w:pStyle w:val="BodyText"/>
            </w:pPr>
            <w:r w:rsidRPr="005A4893">
              <w:t>Dealing with an unplanned event by drawing on essential knowledge and associated skills to provide appropriate solutions incorporated in the holistic assessment with the above liste</w:t>
            </w:r>
            <w:r w:rsidRPr="005A4893">
              <w:t>d items.</w:t>
            </w:r>
          </w:p>
        </w:tc>
      </w:tr>
    </w:tbl>
    <w:p w:rsidR="00000000" w:rsidRPr="005A4893" w:rsidP="005A4893">
      <w:pPr>
        <w:pStyle w:val="BodyText"/>
      </w:pPr>
    </w:p>
    <w:tbl>
      <w:tblPr>
        <w:tblW w:w="0" w:type="auto"/>
        <w:tblLayout w:type="fixed"/>
        <w:tblCellMar>
          <w:left w:w="62" w:type="dxa"/>
          <w:right w:w="62" w:type="dxa"/>
        </w:tblCellMar>
        <w:tblLook w:val="0000"/>
      </w:tblPr>
      <w:tblGrid>
        <w:gridCol w:w="1890"/>
        <w:gridCol w:w="6570"/>
      </w:tblGrid>
      <w:tr w:rsidTr="009E190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9.3)</w:t>
            </w:r>
          </w:p>
        </w:tc>
      </w:tr>
      <w:tr w:rsidTr="009E190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This unit should be assessed as it relates to normal work practice using procedures, information and resources typical of a workplace. This should include:</w:t>
            </w:r>
          </w:p>
          <w:p w:rsidR="00000000" w:rsidRPr="005A4893" w:rsidP="005A4893">
            <w:pPr>
              <w:pStyle w:val="ListBullet"/>
            </w:pPr>
            <w:r w:rsidRPr="005A4893">
              <w:t>OHS policy and work procedures and instructions.</w:t>
            </w:r>
          </w:p>
          <w:p w:rsidR="00000000" w:rsidRPr="005A4893" w:rsidP="005A4893">
            <w:pPr>
              <w:pStyle w:val="ListBullet"/>
            </w:pPr>
            <w:r w:rsidRPr="005A4893">
              <w:t xml:space="preserve">Suitable work environment, facilities, equipment and materials to undertake actual erection of towers and associated equipment. </w:t>
            </w:r>
          </w:p>
          <w:p w:rsidR="00000000" w:rsidRPr="005A4893" w:rsidP="005A4893">
            <w:pPr>
              <w:pStyle w:val="BodyText"/>
            </w:pPr>
            <w:r w:rsidRPr="005A4893">
              <w:t>In addition to the resources listed above, in Context of and specific resource</w:t>
            </w:r>
            <w:r w:rsidRPr="005A4893">
              <w:t>s for assessment, evidence should show demonstrated competency working below ground, in limited spaces, with different structural/construction types and method and in a variety of environments.</w:t>
            </w:r>
          </w:p>
        </w:tc>
      </w:tr>
    </w:tbl>
    <w:p w:rsidR="00000000" w:rsidRPr="005A4893" w:rsidP="005A4893">
      <w:pPr>
        <w:pStyle w:val="BodyText"/>
      </w:pPr>
    </w:p>
    <w:tbl>
      <w:tblPr>
        <w:tblW w:w="0" w:type="auto"/>
        <w:tblLayout w:type="fixed"/>
        <w:tblCellMar>
          <w:left w:w="62" w:type="dxa"/>
          <w:right w:w="62" w:type="dxa"/>
        </w:tblCellMar>
        <w:tblLook w:val="0000"/>
      </w:tblPr>
      <w:tblGrid>
        <w:gridCol w:w="1890"/>
        <w:gridCol w:w="6570"/>
      </w:tblGrid>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9.4)</w:t>
            </w:r>
          </w:p>
        </w:tc>
      </w:tr>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This Competency Standard Unit shall be assessed by methods given in Volume 1, Part 3 “Assessment Guidelines”.</w:t>
            </w:r>
          </w:p>
          <w:p w:rsidR="00000000" w:rsidRPr="005A4893" w:rsidP="005A4893">
            <w:pPr>
              <w:pStyle w:val="BodyText"/>
            </w:pPr>
            <w:r w:rsidRPr="005A4893">
              <w:t>Note:</w:t>
            </w:r>
          </w:p>
          <w:p w:rsidR="00000000" w:rsidRPr="005A4893" w:rsidP="005A4893">
            <w:pPr>
              <w:pStyle w:val="BodyText"/>
            </w:pPr>
            <w:r w:rsidRPr="005A4893">
              <w:t>Competent performance with inherent safe working practices is expected in the Transmission, Distribution and Rail Traction Industry. This re</w:t>
            </w:r>
            <w:r w:rsidRPr="005A4893">
              <w:t>quires that the specified essential knowledge and associated skills are assessed in a structured environment which is primarily intended for learning/assessment and incorporates all necessary equipment and facilities for learners to develop and demonstrate</w:t>
            </w:r>
            <w:r w:rsidRPr="005A4893">
              <w:t xml:space="preserve"> the essential knowledge and associated skills described in this unit.</w:t>
            </w:r>
          </w:p>
        </w:tc>
      </w:tr>
    </w:tbl>
    <w:p w:rsidR="00000000" w:rsidRPr="005A4893" w:rsidP="005A4893">
      <w:pPr>
        <w:pStyle w:val="BodyText"/>
      </w:pPr>
    </w:p>
    <w:tbl>
      <w:tblPr>
        <w:tblW w:w="0" w:type="auto"/>
        <w:tblLayout w:type="fixed"/>
        <w:tblCellMar>
          <w:left w:w="62" w:type="dxa"/>
          <w:right w:w="62" w:type="dxa"/>
        </w:tblCellMar>
        <w:tblLook w:val="0000"/>
      </w:tblPr>
      <w:tblGrid>
        <w:gridCol w:w="1890"/>
        <w:gridCol w:w="6570"/>
      </w:tblGrid>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9.5)</w:t>
            </w:r>
          </w:p>
        </w:tc>
      </w:tr>
      <w:tr w:rsidTr="009E19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There are no concurrent assessment recommendations for this unit.</w:t>
            </w:r>
          </w:p>
        </w:tc>
      </w:tr>
    </w:tbl>
    <w:p w:rsidR="00000000" w:rsidRPr="005A4893" w:rsidP="005A4893">
      <w:pPr>
        <w:pStyle w:val="BodyText"/>
      </w:pPr>
    </w:p>
    <w:p w:rsidR="00000000" w:rsidRPr="005A4893" w:rsidP="005A4893">
      <w:pPr>
        <w:pStyle w:val="AllowPageBreak"/>
      </w:pPr>
    </w:p>
    <w:p w:rsidR="00000000" w:rsidRPr="005A4893" w:rsidP="005A4893">
      <w:pPr>
        <w:pStyle w:val="Heading1"/>
      </w:pPr>
      <w:bookmarkStart w:id="11" w:name="O_460426"/>
      <w:bookmarkEnd w:id="11"/>
      <w:r w:rsidRPr="005A4893">
        <w:t>Range Statement</w:t>
      </w:r>
    </w:p>
    <w:tbl>
      <w:tblPr>
        <w:tblW w:w="0" w:type="auto"/>
        <w:tblLayout w:type="fixed"/>
        <w:tblCellMar>
          <w:left w:w="62" w:type="dxa"/>
          <w:right w:w="62" w:type="dxa"/>
        </w:tblCellMar>
        <w:tblLook w:val="0000"/>
      </w:tblPr>
      <w:tblGrid>
        <w:gridCol w:w="8460"/>
      </w:tblGrid>
      <w:tr w:rsidTr="009E19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RANGE STATEMENT</w:t>
            </w:r>
          </w:p>
        </w:tc>
      </w:tr>
      <w:tr w:rsidTr="009E19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10)</w:t>
            </w:r>
            <w:r w:rsidRPr="005A4893">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5A4893" w:rsidP="005A4893">
            <w:pPr>
              <w:pStyle w:val="BodyText"/>
            </w:pPr>
            <w:r w:rsidRPr="005A4893">
              <w:t>This Competency Standard Un</w:t>
            </w:r>
            <w:r w:rsidRPr="005A4893">
              <w:t>it shall be demonstrated in relation to the erection of non-energised, pyramid, delta, Pi or enterprise specific towers in accordance with construction plans and specifications</w:t>
            </w:r>
          </w:p>
          <w:p w:rsidR="00000000" w:rsidRPr="005A4893" w:rsidP="005A4893">
            <w:pPr>
              <w:pStyle w:val="BodyText"/>
            </w:pPr>
            <w:r w:rsidRPr="005A4893">
              <w:t>Tower types may include pyramid, delta and pi and other enterprise specific typ</w:t>
            </w:r>
            <w:r w:rsidRPr="005A4893">
              <w:t>es.</w:t>
            </w:r>
          </w:p>
          <w:p w:rsidR="00000000" w:rsidRPr="005A4893" w:rsidP="005A4893">
            <w:pPr>
              <w:pStyle w:val="BodyText"/>
            </w:pPr>
            <w:r w:rsidRPr="005A4893">
              <w:t>The following constants and variables included in the element/Performance Criteria in this unit are fully described in the Definitions Section 1 of this volume and form an integral part of the Range Statement of this unit:</w:t>
            </w:r>
          </w:p>
          <w:p w:rsidR="00000000" w:rsidRPr="005A4893" w:rsidP="005A4893">
            <w:pPr>
              <w:pStyle w:val="ListBullet3"/>
            </w:pPr>
            <w:r w:rsidRPr="005A4893">
              <w:t>Appropriate and relevant per</w:t>
            </w:r>
            <w:r w:rsidRPr="005A4893">
              <w:t>sons (see Personnel)</w:t>
            </w:r>
          </w:p>
          <w:p w:rsidR="00000000" w:rsidRPr="005A4893" w:rsidP="005A4893">
            <w:pPr>
              <w:pStyle w:val="ListBullet3"/>
            </w:pPr>
            <w:r w:rsidRPr="005A4893">
              <w:t>Appropriate authorities</w:t>
            </w:r>
          </w:p>
          <w:p w:rsidR="00000000" w:rsidRPr="005A4893" w:rsidP="005A4893">
            <w:pPr>
              <w:pStyle w:val="ListBullet3"/>
            </w:pPr>
            <w:r w:rsidRPr="005A4893">
              <w:t>Appropriate work platform</w:t>
            </w:r>
          </w:p>
          <w:p w:rsidR="00000000" w:rsidRPr="005A4893" w:rsidP="005A4893">
            <w:pPr>
              <w:pStyle w:val="ListBullet3"/>
            </w:pPr>
            <w:r w:rsidRPr="005A4893">
              <w:t>Assessing risk</w:t>
            </w:r>
          </w:p>
          <w:p w:rsidR="00000000" w:rsidRPr="005A4893" w:rsidP="005A4893">
            <w:pPr>
              <w:pStyle w:val="ListBullet3"/>
            </w:pPr>
            <w:r w:rsidRPr="005A4893">
              <w:t>Assessment</w:t>
            </w:r>
          </w:p>
          <w:p w:rsidR="00000000" w:rsidRPr="005A4893" w:rsidP="005A4893">
            <w:pPr>
              <w:pStyle w:val="ListBullet3"/>
            </w:pPr>
            <w:r w:rsidRPr="005A4893">
              <w:t>Authorisation</w:t>
            </w:r>
          </w:p>
          <w:p w:rsidR="00000000" w:rsidRPr="005A4893" w:rsidP="005A4893">
            <w:pPr>
              <w:pStyle w:val="ListBullet3"/>
            </w:pPr>
            <w:r w:rsidRPr="005A4893">
              <w:t>Diagnostic, testing and restoration</w:t>
            </w:r>
          </w:p>
          <w:p w:rsidR="00000000" w:rsidRPr="005A4893" w:rsidP="005A4893">
            <w:pPr>
              <w:pStyle w:val="ListBullet3"/>
            </w:pPr>
            <w:r w:rsidRPr="005A4893">
              <w:t>Documenting detail work events, record keeping and or storage of information</w:t>
            </w:r>
          </w:p>
          <w:p w:rsidR="00000000" w:rsidRPr="005A4893" w:rsidP="005A4893">
            <w:pPr>
              <w:pStyle w:val="ListBullet3"/>
            </w:pPr>
            <w:r w:rsidRPr="005A4893">
              <w:t>Drawings and specifications</w:t>
            </w:r>
          </w:p>
          <w:p w:rsidR="00000000" w:rsidRPr="005A4893" w:rsidP="005A4893">
            <w:pPr>
              <w:pStyle w:val="ListBullet3"/>
            </w:pPr>
            <w:r w:rsidRPr="005A4893">
              <w:t>Emer</w:t>
            </w:r>
            <w:r w:rsidRPr="005A4893">
              <w:t>gency</w:t>
            </w:r>
          </w:p>
          <w:p w:rsidR="00000000" w:rsidRPr="005A4893" w:rsidP="005A4893">
            <w:pPr>
              <w:pStyle w:val="ListBullet3"/>
            </w:pPr>
            <w:r w:rsidRPr="005A4893">
              <w:t>Environmental and sustainable energy procedures</w:t>
            </w:r>
          </w:p>
          <w:p w:rsidR="00000000" w:rsidRPr="005A4893" w:rsidP="005A4893">
            <w:pPr>
              <w:pStyle w:val="ListBullet3"/>
            </w:pPr>
            <w:r w:rsidRPr="005A4893">
              <w:t>Environmental legislation</w:t>
            </w:r>
          </w:p>
          <w:p w:rsidR="00000000" w:rsidRPr="005A4893" w:rsidP="005A4893">
            <w:pPr>
              <w:pStyle w:val="ListBullet3"/>
            </w:pPr>
            <w:r w:rsidRPr="005A4893">
              <w:t>Environmental management documentation</w:t>
            </w:r>
          </w:p>
          <w:p w:rsidR="00000000" w:rsidRPr="005A4893" w:rsidP="005A4893">
            <w:pPr>
              <w:pStyle w:val="ListBullet3"/>
            </w:pPr>
            <w:r w:rsidRPr="005A4893">
              <w:t>Established procedures</w:t>
            </w:r>
          </w:p>
          <w:p w:rsidR="00000000" w:rsidRPr="005A4893" w:rsidP="005A4893">
            <w:pPr>
              <w:pStyle w:val="ListBullet3"/>
            </w:pPr>
            <w:r w:rsidRPr="005A4893">
              <w:t>Fall prevention</w:t>
            </w:r>
          </w:p>
          <w:p w:rsidR="00000000" w:rsidRPr="005A4893" w:rsidP="005A4893">
            <w:pPr>
              <w:pStyle w:val="ListBullet3"/>
            </w:pPr>
            <w:r w:rsidRPr="005A4893">
              <w:t>Hazards</w:t>
            </w:r>
          </w:p>
          <w:p w:rsidR="00000000" w:rsidRPr="005A4893" w:rsidP="005A4893">
            <w:pPr>
              <w:pStyle w:val="ListBullet3"/>
            </w:pPr>
            <w:r w:rsidRPr="005A4893">
              <w:t>Identifying hazards</w:t>
            </w:r>
          </w:p>
          <w:p w:rsidR="00000000" w:rsidRPr="005A4893" w:rsidP="005A4893">
            <w:pPr>
              <w:pStyle w:val="ListBullet3"/>
            </w:pPr>
            <w:r w:rsidRPr="005A4893">
              <w:t>Inspect</w:t>
            </w:r>
          </w:p>
          <w:p w:rsidR="00000000" w:rsidRPr="005A4893" w:rsidP="005A4893">
            <w:pPr>
              <w:pStyle w:val="ListBullet3"/>
            </w:pPr>
            <w:r w:rsidRPr="005A4893">
              <w:t>Legislation</w:t>
            </w:r>
          </w:p>
          <w:p w:rsidR="00000000" w:rsidRPr="005A4893" w:rsidP="005A4893">
            <w:pPr>
              <w:pStyle w:val="ListBullet3"/>
            </w:pPr>
            <w:r w:rsidRPr="005A4893">
              <w:t>MSDS</w:t>
            </w:r>
          </w:p>
          <w:p w:rsidR="00000000" w:rsidRPr="005A4893" w:rsidP="005A4893">
            <w:pPr>
              <w:pStyle w:val="ListBullet3"/>
            </w:pPr>
            <w:r w:rsidRPr="005A4893">
              <w:t>Notification</w:t>
            </w:r>
          </w:p>
          <w:p w:rsidR="00000000" w:rsidRPr="005A4893" w:rsidP="005A4893">
            <w:pPr>
              <w:pStyle w:val="ListBullet3"/>
            </w:pPr>
            <w:r w:rsidRPr="005A4893">
              <w:t>OHS practices</w:t>
            </w:r>
          </w:p>
          <w:p w:rsidR="00000000" w:rsidRPr="005A4893" w:rsidP="005A4893">
            <w:pPr>
              <w:pStyle w:val="ListBullet3"/>
            </w:pPr>
            <w:r w:rsidRPr="005A4893">
              <w:t>OHS issues</w:t>
            </w:r>
          </w:p>
          <w:p w:rsidR="00000000" w:rsidRPr="005A4893" w:rsidP="005A4893">
            <w:pPr>
              <w:pStyle w:val="ListBullet3"/>
            </w:pPr>
            <w:r w:rsidRPr="005A4893">
              <w:t>Permits and/or permits to work</w:t>
            </w:r>
          </w:p>
          <w:p w:rsidR="00000000" w:rsidRPr="005A4893" w:rsidP="005A4893">
            <w:pPr>
              <w:pStyle w:val="ListBullet3"/>
            </w:pPr>
            <w:r w:rsidRPr="005A4893">
              <w:t>Personnel</w:t>
            </w:r>
          </w:p>
          <w:p w:rsidR="00000000" w:rsidRPr="005A4893" w:rsidP="005A4893">
            <w:pPr>
              <w:pStyle w:val="ListBullet3"/>
            </w:pPr>
            <w:r w:rsidRPr="005A4893">
              <w:t>Quality assurance systems</w:t>
            </w:r>
          </w:p>
          <w:p w:rsidR="00000000" w:rsidRPr="005A4893" w:rsidP="005A4893">
            <w:pPr>
              <w:pStyle w:val="ListBullet3"/>
            </w:pPr>
            <w:r w:rsidRPr="005A4893">
              <w:t>Requirements</w:t>
            </w:r>
          </w:p>
          <w:p w:rsidR="00000000" w:rsidRPr="005A4893" w:rsidP="005A4893">
            <w:pPr>
              <w:pStyle w:val="ListBullet3"/>
            </w:pPr>
            <w:r w:rsidRPr="005A4893">
              <w:t>Testing procedures</w:t>
            </w:r>
          </w:p>
          <w:p w:rsidR="00000000" w:rsidRPr="005A4893" w:rsidP="005A4893">
            <w:pPr>
              <w:pStyle w:val="ListBullet3"/>
            </w:pPr>
            <w:r w:rsidRPr="005A4893">
              <w:t>Work clearance systems</w:t>
            </w:r>
          </w:p>
        </w:tc>
      </w:tr>
    </w:tbl>
    <w:p w:rsidR="00000000" w:rsidRPr="005A4893" w:rsidP="005A4893">
      <w:pPr>
        <w:pStyle w:val="BodyText"/>
      </w:pPr>
    </w:p>
    <w:p w:rsidR="00000000" w:rsidRPr="005A4893" w:rsidP="005A4893">
      <w:pPr>
        <w:pStyle w:val="AllowPageBreak"/>
      </w:pPr>
    </w:p>
    <w:p w:rsidR="00000000" w:rsidRPr="005A4893" w:rsidP="005A4893">
      <w:pPr>
        <w:pStyle w:val="Heading1"/>
      </w:pPr>
      <w:bookmarkStart w:id="12" w:name="O_460429"/>
      <w:bookmarkEnd w:id="12"/>
      <w:r w:rsidRPr="005A4893">
        <w:t>Unit Sector(s)</w:t>
      </w:r>
    </w:p>
    <w:p w:rsidR="00000000" w:rsidRPr="005A4893" w:rsidP="005A4893">
      <w:pPr>
        <w:pStyle w:val="BodyText"/>
      </w:pPr>
      <w:r w:rsidRPr="005A4893">
        <w:t>Not applicable.</w:t>
      </w:r>
    </w:p>
    <w:p w:rsidR="00000000" w:rsidRPr="005A4893" w:rsidP="005A4893">
      <w:pPr>
        <w:pStyle w:val="AllowPageBreak"/>
      </w:pPr>
    </w:p>
    <w:p w:rsidR="00000000" w:rsidRPr="005A4893" w:rsidP="005A4893">
      <w:pPr>
        <w:pStyle w:val="Heading1"/>
      </w:pPr>
      <w:bookmarkStart w:id="13" w:name="O_460418"/>
      <w:bookmarkEnd w:id="13"/>
      <w:r w:rsidRPr="005A4893">
        <w:t>Competency Field</w:t>
      </w:r>
    </w:p>
    <w:tbl>
      <w:tblPr>
        <w:tblW w:w="0" w:type="auto"/>
        <w:tblLayout w:type="fixed"/>
        <w:tblCellMar>
          <w:left w:w="62" w:type="dxa"/>
          <w:right w:w="62" w:type="dxa"/>
        </w:tblCellMar>
        <w:tblLook w:val="0000"/>
      </w:tblPr>
      <w:tblGrid>
        <w:gridCol w:w="2700"/>
        <w:gridCol w:w="5760"/>
      </w:tblGrid>
      <w:tr w:rsidTr="009E190C">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A4893">
            <w:pPr>
              <w:pStyle w:val="BodyText"/>
              <w:rPr>
                <w:lang w:val="en-NZ"/>
              </w:rPr>
            </w:pPr>
            <w:r w:rsidRPr="005A4893">
              <w:rPr>
                <w:rStyle w:val="SpecialBold"/>
              </w:rPr>
              <w:t xml:space="preserve">11) </w:t>
            </w:r>
          </w:p>
        </w:tc>
      </w:tr>
      <w:tr w:rsidTr="009E19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4893" w:rsidP="005A4893">
            <w:pPr>
              <w:pStyle w:val="BodyText"/>
            </w:pPr>
            <w:r w:rsidRPr="005A4893">
              <w:t>Transmission Units</w:t>
            </w:r>
          </w:p>
        </w:tc>
      </w:tr>
    </w:tbl>
    <w:p w:rsidR="00000000" w:rsidRPr="005A4893" w:rsidP="005A4893">
      <w:pPr>
        <w:pStyle w:val="BodyText"/>
      </w:pPr>
    </w:p>
    <w:p w:rsidR="00000000" w:rsidRPr="005A4893" w:rsidP="005A4893"/>
    <w:sectPr w:rsidSect="005A48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90C" w:rsidP="009E1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90C" w:rsidP="005A4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E190C" w:rsidP="005A48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E190C" w:rsidP="005A48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90C" w:rsidP="009E19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90C" w:rsidP="005A4893">
    <w:pPr>
      <w:pStyle w:val="Header"/>
      <w:framePr w:wrap="around"/>
    </w:pPr>
    <w:r>
      <w:fldChar w:fldCharType="begin"/>
    </w:r>
    <w:r>
      <w:instrText xml:space="preserve"> TITLE   \* MERGEFORMAT </w:instrText>
    </w:r>
    <w:r>
      <w:fldChar w:fldCharType="separate"/>
    </w:r>
    <w:r>
      <w:t>UETTDRTP26A Install transmission structures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190C" w:rsidP="005A48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F83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004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9E4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8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4893"/>
    <w:pPr>
      <w:spacing w:before="360" w:after="60"/>
      <w:outlineLvl w:val="0"/>
    </w:pPr>
    <w:rPr>
      <w:sz w:val="32"/>
    </w:rPr>
  </w:style>
  <w:style w:type="paragraph" w:styleId="Heading2">
    <w:name w:val="heading 2"/>
    <w:basedOn w:val="HeadingBase"/>
    <w:next w:val="BodyText"/>
    <w:link w:val="Heading2Char"/>
    <w:qFormat/>
    <w:rsid w:val="005A4893"/>
    <w:pPr>
      <w:keepLines/>
      <w:spacing w:before="240" w:after="120"/>
      <w:outlineLvl w:val="1"/>
    </w:pPr>
    <w:rPr>
      <w:sz w:val="28"/>
      <w:szCs w:val="40"/>
    </w:rPr>
  </w:style>
  <w:style w:type="paragraph" w:styleId="Heading3">
    <w:name w:val="heading 3"/>
    <w:basedOn w:val="HeadingBase"/>
    <w:next w:val="BodyText"/>
    <w:link w:val="Heading3Char"/>
    <w:qFormat/>
    <w:rsid w:val="005A4893"/>
    <w:pPr>
      <w:spacing w:before="180" w:after="120"/>
      <w:outlineLvl w:val="2"/>
    </w:pPr>
    <w:rPr>
      <w:spacing w:val="-10"/>
      <w:kern w:val="32"/>
    </w:rPr>
  </w:style>
  <w:style w:type="paragraph" w:styleId="Heading4">
    <w:name w:val="heading 4"/>
    <w:basedOn w:val="HeadingBase"/>
    <w:next w:val="BodyText"/>
    <w:link w:val="Heading4Char"/>
    <w:qFormat/>
    <w:rsid w:val="005A4893"/>
    <w:pPr>
      <w:spacing w:before="160" w:after="120"/>
      <w:outlineLvl w:val="3"/>
    </w:pPr>
    <w:rPr>
      <w:sz w:val="22"/>
    </w:rPr>
  </w:style>
  <w:style w:type="paragraph" w:styleId="Heading5">
    <w:name w:val="heading 5"/>
    <w:basedOn w:val="HeadingBase"/>
    <w:next w:val="Normal"/>
    <w:link w:val="Heading5Char"/>
    <w:qFormat/>
    <w:rsid w:val="005A4893"/>
    <w:pPr>
      <w:spacing w:before="80"/>
      <w:outlineLvl w:val="4"/>
    </w:pPr>
    <w:rPr>
      <w:color w:val="918585"/>
      <w:sz w:val="20"/>
    </w:rPr>
  </w:style>
  <w:style w:type="paragraph" w:styleId="Heading6">
    <w:name w:val="heading 6"/>
    <w:basedOn w:val="HeadingBase"/>
    <w:next w:val="Normal"/>
    <w:link w:val="Heading6Char"/>
    <w:qFormat/>
    <w:rsid w:val="005A4893"/>
    <w:pPr>
      <w:spacing w:before="60"/>
      <w:outlineLvl w:val="5"/>
    </w:pPr>
    <w:rPr>
      <w:color w:val="918585"/>
      <w:sz w:val="20"/>
    </w:rPr>
  </w:style>
  <w:style w:type="paragraph" w:styleId="Heading7">
    <w:name w:val="heading 7"/>
    <w:basedOn w:val="Normal"/>
    <w:next w:val="Normal"/>
    <w:link w:val="Heading7Char"/>
    <w:qFormat/>
    <w:rsid w:val="005A4893"/>
    <w:pPr>
      <w:ind w:left="720"/>
      <w:outlineLvl w:val="6"/>
    </w:pPr>
    <w:rPr>
      <w:i/>
    </w:rPr>
  </w:style>
  <w:style w:type="paragraph" w:styleId="Heading8">
    <w:name w:val="heading 8"/>
    <w:basedOn w:val="Normal"/>
    <w:next w:val="Normal"/>
    <w:link w:val="Heading8Char"/>
    <w:qFormat/>
    <w:rsid w:val="005A4893"/>
    <w:pPr>
      <w:ind w:left="720"/>
      <w:outlineLvl w:val="7"/>
    </w:pPr>
    <w:rPr>
      <w:i/>
    </w:rPr>
  </w:style>
  <w:style w:type="paragraph" w:styleId="Heading9">
    <w:name w:val="heading 9"/>
    <w:basedOn w:val="Normal"/>
    <w:next w:val="Normal"/>
    <w:link w:val="Heading9Char"/>
    <w:qFormat/>
    <w:rsid w:val="005A4893"/>
    <w:pPr>
      <w:ind w:left="720"/>
      <w:outlineLvl w:val="8"/>
    </w:pPr>
    <w:rPr>
      <w:i/>
    </w:rPr>
  </w:style>
  <w:style w:type="character" w:default="1" w:styleId="DefaultParagraphFont">
    <w:name w:val="Default Paragraph Font"/>
    <w:uiPriority w:val="1"/>
    <w:unhideWhenUsed/>
    <w:rsid w:val="005A4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893"/>
  </w:style>
  <w:style w:type="character" w:customStyle="1" w:styleId="Heading1Char">
    <w:name w:val="Heading 1 Char"/>
    <w:link w:val="Heading1"/>
    <w:rsid w:val="005A4893"/>
    <w:rPr>
      <w:rFonts w:ascii="Times New Roman" w:eastAsia="Times New Roman" w:hAnsi="Times New Roman" w:cs="Times New Roman"/>
      <w:b/>
      <w:sz w:val="32"/>
      <w:szCs w:val="20"/>
      <w:lang w:eastAsia="en-US"/>
    </w:rPr>
  </w:style>
  <w:style w:type="paragraph" w:styleId="BodyText">
    <w:name w:val="Body Text"/>
    <w:basedOn w:val="Normal"/>
    <w:link w:val="BodyTextChar"/>
    <w:rsid w:val="005A4893"/>
    <w:pPr>
      <w:spacing w:before="120" w:after="120"/>
      <w:contextualSpacing/>
    </w:pPr>
    <w:rPr>
      <w:rFonts w:ascii="Times New Roman" w:hAnsi="Times New Roman"/>
      <w:sz w:val="24"/>
      <w:szCs w:val="22"/>
    </w:rPr>
  </w:style>
  <w:style w:type="character" w:customStyle="1" w:styleId="BodyTextChar">
    <w:name w:val="Body Text Char"/>
    <w:link w:val="BodyText"/>
    <w:rsid w:val="005A4893"/>
    <w:rPr>
      <w:rFonts w:ascii="Times New Roman" w:eastAsia="Times New Roman" w:hAnsi="Times New Roman" w:cs="Times New Roman"/>
      <w:sz w:val="24"/>
      <w:lang w:val="en-US" w:eastAsia="en-US"/>
    </w:rPr>
  </w:style>
  <w:style w:type="paragraph" w:styleId="Footer">
    <w:name w:val="footer"/>
    <w:basedOn w:val="Normal"/>
    <w:link w:val="FooterChar"/>
    <w:rsid w:val="005A4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4893"/>
    <w:rPr>
      <w:rFonts w:ascii="Times New Roman" w:eastAsia="Times New Roman" w:hAnsi="Times New Roman" w:cs="Times New Roman"/>
      <w:sz w:val="16"/>
      <w:lang w:val="en-US" w:eastAsia="en-US"/>
    </w:rPr>
  </w:style>
  <w:style w:type="paragraph" w:styleId="ListBullet">
    <w:name w:val="List Bullet"/>
    <w:basedOn w:val="List"/>
    <w:rsid w:val="005A4893"/>
    <w:pPr>
      <w:numPr>
        <w:numId w:val="14"/>
      </w:numPr>
      <w:tabs>
        <w:tab w:val="clear" w:pos="340"/>
      </w:tabs>
      <w:spacing w:before="40" w:after="40"/>
    </w:pPr>
  </w:style>
  <w:style w:type="character" w:customStyle="1" w:styleId="SpecialBold">
    <w:name w:val="Special Bold"/>
    <w:rsid w:val="005A4893"/>
    <w:rPr>
      <w:b/>
      <w:spacing w:val="0"/>
    </w:rPr>
  </w:style>
  <w:style w:type="paragraph" w:styleId="ListBullet2">
    <w:name w:val="List Bullet 2"/>
    <w:basedOn w:val="List2"/>
    <w:rsid w:val="005A4893"/>
    <w:pPr>
      <w:numPr>
        <w:numId w:val="15"/>
      </w:numPr>
      <w:tabs>
        <w:tab w:val="clear" w:pos="680"/>
      </w:tabs>
    </w:pPr>
  </w:style>
  <w:style w:type="paragraph" w:styleId="Header">
    <w:name w:val="header"/>
    <w:basedOn w:val="Normal"/>
    <w:link w:val="HeaderChar"/>
    <w:rsid w:val="005A4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48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4893"/>
    <w:pPr>
      <w:spacing w:before="240" w:after="120"/>
      <w:outlineLvl w:val="0"/>
    </w:pPr>
    <w:rPr>
      <w:rFonts w:ascii="Times New Roman" w:hAnsi="Times New Roman"/>
      <w:b/>
      <w:sz w:val="28"/>
    </w:rPr>
  </w:style>
  <w:style w:type="paragraph" w:customStyle="1" w:styleId="AllowPageBreak">
    <w:name w:val="AllowPageBreak"/>
    <w:rsid w:val="005A48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4893"/>
    <w:pPr>
      <w:numPr>
        <w:numId w:val="3"/>
      </w:numPr>
      <w:tabs>
        <w:tab w:val="clear" w:pos="1021"/>
      </w:tabs>
      <w:ind w:left="1037" w:hanging="357"/>
    </w:pPr>
  </w:style>
  <w:style w:type="character" w:customStyle="1" w:styleId="Heading2Char">
    <w:name w:val="Heading 2 Char"/>
    <w:link w:val="Heading2"/>
    <w:rsid w:val="005A4893"/>
    <w:rPr>
      <w:rFonts w:ascii="Times New Roman" w:eastAsia="Times New Roman" w:hAnsi="Times New Roman" w:cs="Times New Roman"/>
      <w:b/>
      <w:sz w:val="28"/>
      <w:szCs w:val="40"/>
      <w:lang w:eastAsia="en-US"/>
    </w:rPr>
  </w:style>
  <w:style w:type="character" w:customStyle="1" w:styleId="Heading3Char">
    <w:name w:val="Heading 3 Char"/>
    <w:link w:val="Heading3"/>
    <w:rsid w:val="005A489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4893"/>
    <w:rPr>
      <w:rFonts w:ascii="Times New Roman" w:eastAsia="Times New Roman" w:hAnsi="Times New Roman" w:cs="Times New Roman"/>
      <w:b/>
      <w:szCs w:val="20"/>
      <w:lang w:eastAsia="en-US"/>
    </w:rPr>
  </w:style>
  <w:style w:type="character" w:customStyle="1" w:styleId="Heading5Char">
    <w:name w:val="Heading 5 Char"/>
    <w:link w:val="Heading5"/>
    <w:rsid w:val="005A489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4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8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48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4893"/>
    <w:rPr>
      <w:rFonts w:ascii="Courier New" w:eastAsia="Times New Roman" w:hAnsi="Courier New" w:cs="Times New Roman"/>
      <w:i/>
      <w:szCs w:val="20"/>
      <w:lang w:val="en-US" w:eastAsia="en-US"/>
    </w:rPr>
  </w:style>
  <w:style w:type="paragraph" w:customStyle="1" w:styleId="HeadingBase">
    <w:name w:val="Heading Base"/>
    <w:rsid w:val="005A4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893"/>
    <w:pPr>
      <w:tabs>
        <w:tab w:val="right" w:leader="dot" w:pos="9072"/>
      </w:tabs>
      <w:ind w:left="567"/>
    </w:pPr>
    <w:rPr>
      <w:szCs w:val="22"/>
    </w:rPr>
  </w:style>
  <w:style w:type="paragraph" w:customStyle="1" w:styleId="TOCBase">
    <w:name w:val="TOC Base"/>
    <w:rsid w:val="005A4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893"/>
    <w:pPr>
      <w:tabs>
        <w:tab w:val="right" w:leader="dot" w:pos="9072"/>
      </w:tabs>
      <w:spacing w:before="40" w:after="40"/>
      <w:ind w:left="284"/>
    </w:pPr>
    <w:rPr>
      <w:rFonts w:ascii="Times New Roman" w:hAnsi="Times New Roman"/>
    </w:rPr>
  </w:style>
  <w:style w:type="paragraph" w:styleId="TOC1">
    <w:name w:val="toc 1"/>
    <w:basedOn w:val="TOCBase"/>
    <w:next w:val="Normal"/>
    <w:rsid w:val="005A48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4893"/>
    <w:pPr>
      <w:spacing w:before="5040"/>
      <w:jc w:val="center"/>
    </w:pPr>
    <w:rPr>
      <w:sz w:val="48"/>
      <w:szCs w:val="72"/>
      <w:lang w:val="en-US"/>
    </w:rPr>
  </w:style>
  <w:style w:type="character" w:customStyle="1" w:styleId="TitleChar">
    <w:name w:val="Title Char"/>
    <w:link w:val="Title"/>
    <w:rsid w:val="005A4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893"/>
    <w:pPr>
      <w:tabs>
        <w:tab w:val="left" w:pos="3600"/>
        <w:tab w:val="left" w:pos="3958"/>
      </w:tabs>
    </w:pPr>
  </w:style>
  <w:style w:type="paragraph" w:styleId="List">
    <w:name w:val="List"/>
    <w:basedOn w:val="BodyText"/>
    <w:next w:val="BodyText"/>
    <w:rsid w:val="005A4893"/>
    <w:pPr>
      <w:tabs>
        <w:tab w:val="left" w:pos="340"/>
      </w:tabs>
      <w:spacing w:before="60" w:after="60"/>
      <w:ind w:left="340" w:hanging="340"/>
    </w:pPr>
  </w:style>
  <w:style w:type="paragraph" w:customStyle="1" w:styleId="Note">
    <w:name w:val="Note"/>
    <w:basedOn w:val="BodyText"/>
    <w:rsid w:val="005A4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893"/>
    <w:pPr>
      <w:framePr w:wrap="auto" w:hAnchor="text" w:y="6049"/>
    </w:pPr>
    <w:rPr>
      <w:color w:val="000000"/>
      <w:sz w:val="40"/>
    </w:rPr>
  </w:style>
  <w:style w:type="paragraph" w:customStyle="1" w:styleId="TOCTitle">
    <w:name w:val="TOCTitle"/>
    <w:basedOn w:val="Heading1"/>
    <w:rsid w:val="005A4893"/>
    <w:pPr>
      <w:spacing w:after="240"/>
      <w:jc w:val="center"/>
      <w:outlineLvl w:val="9"/>
    </w:pPr>
    <w:rPr>
      <w:caps/>
    </w:rPr>
  </w:style>
  <w:style w:type="paragraph" w:customStyle="1" w:styleId="Version">
    <w:name w:val="Version"/>
    <w:rsid w:val="005A4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893"/>
    <w:pPr>
      <w:keepNext w:val="0"/>
      <w:tabs>
        <w:tab w:val="right" w:pos="4176"/>
      </w:tabs>
      <w:ind w:left="198" w:hanging="198"/>
    </w:pPr>
    <w:rPr>
      <w:rFonts w:ascii="Garamond" w:hAnsi="Garamond"/>
    </w:rPr>
  </w:style>
  <w:style w:type="paragraph" w:styleId="IndexHeading">
    <w:name w:val="index heading"/>
    <w:basedOn w:val="Normal"/>
    <w:next w:val="Index1"/>
    <w:semiHidden/>
    <w:rsid w:val="005A4893"/>
    <w:pPr>
      <w:spacing w:before="120" w:after="120"/>
    </w:pPr>
    <w:rPr>
      <w:rFonts w:ascii="Arial" w:hAnsi="Arial"/>
      <w:b/>
      <w:color w:val="918585"/>
      <w:sz w:val="24"/>
    </w:rPr>
  </w:style>
  <w:style w:type="paragraph" w:customStyle="1" w:styleId="Chapter">
    <w:name w:val="Chapter"/>
    <w:basedOn w:val="Normal"/>
    <w:rsid w:val="005A4893"/>
    <w:pPr>
      <w:spacing w:before="240"/>
    </w:pPr>
    <w:rPr>
      <w:rFonts w:ascii="Times New Roman" w:hAnsi="Times New Roman"/>
      <w:smallCaps/>
      <w:spacing w:val="80"/>
      <w:sz w:val="28"/>
    </w:rPr>
  </w:style>
  <w:style w:type="paragraph" w:customStyle="1" w:styleId="InChapter">
    <w:name w:val="InChapter"/>
    <w:basedOn w:val="Heading3"/>
    <w:rsid w:val="005A4893"/>
    <w:pPr>
      <w:spacing w:after="240"/>
      <w:outlineLvl w:val="9"/>
    </w:pPr>
    <w:rPr>
      <w:noProof/>
    </w:rPr>
  </w:style>
  <w:style w:type="paragraph" w:styleId="Index2">
    <w:name w:val="index 2"/>
    <w:basedOn w:val="Normal"/>
    <w:next w:val="Normal"/>
    <w:semiHidden/>
    <w:rsid w:val="005A4893"/>
    <w:pPr>
      <w:tabs>
        <w:tab w:val="right" w:pos="4176"/>
      </w:tabs>
      <w:ind w:left="568" w:hanging="284"/>
    </w:pPr>
    <w:rPr>
      <w:rFonts w:ascii="Garamond" w:hAnsi="Garamond"/>
    </w:rPr>
  </w:style>
  <w:style w:type="paragraph" w:customStyle="1" w:styleId="Byline">
    <w:name w:val="Byline"/>
    <w:rsid w:val="005A4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893"/>
    <w:pPr>
      <w:tabs>
        <w:tab w:val="clear" w:pos="3600"/>
        <w:tab w:val="clear" w:pos="3958"/>
      </w:tabs>
      <w:jc w:val="right"/>
    </w:pPr>
  </w:style>
  <w:style w:type="character" w:styleId="Emphasis">
    <w:name w:val="Emphasis"/>
    <w:qFormat/>
    <w:rsid w:val="005A4893"/>
    <w:rPr>
      <w:i/>
    </w:rPr>
  </w:style>
  <w:style w:type="paragraph" w:styleId="Caption">
    <w:name w:val="caption"/>
    <w:basedOn w:val="BodyText"/>
    <w:next w:val="Normal"/>
    <w:qFormat/>
    <w:rsid w:val="005A4893"/>
    <w:pPr>
      <w:framePr w:w="2268" w:hSpace="181" w:vSpace="181" w:wrap="around" w:vAnchor="text" w:hAnchor="page" w:x="1135" w:y="285" w:anchorLock="1"/>
    </w:pPr>
    <w:rPr>
      <w:i/>
    </w:rPr>
  </w:style>
  <w:style w:type="paragraph" w:customStyle="1" w:styleId="MiniTOCTitle">
    <w:name w:val="MiniTOCTitle"/>
    <w:basedOn w:val="Heading4"/>
    <w:rsid w:val="005A4893"/>
    <w:pPr>
      <w:spacing w:before="240"/>
      <w:outlineLvl w:val="9"/>
    </w:pPr>
    <w:rPr>
      <w:noProof/>
      <w:sz w:val="24"/>
    </w:rPr>
  </w:style>
  <w:style w:type="paragraph" w:customStyle="1" w:styleId="MiniTOCItem">
    <w:name w:val="MiniTOCItem"/>
    <w:basedOn w:val="ListBullet"/>
    <w:rsid w:val="005A4893"/>
    <w:pPr>
      <w:numPr>
        <w:numId w:val="0"/>
      </w:numPr>
      <w:tabs>
        <w:tab w:val="right" w:leader="dot" w:pos="6521"/>
      </w:tabs>
      <w:spacing w:before="0" w:after="0"/>
    </w:pPr>
  </w:style>
  <w:style w:type="paragraph" w:customStyle="1" w:styleId="TOFTitle">
    <w:name w:val="TOFTitle"/>
    <w:basedOn w:val="TOCTitle"/>
    <w:rsid w:val="005A4893"/>
  </w:style>
  <w:style w:type="paragraph" w:styleId="TableofFigures">
    <w:name w:val="table of figures"/>
    <w:basedOn w:val="Normal"/>
    <w:next w:val="Normal"/>
    <w:semiHidden/>
    <w:rsid w:val="005A4893"/>
    <w:pPr>
      <w:tabs>
        <w:tab w:val="right" w:leader="dot" w:pos="9072"/>
      </w:tabs>
      <w:ind w:left="970" w:hanging="403"/>
    </w:pPr>
    <w:rPr>
      <w:rFonts w:ascii="Times New Roman" w:hAnsi="Times New Roman"/>
      <w:b/>
    </w:rPr>
  </w:style>
  <w:style w:type="paragraph" w:styleId="ListNumber">
    <w:name w:val="List Number"/>
    <w:basedOn w:val="List"/>
    <w:rsid w:val="005A4893"/>
    <w:pPr>
      <w:numPr>
        <w:numId w:val="12"/>
      </w:numPr>
    </w:pPr>
  </w:style>
  <w:style w:type="character" w:customStyle="1" w:styleId="WingdingSymbols">
    <w:name w:val="Wingding Symbols"/>
    <w:rsid w:val="005A4893"/>
    <w:rPr>
      <w:rFonts w:ascii="Wingdings" w:hAnsi="Wingdings"/>
    </w:rPr>
  </w:style>
  <w:style w:type="paragraph" w:customStyle="1" w:styleId="TableHeading">
    <w:name w:val="Table Heading"/>
    <w:basedOn w:val="HeadingBase"/>
    <w:rsid w:val="005A4893"/>
    <w:pPr>
      <w:keepLines/>
      <w:pBdr>
        <w:bottom w:val="single" w:sz="6" w:space="1" w:color="918585"/>
      </w:pBdr>
      <w:spacing w:before="240"/>
    </w:pPr>
  </w:style>
  <w:style w:type="character" w:customStyle="1" w:styleId="HotSpot">
    <w:name w:val="HotSpot"/>
    <w:rsid w:val="005A4893"/>
    <w:rPr>
      <w:color w:val="0033CC"/>
      <w:u w:val="none"/>
    </w:rPr>
  </w:style>
  <w:style w:type="paragraph" w:customStyle="1" w:styleId="BodyTextRight">
    <w:name w:val="Body Text Right"/>
    <w:basedOn w:val="BodyText"/>
    <w:rsid w:val="005A4893"/>
    <w:pPr>
      <w:spacing w:before="0" w:after="0"/>
      <w:jc w:val="right"/>
    </w:pPr>
  </w:style>
  <w:style w:type="paragraph" w:styleId="Index3">
    <w:name w:val="index 3"/>
    <w:basedOn w:val="ListNumber2"/>
    <w:next w:val="Normal"/>
    <w:semiHidden/>
    <w:rsid w:val="005A4893"/>
    <w:pPr>
      <w:numPr>
        <w:numId w:val="0"/>
      </w:numPr>
      <w:tabs>
        <w:tab w:val="right" w:leader="dot" w:pos="4176"/>
      </w:tabs>
    </w:pPr>
  </w:style>
  <w:style w:type="paragraph" w:styleId="ListNumber2">
    <w:name w:val="List Number 2"/>
    <w:basedOn w:val="List2"/>
    <w:rsid w:val="005A4893"/>
    <w:pPr>
      <w:numPr>
        <w:numId w:val="11"/>
      </w:numPr>
      <w:tabs>
        <w:tab w:val="clear" w:pos="1060"/>
      </w:tabs>
    </w:pPr>
  </w:style>
  <w:style w:type="paragraph" w:customStyle="1" w:styleId="MarginNote">
    <w:name w:val="Margin Note"/>
    <w:basedOn w:val="BodyText"/>
    <w:rsid w:val="005A4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48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4893"/>
    <w:rPr>
      <w:sz w:val="32"/>
    </w:rPr>
  </w:style>
  <w:style w:type="paragraph" w:customStyle="1" w:styleId="HeadingProcedure">
    <w:name w:val="Heading Procedure"/>
    <w:basedOn w:val="HeadingBase"/>
    <w:next w:val="Normal"/>
    <w:rsid w:val="005A4893"/>
    <w:pPr>
      <w:tabs>
        <w:tab w:val="left" w:pos="0"/>
      </w:tabs>
      <w:spacing w:before="120" w:after="60"/>
    </w:pPr>
    <w:rPr>
      <w:i/>
      <w:color w:val="918585"/>
      <w:sz w:val="22"/>
    </w:rPr>
  </w:style>
  <w:style w:type="paragraph" w:customStyle="1" w:styleId="TableBodyText">
    <w:name w:val="Table Body Text"/>
    <w:basedOn w:val="BodyText"/>
    <w:rsid w:val="005A4893"/>
    <w:pPr>
      <w:spacing w:before="60" w:after="60"/>
    </w:pPr>
  </w:style>
  <w:style w:type="paragraph" w:styleId="ListContinue">
    <w:name w:val="List Continue"/>
    <w:basedOn w:val="List"/>
    <w:rsid w:val="005A4893"/>
    <w:pPr>
      <w:ind w:firstLine="0"/>
    </w:pPr>
  </w:style>
  <w:style w:type="paragraph" w:customStyle="1" w:styleId="ListNote">
    <w:name w:val="List Note"/>
    <w:basedOn w:val="List"/>
    <w:rsid w:val="005A4893"/>
    <w:pPr>
      <w:pBdr>
        <w:top w:val="single" w:sz="6" w:space="2" w:color="918585"/>
        <w:bottom w:val="single" w:sz="6" w:space="2" w:color="918585"/>
      </w:pBdr>
      <w:tabs>
        <w:tab w:val="left" w:pos="1021"/>
      </w:tabs>
      <w:ind w:firstLine="0"/>
    </w:pPr>
  </w:style>
  <w:style w:type="paragraph" w:customStyle="1" w:styleId="Warning">
    <w:name w:val="Warning"/>
    <w:basedOn w:val="BodyText"/>
    <w:rsid w:val="005A4893"/>
    <w:pPr>
      <w:shd w:val="clear" w:color="auto" w:fill="D9D9D9"/>
      <w:tabs>
        <w:tab w:val="left" w:pos="992"/>
      </w:tabs>
      <w:ind w:left="119" w:right="119"/>
    </w:pPr>
    <w:rPr>
      <w:sz w:val="20"/>
    </w:rPr>
  </w:style>
  <w:style w:type="paragraph" w:customStyle="1" w:styleId="MarginIcons">
    <w:name w:val="Margin Icons"/>
    <w:basedOn w:val="BodyText"/>
    <w:rsid w:val="005A489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4893"/>
    <w:rPr>
      <w:rFonts w:ascii="Courier New" w:hAnsi="Courier New"/>
    </w:rPr>
  </w:style>
  <w:style w:type="paragraph" w:customStyle="1" w:styleId="NoteBullet">
    <w:name w:val="Note Bullet"/>
    <w:basedOn w:val="Note"/>
    <w:rsid w:val="005A4893"/>
    <w:pPr>
      <w:tabs>
        <w:tab w:val="clear" w:pos="680"/>
      </w:tabs>
      <w:spacing w:before="60" w:after="60"/>
    </w:pPr>
  </w:style>
  <w:style w:type="paragraph" w:customStyle="1" w:styleId="SubHeading2">
    <w:name w:val="SubHeading2"/>
    <w:basedOn w:val="HeadingBase"/>
    <w:rsid w:val="005A4893"/>
    <w:pPr>
      <w:spacing w:before="240" w:after="60"/>
    </w:pPr>
    <w:rPr>
      <w:sz w:val="20"/>
    </w:rPr>
  </w:style>
  <w:style w:type="paragraph" w:customStyle="1" w:styleId="SubHeading1">
    <w:name w:val="SubHeading1"/>
    <w:basedOn w:val="HeadingBase"/>
    <w:rsid w:val="005A4893"/>
    <w:pPr>
      <w:spacing w:before="240" w:after="60"/>
    </w:pPr>
    <w:rPr>
      <w:color w:val="918585"/>
      <w:sz w:val="22"/>
    </w:rPr>
  </w:style>
  <w:style w:type="paragraph" w:customStyle="1" w:styleId="SideHeading">
    <w:name w:val="Side Heading"/>
    <w:basedOn w:val="HeadingBase"/>
    <w:rsid w:val="005A4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893"/>
    <w:pPr>
      <w:numPr>
        <w:numId w:val="13"/>
      </w:numPr>
    </w:pPr>
  </w:style>
  <w:style w:type="paragraph" w:styleId="PlainText">
    <w:name w:val="Plain Text"/>
    <w:basedOn w:val="Normal"/>
    <w:link w:val="PlainTextChar"/>
    <w:rsid w:val="005A4893"/>
    <w:rPr>
      <w:sz w:val="20"/>
    </w:rPr>
  </w:style>
  <w:style w:type="character" w:customStyle="1" w:styleId="PlainTextChar">
    <w:name w:val="Plain Text Char"/>
    <w:basedOn w:val="DefaultParagraphFont"/>
    <w:link w:val="PlainText"/>
    <w:rsid w:val="005A4893"/>
    <w:rPr>
      <w:rFonts w:ascii="Courier New" w:eastAsia="Times New Roman" w:hAnsi="Courier New" w:cs="Times New Roman"/>
      <w:sz w:val="20"/>
      <w:szCs w:val="20"/>
      <w:lang w:val="en-US" w:eastAsia="en-US"/>
    </w:rPr>
  </w:style>
  <w:style w:type="character" w:customStyle="1" w:styleId="MenuOption">
    <w:name w:val="Menu Option"/>
    <w:rsid w:val="005A4893"/>
    <w:rPr>
      <w:b/>
      <w:smallCaps/>
    </w:rPr>
  </w:style>
  <w:style w:type="paragraph" w:customStyle="1" w:styleId="TableListNumber">
    <w:name w:val="Table List Number"/>
    <w:basedOn w:val="ListNumber"/>
    <w:rsid w:val="005A4893"/>
    <w:pPr>
      <w:numPr>
        <w:numId w:val="0"/>
      </w:numPr>
    </w:pPr>
  </w:style>
  <w:style w:type="paragraph" w:styleId="TOC4">
    <w:name w:val="toc 4"/>
    <w:basedOn w:val="TOCBase"/>
    <w:next w:val="Normal"/>
    <w:semiHidden/>
    <w:rsid w:val="005A4893"/>
    <w:pPr>
      <w:tabs>
        <w:tab w:val="right" w:leader="dot" w:pos="9071"/>
      </w:tabs>
      <w:ind w:left="1701"/>
    </w:pPr>
  </w:style>
  <w:style w:type="paragraph" w:customStyle="1" w:styleId="ListAlpha">
    <w:name w:val="List Alpha"/>
    <w:basedOn w:val="List"/>
    <w:rsid w:val="005A4893"/>
    <w:pPr>
      <w:numPr>
        <w:numId w:val="10"/>
      </w:numPr>
    </w:pPr>
  </w:style>
  <w:style w:type="paragraph" w:customStyle="1" w:styleId="ListAlpha2">
    <w:name w:val="List Alpha 2"/>
    <w:basedOn w:val="List2"/>
    <w:rsid w:val="005A4893"/>
    <w:pPr>
      <w:numPr>
        <w:numId w:val="9"/>
      </w:numPr>
    </w:pPr>
  </w:style>
  <w:style w:type="paragraph" w:styleId="List2">
    <w:name w:val="List 2"/>
    <w:basedOn w:val="BodyText"/>
    <w:rsid w:val="005A4893"/>
    <w:pPr>
      <w:tabs>
        <w:tab w:val="left" w:pos="680"/>
      </w:tabs>
      <w:spacing w:before="60" w:after="60"/>
      <w:ind w:left="680" w:hanging="340"/>
    </w:pPr>
  </w:style>
  <w:style w:type="paragraph" w:styleId="List3">
    <w:name w:val="List 3"/>
    <w:basedOn w:val="BodyText"/>
    <w:rsid w:val="005A4893"/>
    <w:pPr>
      <w:tabs>
        <w:tab w:val="left" w:pos="1021"/>
      </w:tabs>
      <w:spacing w:before="60" w:after="60"/>
      <w:ind w:left="1020" w:hanging="340"/>
    </w:pPr>
  </w:style>
  <w:style w:type="paragraph" w:styleId="List4">
    <w:name w:val="List 4"/>
    <w:basedOn w:val="BodyText"/>
    <w:rsid w:val="005A4893"/>
    <w:pPr>
      <w:tabs>
        <w:tab w:val="left" w:pos="1361"/>
      </w:tabs>
      <w:spacing w:before="60" w:after="60"/>
      <w:ind w:left="1361" w:hanging="340"/>
    </w:pPr>
  </w:style>
  <w:style w:type="paragraph" w:styleId="List5">
    <w:name w:val="List 5"/>
    <w:basedOn w:val="BodyText"/>
    <w:rsid w:val="005A4893"/>
    <w:pPr>
      <w:tabs>
        <w:tab w:val="left" w:pos="1701"/>
      </w:tabs>
      <w:spacing w:before="60" w:after="60"/>
      <w:ind w:left="1701" w:hanging="340"/>
    </w:pPr>
  </w:style>
  <w:style w:type="paragraph" w:styleId="ListBullet4">
    <w:name w:val="List Bullet 4"/>
    <w:basedOn w:val="List4"/>
    <w:rsid w:val="005A4893"/>
    <w:pPr>
      <w:numPr>
        <w:numId w:val="4"/>
      </w:numPr>
    </w:pPr>
  </w:style>
  <w:style w:type="paragraph" w:styleId="ListBullet5">
    <w:name w:val="List Bullet 5"/>
    <w:basedOn w:val="List5"/>
    <w:rsid w:val="005A4893"/>
    <w:pPr>
      <w:numPr>
        <w:numId w:val="5"/>
      </w:numPr>
    </w:pPr>
  </w:style>
  <w:style w:type="paragraph" w:styleId="ListContinue2">
    <w:name w:val="List Continue 2"/>
    <w:basedOn w:val="List2"/>
    <w:rsid w:val="005A4893"/>
    <w:pPr>
      <w:ind w:firstLine="0"/>
    </w:pPr>
  </w:style>
  <w:style w:type="paragraph" w:styleId="ListContinue3">
    <w:name w:val="List Continue 3"/>
    <w:basedOn w:val="List3"/>
    <w:rsid w:val="005A4893"/>
    <w:pPr>
      <w:ind w:left="1021" w:firstLine="0"/>
    </w:pPr>
  </w:style>
  <w:style w:type="paragraph" w:styleId="ListContinue4">
    <w:name w:val="List Continue 4"/>
    <w:basedOn w:val="List4"/>
    <w:rsid w:val="005A4893"/>
    <w:pPr>
      <w:ind w:firstLine="0"/>
    </w:pPr>
  </w:style>
  <w:style w:type="paragraph" w:styleId="ListContinue5">
    <w:name w:val="List Continue 5"/>
    <w:basedOn w:val="List5"/>
    <w:rsid w:val="005A4893"/>
    <w:pPr>
      <w:ind w:firstLine="0"/>
    </w:pPr>
  </w:style>
  <w:style w:type="paragraph" w:styleId="ListNumber3">
    <w:name w:val="List Number 3"/>
    <w:basedOn w:val="List3"/>
    <w:rsid w:val="005A4893"/>
    <w:pPr>
      <w:numPr>
        <w:numId w:val="6"/>
      </w:numPr>
    </w:pPr>
  </w:style>
  <w:style w:type="paragraph" w:styleId="ListNumber4">
    <w:name w:val="List Number 4"/>
    <w:basedOn w:val="List4"/>
    <w:rsid w:val="005A4893"/>
    <w:pPr>
      <w:numPr>
        <w:numId w:val="7"/>
      </w:numPr>
    </w:pPr>
  </w:style>
  <w:style w:type="paragraph" w:styleId="ListNumber5">
    <w:name w:val="List Number 5"/>
    <w:basedOn w:val="List5"/>
    <w:rsid w:val="005A4893"/>
    <w:pPr>
      <w:numPr>
        <w:numId w:val="8"/>
      </w:numPr>
    </w:pPr>
  </w:style>
  <w:style w:type="paragraph" w:styleId="BlockText">
    <w:name w:val="Block Text"/>
    <w:basedOn w:val="Normal"/>
    <w:rsid w:val="005A4893"/>
    <w:pPr>
      <w:spacing w:after="120"/>
      <w:ind w:left="1440" w:right="1440"/>
    </w:pPr>
  </w:style>
  <w:style w:type="character" w:customStyle="1" w:styleId="Subscript">
    <w:name w:val="Subscript"/>
    <w:rsid w:val="005A4893"/>
    <w:rPr>
      <w:sz w:val="16"/>
      <w:vertAlign w:val="subscript"/>
    </w:rPr>
  </w:style>
  <w:style w:type="character" w:customStyle="1" w:styleId="Superscript">
    <w:name w:val="Superscript"/>
    <w:rsid w:val="005A4893"/>
    <w:rPr>
      <w:sz w:val="16"/>
      <w:vertAlign w:val="superscript"/>
    </w:rPr>
  </w:style>
  <w:style w:type="character" w:customStyle="1" w:styleId="Symbols">
    <w:name w:val="Symbols"/>
    <w:rsid w:val="005A4893"/>
    <w:rPr>
      <w:rFonts w:ascii="Symbol" w:hAnsi="Symbol"/>
    </w:rPr>
  </w:style>
  <w:style w:type="character" w:customStyle="1" w:styleId="MenuOptions">
    <w:name w:val="Menu Options"/>
    <w:rsid w:val="005A4893"/>
    <w:rPr>
      <w:rFonts w:ascii="Arial Narrow" w:hAnsi="Arial Narrow"/>
      <w:smallCaps/>
    </w:rPr>
  </w:style>
  <w:style w:type="character" w:customStyle="1" w:styleId="Buttons">
    <w:name w:val="Buttons"/>
    <w:rsid w:val="005A4893"/>
    <w:rPr>
      <w:b/>
    </w:rPr>
  </w:style>
  <w:style w:type="character" w:customStyle="1" w:styleId="Underlined">
    <w:name w:val="Underlined"/>
    <w:rsid w:val="005A4893"/>
    <w:rPr>
      <w:u w:val="single"/>
    </w:rPr>
  </w:style>
  <w:style w:type="paragraph" w:customStyle="1" w:styleId="TableBodyTextRight">
    <w:name w:val="Table Body Text Right"/>
    <w:basedOn w:val="TableBodyText"/>
    <w:rsid w:val="005A4893"/>
    <w:pPr>
      <w:widowControl w:val="0"/>
      <w:autoSpaceDE w:val="0"/>
      <w:autoSpaceDN w:val="0"/>
      <w:adjustRightInd w:val="0"/>
      <w:jc w:val="right"/>
    </w:pPr>
    <w:rPr>
      <w:rFonts w:cs="Arial"/>
      <w:szCs w:val="18"/>
    </w:rPr>
  </w:style>
  <w:style w:type="paragraph" w:customStyle="1" w:styleId="CopyrightText">
    <w:name w:val="Copyright Text"/>
    <w:basedOn w:val="BodyText"/>
    <w:rsid w:val="005A4893"/>
    <w:rPr>
      <w:sz w:val="18"/>
    </w:rPr>
  </w:style>
  <w:style w:type="paragraph" w:customStyle="1" w:styleId="BodySmallRight">
    <w:name w:val="Body Small Right"/>
    <w:basedOn w:val="BodyTextRight"/>
    <w:rsid w:val="005A4893"/>
    <w:rPr>
      <w:sz w:val="18"/>
      <w:szCs w:val="18"/>
    </w:rPr>
  </w:style>
  <w:style w:type="paragraph" w:customStyle="1" w:styleId="MarginEdition">
    <w:name w:val="Margin Edition"/>
    <w:basedOn w:val="MarginNote"/>
    <w:rsid w:val="005A4893"/>
    <w:pPr>
      <w:spacing w:before="0" w:after="0"/>
    </w:pPr>
    <w:rPr>
      <w:rFonts w:ascii="Times New Roman" w:hAnsi="Times New Roman"/>
      <w:color w:val="999999"/>
    </w:rPr>
  </w:style>
  <w:style w:type="paragraph" w:customStyle="1" w:styleId="Spacer">
    <w:name w:val="Spacer"/>
    <w:basedOn w:val="Normal"/>
    <w:rsid w:val="005A4893"/>
    <w:rPr>
      <w:sz w:val="2"/>
      <w:szCs w:val="2"/>
    </w:rPr>
  </w:style>
  <w:style w:type="character" w:customStyle="1" w:styleId="Small">
    <w:name w:val="Small"/>
    <w:rsid w:val="005A4893"/>
    <w:rPr>
      <w:sz w:val="16"/>
    </w:rPr>
  </w:style>
  <w:style w:type="paragraph" w:customStyle="1" w:styleId="WideTable">
    <w:name w:val="Wide Table"/>
    <w:basedOn w:val="Normal"/>
    <w:rsid w:val="005A4893"/>
    <w:pPr>
      <w:ind w:left="-1418"/>
    </w:pPr>
    <w:rPr>
      <w:sz w:val="2"/>
      <w:szCs w:val="2"/>
    </w:rPr>
  </w:style>
  <w:style w:type="character" w:styleId="PageNumber">
    <w:name w:val="page number"/>
    <w:rsid w:val="005A4893"/>
  </w:style>
  <w:style w:type="paragraph" w:styleId="Quote">
    <w:name w:val="Quote"/>
    <w:basedOn w:val="Heading1"/>
    <w:link w:val="QuoteChar"/>
    <w:qFormat/>
    <w:rsid w:val="005A4893"/>
    <w:rPr>
      <w:b w:val="0"/>
      <w:sz w:val="72"/>
      <w:szCs w:val="72"/>
      <w:lang w:val="en-NZ"/>
    </w:rPr>
  </w:style>
  <w:style w:type="character" w:customStyle="1" w:styleId="QuoteChar">
    <w:name w:val="Quote Char"/>
    <w:link w:val="Quote"/>
    <w:rsid w:val="005A4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893"/>
    <w:pPr>
      <w:pageBreakBefore/>
    </w:pPr>
  </w:style>
  <w:style w:type="paragraph" w:customStyle="1" w:styleId="Border">
    <w:name w:val="Border"/>
    <w:basedOn w:val="Normal"/>
    <w:qFormat/>
    <w:rsid w:val="005A4893"/>
    <w:pPr>
      <w:pBdr>
        <w:top w:val="single" w:sz="18" w:space="1" w:color="auto"/>
      </w:pBdr>
    </w:pPr>
    <w:rPr>
      <w:rFonts w:ascii="Times New Roman" w:hAnsi="Times New Roman"/>
      <w:color w:val="FFFFFF"/>
      <w:sz w:val="2"/>
    </w:rPr>
  </w:style>
  <w:style w:type="character" w:styleId="IntenseEmphasis">
    <w:name w:val="Intense Emphasis"/>
    <w:uiPriority w:val="21"/>
    <w:qFormat/>
    <w:rsid w:val="005A4893"/>
    <w:rPr>
      <w:b/>
      <w:bCs/>
      <w:i/>
      <w:iCs/>
      <w:color w:val="auto"/>
    </w:rPr>
  </w:style>
  <w:style w:type="paragraph" w:styleId="IntenseQuote">
    <w:name w:val="Intense Quote"/>
    <w:basedOn w:val="Normal"/>
    <w:next w:val="Normal"/>
    <w:link w:val="IntenseQuoteChar"/>
    <w:uiPriority w:val="30"/>
    <w:qFormat/>
    <w:rsid w:val="005A489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4893"/>
    <w:rPr>
      <w:rFonts w:ascii="Courier New" w:eastAsia="Times New Roman" w:hAnsi="Courier New" w:cs="Times New Roman"/>
      <w:b/>
      <w:bCs/>
      <w:i/>
      <w:iCs/>
      <w:szCs w:val="20"/>
      <w:lang w:val="en-US" w:eastAsia="en-US"/>
    </w:rPr>
  </w:style>
  <w:style w:type="character" w:styleId="SubtleReference">
    <w:name w:val="Subtle Reference"/>
    <w:uiPriority w:val="31"/>
    <w:qFormat/>
    <w:rsid w:val="005A4893"/>
    <w:rPr>
      <w:smallCaps/>
      <w:color w:val="auto"/>
      <w:u w:val="single"/>
    </w:rPr>
  </w:style>
  <w:style w:type="character" w:styleId="IntenseReference">
    <w:name w:val="Intense Reference"/>
    <w:uiPriority w:val="32"/>
    <w:qFormat/>
    <w:rsid w:val="005A4893"/>
    <w:rPr>
      <w:b/>
      <w:bCs/>
      <w:smallCaps/>
      <w:color w:val="auto"/>
      <w:spacing w:val="5"/>
      <w:u w:val="single"/>
    </w:rPr>
  </w:style>
  <w:style w:type="paragraph" w:customStyle="1" w:styleId="2ColumnHeading">
    <w:name w:val="2Column Heading"/>
    <w:basedOn w:val="BodyText"/>
    <w:qFormat/>
    <w:rsid w:val="005A4893"/>
    <w:pPr>
      <w:spacing w:after="60"/>
      <w:ind w:left="-2268"/>
    </w:pPr>
    <w:rPr>
      <w:b/>
    </w:rPr>
  </w:style>
  <w:style w:type="paragraph" w:customStyle="1" w:styleId="Heading1TOC">
    <w:name w:val="Heading1 TOC"/>
    <w:basedOn w:val="Normal"/>
    <w:qFormat/>
    <w:rsid w:val="005A4893"/>
    <w:pPr>
      <w:spacing w:before="240" w:after="120"/>
    </w:pPr>
    <w:rPr>
      <w:rFonts w:ascii="Times New Roman" w:hAnsi="Times New Roman"/>
      <w:b/>
      <w:sz w:val="32"/>
    </w:rPr>
  </w:style>
  <w:style w:type="paragraph" w:customStyle="1" w:styleId="Heading2TOC">
    <w:name w:val="Heading2 TOC"/>
    <w:basedOn w:val="Normal"/>
    <w:qFormat/>
    <w:rsid w:val="005A4893"/>
    <w:pPr>
      <w:spacing w:before="240" w:after="60"/>
    </w:pPr>
    <w:rPr>
      <w:rFonts w:ascii="Times New Roman" w:hAnsi="Times New Roman"/>
      <w:b/>
      <w:sz w:val="28"/>
    </w:rPr>
  </w:style>
  <w:style w:type="character" w:customStyle="1" w:styleId="Underline">
    <w:name w:val="Underline"/>
    <w:qFormat/>
    <w:rsid w:val="005A4893"/>
    <w:rPr>
      <w:u w:val="single"/>
    </w:rPr>
  </w:style>
  <w:style w:type="character" w:customStyle="1" w:styleId="BoldandItalics">
    <w:name w:val="Bold and Italics"/>
    <w:qFormat/>
    <w:rsid w:val="005A4893"/>
    <w:rPr>
      <w:b/>
      <w:i/>
      <w:u w:val="none"/>
    </w:rPr>
  </w:style>
  <w:style w:type="paragraph" w:styleId="BalloonText">
    <w:name w:val="Balloon Text"/>
    <w:basedOn w:val="Normal"/>
    <w:link w:val="BalloonTextChar"/>
    <w:rsid w:val="005A4893"/>
    <w:rPr>
      <w:rFonts w:ascii="Tahoma" w:hAnsi="Tahoma" w:cs="Tahoma"/>
      <w:sz w:val="16"/>
      <w:szCs w:val="16"/>
    </w:rPr>
  </w:style>
  <w:style w:type="character" w:customStyle="1" w:styleId="BalloonTextChar">
    <w:name w:val="Balloon Text Char"/>
    <w:link w:val="BalloonText"/>
    <w:rsid w:val="005A48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489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489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8EA6A36D.dotm</Template>
  <TotalTime>0</TotalTime>
  <Pages>11</Pages>
  <Words>2345</Words>
  <Characters>14633</Characters>
  <Application>Microsoft Office Word</Application>
  <DocSecurity>0</DocSecurity>
  <Lines>595</Lines>
  <Paragraphs>240</Paragraphs>
  <ScaleCrop>false</ScaleCrop>
  <Company>Author-it Software Corporation Ltd.</Company>
  <LinksUpToDate>false</LinksUpToDate>
  <CharactersWithSpaces>16803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UETTDRTP26A Install transmission structures and associated hardware</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2012-05-26T12:24:00Z</dcterms:created>
  <dcterms:modified xsi:type="dcterms:W3CDTF">2012-05-26T12:24:00Z</dcterms:modified>
</cp:coreProperties>
</file>