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411" w:rsidP="00580411">
      <w:pPr>
        <w:pStyle w:val="Title"/>
      </w:pPr>
      <w:r>
        <w:fldChar w:fldCharType="begin"/>
      </w:r>
      <w:r>
        <w:instrText xml:space="preserve"> TITLE   \* MERGEFORMAT </w:instrText>
      </w:r>
      <w:r>
        <w:fldChar w:fldCharType="separate"/>
      </w:r>
      <w:r>
        <w:t>UETTDRTP24A Erect power systems transmission structure hardware</w:t>
      </w:r>
      <w:r>
        <w:fldChar w:fldCharType="end"/>
      </w:r>
    </w:p>
    <w:p w:rsidR="00580411" w:rsidP="00580411">
      <w:pPr>
        <w:pStyle w:val="Version"/>
        <w:sectPr w:rsidSect="00A07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8AD" w:rsidP="00A078AD">
      <w:pPr>
        <w:pStyle w:val="SuperHeading"/>
      </w:pPr>
      <w:r w:rsidRPr="00A078AD">
        <w:t>UETTDRTP24A Erect power systems transmission structure hardware</w:t>
      </w:r>
    </w:p>
    <w:p w:rsidR="00000000" w:rsidRPr="00A078AD" w:rsidP="00A078AD">
      <w:pPr>
        <w:pStyle w:val="Heading1"/>
      </w:pPr>
      <w:bookmarkStart w:id="1" w:name="O_460390"/>
      <w:bookmarkEnd w:id="1"/>
      <w:r w:rsidRPr="00A078AD">
        <w:t>Modification History</w:t>
      </w:r>
    </w:p>
    <w:p w:rsidR="00000000" w:rsidRPr="00A078AD" w:rsidP="00A078AD">
      <w:pPr>
        <w:pStyle w:val="BodyText"/>
      </w:pPr>
      <w:r w:rsidRPr="00A078AD">
        <w:t>Not applicable.</w:t>
      </w:r>
    </w:p>
    <w:p w:rsidR="00000000" w:rsidRPr="00A078AD" w:rsidP="00A078AD">
      <w:pPr>
        <w:pStyle w:val="AllowPageBreak"/>
      </w:pPr>
    </w:p>
    <w:p w:rsidR="00000000" w:rsidRPr="00A078AD" w:rsidP="00A078AD">
      <w:pPr>
        <w:pStyle w:val="Heading1"/>
      </w:pPr>
      <w:bookmarkStart w:id="2" w:name="O_460388"/>
      <w:bookmarkEnd w:id="2"/>
      <w:r w:rsidRPr="00A078AD">
        <w:t>Unit Descriptor</w:t>
      </w:r>
    </w:p>
    <w:tbl>
      <w:tblPr>
        <w:tblW w:w="0" w:type="auto"/>
        <w:tblLayout w:type="fixed"/>
        <w:tblCellMar>
          <w:left w:w="62" w:type="dxa"/>
          <w:right w:w="62" w:type="dxa"/>
        </w:tblCellMar>
        <w:tblLook w:val="0000"/>
      </w:tblPr>
      <w:tblGrid>
        <w:gridCol w:w="2700"/>
        <w:gridCol w:w="5760"/>
      </w:tblGrid>
      <w:tr w:rsidTr="00580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1)</w:t>
            </w:r>
            <w:r w:rsidRPr="00A078AD">
              <w:t xml:space="preserve"> </w:t>
            </w:r>
            <w:r w:rsidRPr="00A078AD">
              <w:rPr>
                <w:rStyle w:val="SpecialBold"/>
              </w:rPr>
              <w:t>Scope:</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78A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1.1) Descriptor</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This Competency Standard Unit covers the erection of hardware and/or associated equipment used on transmission towers. It includes the correct positioning of hardware on the towers in accordance with construction plans and specifications. It also encompass</w:t>
            </w:r>
            <w:r w:rsidRPr="00A078AD">
              <w:t>es the inspection and confirmation that the hardware and associated equipment are in accordance with the works order and the identification of potential hazards and safety risks with recommendations for preventative action being referred to appropriate aut</w:t>
            </w:r>
            <w:r w:rsidRPr="00A078AD">
              <w:t>horities.</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3" w:name="O_460377"/>
      <w:bookmarkEnd w:id="3"/>
      <w:r w:rsidRPr="00A078AD">
        <w:t>Application of the Unit</w:t>
      </w:r>
    </w:p>
    <w:tbl>
      <w:tblPr>
        <w:tblW w:w="0" w:type="auto"/>
        <w:tblLayout w:type="fixed"/>
        <w:tblCellMar>
          <w:left w:w="62" w:type="dxa"/>
          <w:right w:w="62" w:type="dxa"/>
        </w:tblCellMar>
        <w:tblLook w:val="0000"/>
      </w:tblPr>
      <w:tblGrid>
        <w:gridCol w:w="2672"/>
        <w:gridCol w:w="5699"/>
      </w:tblGrid>
      <w:tr w:rsidTr="005804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2)</w:t>
            </w:r>
          </w:p>
        </w:tc>
      </w:tr>
      <w:tr w:rsidTr="0058041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This Competency Standard Unit is intended to augment formally acquired competencies. It is suitable for employment-based programs under an approved contract of training.</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4" w:name="O_460384"/>
      <w:bookmarkEnd w:id="4"/>
      <w:r w:rsidRPr="00A078AD">
        <w:t>Licensing/Regulatory Information</w:t>
      </w:r>
    </w:p>
    <w:tbl>
      <w:tblPr>
        <w:tblW w:w="0" w:type="auto"/>
        <w:tblLayout w:type="fixed"/>
        <w:tblCellMar>
          <w:left w:w="62" w:type="dxa"/>
          <w:right w:w="62" w:type="dxa"/>
        </w:tblCellMar>
        <w:tblLook w:val="0000"/>
      </w:tblPr>
      <w:tblGrid>
        <w:gridCol w:w="2700"/>
        <w:gridCol w:w="5760"/>
      </w:tblGrid>
      <w:tr w:rsidTr="00580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 xml:space="preserve">3) </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 xml:space="preserve">The skills and knowledge described in this unit may require a licence/registration to practice in the work place subject to regulations for undertaking of electrical work. Practice </w:t>
            </w:r>
            <w:r w:rsidRPr="00A078AD">
              <w:t xml:space="preserve">in workplace and during training is also subject to regulations directly related to Occupational Health and </w:t>
            </w:r>
            <w:r w:rsidRPr="00A078AD">
              <w:t>Safety, electricity/telecommunications/gas/water industry safety and compliance, industrial relations, environmental protection, anti discrimination</w:t>
            </w:r>
            <w:r w:rsidRPr="00A078AD">
              <w:t xml:space="preserve"> and training. Commonwealth, State/Territory or Local Government legislation and regulations may exist that limits the age of operating certain equipment.</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5" w:name="O_460385"/>
      <w:bookmarkEnd w:id="5"/>
      <w:r w:rsidRPr="00A078AD">
        <w:t>Pre-Requisites</w:t>
      </w:r>
    </w:p>
    <w:tbl>
      <w:tblPr>
        <w:tblW w:w="0" w:type="auto"/>
        <w:tblLayout w:type="fixed"/>
        <w:tblCellMar>
          <w:left w:w="62" w:type="dxa"/>
          <w:right w:w="62" w:type="dxa"/>
        </w:tblCellMar>
        <w:tblLook w:val="0000"/>
      </w:tblPr>
      <w:tblGrid>
        <w:gridCol w:w="2700"/>
        <w:gridCol w:w="1890"/>
        <w:gridCol w:w="3870"/>
      </w:tblGrid>
      <w:tr w:rsidTr="00580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 xml:space="preserve">4) </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4.1)</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Granting of competency in this unit shall be made only after competency in the following unit(s) has/have been confirmed.</w:t>
            </w:r>
          </w:p>
          <w:p w:rsidR="00000000" w:rsidRPr="00A078AD" w:rsidP="00A078AD">
            <w:pPr>
              <w:pStyle w:val="BodyText"/>
            </w:pPr>
            <w:r w:rsidRPr="00A078AD">
              <w:t>Where pre-requisite pathways have been identified. All competencies in the Common Unit Group must be have been completed.</w:t>
            </w:r>
          </w:p>
          <w:p w:rsidR="00000000" w:rsidP="00A078AD">
            <w:pPr>
              <w:pStyle w:val="BodyText"/>
              <w:rPr>
                <w:lang w:val="en-NZ"/>
              </w:rPr>
            </w:pPr>
            <w:r w:rsidRPr="00A078AD">
              <w:t xml:space="preserve">Common Unit </w:t>
            </w:r>
            <w:r w:rsidRPr="00A078AD">
              <w:t>Group</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Unit Code</w:t>
            </w:r>
            <w:r w:rsidRPr="00A078AD">
              <w:tab/>
            </w:r>
          </w:p>
        </w:tc>
        <w:tc>
          <w:tcPr>
            <w:tcW w:w="3870" w:type="dxa"/>
            <w:tcBorders>
              <w:top w:val="nil"/>
              <w:left w:val="nil"/>
              <w:bottom w:val="nil"/>
              <w:right w:val="nil"/>
            </w:tcBorders>
            <w:tcMar>
              <w:top w:w="0" w:type="dxa"/>
              <w:left w:w="62" w:type="dxa"/>
              <w:bottom w:w="0" w:type="dxa"/>
              <w:right w:w="62" w:type="dxa"/>
            </w:tcMar>
            <w:vAlign w:val="bottom"/>
          </w:tcPr>
          <w:p w:rsidR="00000000" w:rsidP="00A078AD">
            <w:pPr>
              <w:pStyle w:val="BodyText"/>
              <w:rPr>
                <w:lang w:val="en-NZ"/>
              </w:rPr>
            </w:pPr>
            <w:r w:rsidRPr="00A078AD">
              <w:t>Unit Title</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A078AD">
            <w:pPr>
              <w:pStyle w:val="BodyText"/>
              <w:rPr>
                <w:lang w:val="en-NZ"/>
              </w:rPr>
            </w:pPr>
            <w:r w:rsidRPr="00A078AD">
              <w:t>Apply Occupational Health and Safety regulations, codes and practices in the workplace</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UETTDREL13A</w:t>
            </w:r>
          </w:p>
        </w:tc>
        <w:tc>
          <w:tcPr>
            <w:tcW w:w="3870" w:type="dxa"/>
            <w:tcBorders>
              <w:top w:val="nil"/>
              <w:left w:val="nil"/>
              <w:bottom w:val="nil"/>
              <w:right w:val="nil"/>
            </w:tcBorders>
            <w:tcMar>
              <w:top w:w="0" w:type="dxa"/>
              <w:left w:w="62" w:type="dxa"/>
              <w:bottom w:w="0" w:type="dxa"/>
              <w:right w:w="62" w:type="dxa"/>
            </w:tcMar>
            <w:vAlign w:val="bottom"/>
          </w:tcPr>
          <w:p w:rsidR="00000000" w:rsidP="00A078AD">
            <w:pPr>
              <w:pStyle w:val="BodyText"/>
              <w:rPr>
                <w:lang w:val="en-NZ"/>
              </w:rPr>
            </w:pPr>
            <w:r w:rsidRPr="00A078AD">
              <w:t>Comply with sustainability, environmental and incidental response policies and procedures</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UETTDRTP23A</w:t>
            </w:r>
          </w:p>
        </w:tc>
        <w:tc>
          <w:tcPr>
            <w:tcW w:w="387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Erect power systems transmission structures</w:t>
            </w:r>
          </w:p>
        </w:tc>
      </w:tr>
    </w:tbl>
    <w:p w:rsidR="00000000" w:rsidRPr="00A078AD" w:rsidP="00A078A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8041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 xml:space="preserve">4.2) </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 xml:space="preserve">Participants are best equipped to achieve this unit if they have reading, writing and numeracy skills indicated by the following scales. Description </w:t>
            </w:r>
            <w:r w:rsidRPr="00A078AD">
              <w:t>of each scale is given in Volume 2, Part 3 "Literacy and Numeracy"</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Reading</w:t>
            </w:r>
          </w:p>
        </w:tc>
        <w:tc>
          <w:tcPr>
            <w:tcW w:w="81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w:t>
            </w:r>
          </w:p>
        </w:tc>
        <w:tc>
          <w:tcPr>
            <w:tcW w:w="99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Writing</w:t>
            </w:r>
          </w:p>
        </w:tc>
        <w:tc>
          <w:tcPr>
            <w:tcW w:w="90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w:t>
            </w:r>
          </w:p>
        </w:tc>
        <w:tc>
          <w:tcPr>
            <w:tcW w:w="12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Numeracy</w:t>
            </w:r>
          </w:p>
        </w:tc>
        <w:tc>
          <w:tcPr>
            <w:tcW w:w="72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3</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6" w:name="O_460381"/>
      <w:bookmarkEnd w:id="6"/>
      <w:r w:rsidRPr="00A078AD">
        <w:t>Employability Skills Information</w:t>
      </w:r>
    </w:p>
    <w:tbl>
      <w:tblPr>
        <w:tblW w:w="0" w:type="auto"/>
        <w:tblLayout w:type="fixed"/>
        <w:tblCellMar>
          <w:left w:w="62" w:type="dxa"/>
          <w:right w:w="62" w:type="dxa"/>
        </w:tblCellMar>
        <w:tblLook w:val="0000"/>
      </w:tblPr>
      <w:tblGrid>
        <w:gridCol w:w="2700"/>
        <w:gridCol w:w="5760"/>
      </w:tblGrid>
      <w:tr w:rsidTr="00580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 xml:space="preserve">5) </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078AD">
              <w:t>requirements.</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7" w:name="O_460380"/>
      <w:bookmarkEnd w:id="7"/>
      <w:r w:rsidRPr="00A078AD">
        <w:t>Elements and Performance Criteria Pre-Content</w:t>
      </w:r>
    </w:p>
    <w:tbl>
      <w:tblPr>
        <w:tblW w:w="0" w:type="auto"/>
        <w:tblLayout w:type="fixed"/>
        <w:tblCellMar>
          <w:left w:w="62" w:type="dxa"/>
          <w:right w:w="62" w:type="dxa"/>
        </w:tblCellMar>
        <w:tblLook w:val="0000"/>
      </w:tblPr>
      <w:tblGrid>
        <w:gridCol w:w="2700"/>
        <w:gridCol w:w="5760"/>
      </w:tblGrid>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6)</w:t>
            </w:r>
            <w:r w:rsidRPr="00A078A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Performance Criteria describe the required performance needed</w:t>
            </w:r>
            <w:r w:rsidRPr="00A078AD">
              <w:t xml:space="preserve"> to demonstrate achievement of the element. Assessment of performance is to be consistent with the Evidence Guide.</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8" w:name="O_460379"/>
      <w:bookmarkEnd w:id="8"/>
      <w:r w:rsidRPr="00A078AD">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5804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PERFORMANCE CRITERIA</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w:t>
            </w:r>
          </w:p>
        </w:tc>
        <w:tc>
          <w:tcPr>
            <w:tcW w:w="2296" w:type="dxa"/>
            <w:vMerge w:val="restart"/>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Prepare to erect transmission tower hardware</w:t>
            </w: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1.1</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Work instructions are received and confirmed.</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1.2</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Relevant requirements and established procedures to be followed for the work to be preformed are discussed with all personnel to establish and confirm the work schedule.</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1.3</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OHS policies and procedures to be followed for the work to be performed are received and confirmed.</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1.4</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Suggestions to assist in meeting the erection of transmission tower hardware outcomes are made to others involved in the work.</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1.5</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Hazards are ide</w:t>
            </w:r>
            <w:r w:rsidRPr="00A078AD">
              <w:t>ntified, OHS risks assessed and emergency exits kept clear according to given instructions and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1.6</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Scope of responsibility under the relevant work permit are received and confirmed according to requirements and established procedures with relevant personnel.</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1.7</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Resources including, equipment, tools and personnel protective equipment required for the</w:t>
            </w:r>
            <w:r w:rsidRPr="00A078AD">
              <w:t xml:space="preserve"> job are obtained and, in working order according to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1.8</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Relevant responsibility associated with First Aid, Tower/Pole Top Rescue and/or other related work safety procedures at the work site are confirmed in accordance with requi</w:t>
            </w:r>
            <w:r w:rsidRPr="00A078AD">
              <w:t>rements and established procedures to ensure safety measures are followed in the instance of an incident.</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1.9</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Client issues are referred to appropriate personnel in accordance with industry/acceptable /community standards.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1.10</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Site is prepared according to given instructions and the work schedule for a quality outcome and to minimise risk and damage to property, commerce, and individuals in accordance and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1.11</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Road signs, barriers and warning devices a</w:t>
            </w:r>
            <w:r w:rsidRPr="00A078AD">
              <w:t>re positioned in accordance with given instructions and requirements.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w:t>
            </w:r>
          </w:p>
        </w:tc>
        <w:tc>
          <w:tcPr>
            <w:tcW w:w="2296"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Carry out the erection of transmission tower hardware</w:t>
            </w: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2.1</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OHS and sustainable energy principles and practices to reduce the incidents of accidents and minimise waste are followed in a</w:t>
            </w:r>
            <w:r w:rsidRPr="00A078AD">
              <w:t>ccordance with given instructions, requirements and/or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2.2</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Lifting, climbing, working in confined spaces and/or aloft, and use of power tools/equipment, techniques and practices are safely followed in accordance with given instru</w:t>
            </w:r>
            <w:r w:rsidRPr="00A078AD">
              <w:t>ctions and, according to requirements confirmed to eliminate the prospects of incidents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2.3</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 xml:space="preserve">Operational knowledge for the erection of transmission tower hardware to be applied to the work is confirmed to ensure completion in an agreed timeframe and, to </w:t>
            </w:r>
            <w:r w:rsidRPr="00A078AD">
              <w:t>quality standards with a minimum of waste according to requirements and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2.4</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The erection of transmission tower hardware is carried out in accordance with given instructions and established routines/procedures.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2.5</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Hazard warnings and safety signs are recognised and hazards and assessed OHS risks are reported to the immediate authorised persons for directions according to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2.6</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Non-routine events are referred to the immediate authorised perso</w:t>
            </w:r>
            <w:r w:rsidRPr="00A078AD">
              <w:t>nnel for directions according to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2.7</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Problems associated with the erection of transmission tower hardware are dealt with using acquired known solutions and skills related to routine procedures to ensure work instructions and esta</w:t>
            </w:r>
            <w:r w:rsidRPr="00A078AD">
              <w:t>blished procedures are met.</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2.8</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Ongoing checks of quality of the work are undertaken in accordance with given instructions and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w:t>
            </w:r>
          </w:p>
        </w:tc>
        <w:tc>
          <w:tcPr>
            <w:tcW w:w="2296"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Complete the erection of transmission tower hardware</w:t>
            </w: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3.1</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Work undertaken is checked against work schedule and anomalies reported to Authorised personnel in accordance with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3.2</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Accidents and/or incidents are actioned and reported to authorised personnel in accordance with established pr</w:t>
            </w:r>
            <w:r w:rsidRPr="00A078AD">
              <w:t>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3.3</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Work site is rehabilitated, cleaned up and made safe in accordance with given instructions and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3.4</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Tools, equipment and any surplus resources and materials are, where appropriate, cleaned, checked and returned to storage in accordance with established procedures.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3.5</w:t>
            </w:r>
          </w:p>
        </w:tc>
        <w:tc>
          <w:tcPr>
            <w:tcW w:w="4941"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Appropriate personnel are notified of work completion according to established proce</w:t>
            </w:r>
            <w:r w:rsidRPr="00A078AD">
              <w:t>dures.</w:t>
            </w:r>
          </w:p>
        </w:tc>
      </w:tr>
      <w:tr w:rsidTr="005804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3.6</w:t>
            </w:r>
          </w:p>
        </w:tc>
        <w:tc>
          <w:tcPr>
            <w:tcW w:w="4941"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Works completion records, report forms/data sheets are completed accurately in accordance with given instructions and established procedures.</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9" w:name="O_460387"/>
      <w:bookmarkEnd w:id="9"/>
      <w:r w:rsidRPr="00A078AD">
        <w:t>Required Skills and Knowledge</w:t>
      </w:r>
    </w:p>
    <w:tbl>
      <w:tblPr>
        <w:tblW w:w="0" w:type="auto"/>
        <w:tblLayout w:type="fixed"/>
        <w:tblCellMar>
          <w:left w:w="62" w:type="dxa"/>
          <w:right w:w="62" w:type="dxa"/>
        </w:tblCellMar>
        <w:tblLook w:val="0000"/>
      </w:tblPr>
      <w:tblGrid>
        <w:gridCol w:w="8460"/>
      </w:tblGrid>
      <w:tr w:rsidTr="005804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REQUIRED SKILLS AND KNOWLEDGE</w:t>
            </w:r>
          </w:p>
        </w:tc>
      </w:tr>
      <w:tr w:rsidTr="0058041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8)</w:t>
            </w:r>
            <w:r w:rsidRPr="00A078AD">
              <w:t xml:space="preserve"> Essential Knowledge and Associated Skills (EKAS): This describes the essential skills and knowledge and their level, required for this unit.</w:t>
            </w:r>
          </w:p>
          <w:p w:rsidR="00000000" w:rsidRPr="00A078AD" w:rsidP="00A078AD">
            <w:pPr>
              <w:pStyle w:val="BodyText"/>
            </w:pPr>
            <w:r w:rsidRPr="00A078AD">
              <w:t xml:space="preserve">Evidence shall show that knowledge has been acquired of erecting transmission tower hardware. </w:t>
            </w:r>
          </w:p>
          <w:p w:rsidR="00000000" w:rsidRPr="00A078AD" w:rsidP="00A078AD">
            <w:pPr>
              <w:pStyle w:val="BodyText"/>
            </w:pPr>
            <w:r w:rsidRPr="00A078AD">
              <w:t>All knowledge and s</w:t>
            </w:r>
            <w:r w:rsidRPr="00A078AD">
              <w:t>kills detailed in this unit should be contextualised to current industry practices and technologies.</w:t>
            </w:r>
          </w:p>
          <w:p w:rsidR="00000000" w:rsidRPr="00A078AD" w:rsidP="00A078AD">
            <w:pPr>
              <w:pStyle w:val="BodyText"/>
            </w:pPr>
            <w:r w:rsidRPr="00A078AD">
              <w:t xml:space="preserve">KS01-TTP24A </w:t>
            </w:r>
            <w:r w:rsidRPr="00A078AD">
              <w:tab/>
              <w:t>Power systems transmission structure hardware erection</w:t>
            </w:r>
          </w:p>
          <w:p w:rsidR="00000000" w:rsidRPr="00A078AD" w:rsidP="00A078AD">
            <w:pPr>
              <w:pStyle w:val="BodyText"/>
            </w:pPr>
            <w:r w:rsidRPr="00A078AD">
              <w:t>Evidence shall show an understanding of the erection of power systems transmission stru</w:t>
            </w:r>
            <w:r w:rsidRPr="00A078AD">
              <w:t>cture hardware to an extent indicated by the following aspects:</w:t>
            </w:r>
          </w:p>
          <w:p w:rsidR="00000000" w:rsidRPr="00A078AD" w:rsidP="00A078AD">
            <w:pPr>
              <w:pStyle w:val="BodyText"/>
            </w:pPr>
            <w:r w:rsidRPr="00A078AD">
              <w:t>T1</w:t>
            </w:r>
            <w:r w:rsidRPr="00A078AD">
              <w:tab/>
              <w:t>Requirements for the use of enterprise vehicles such as, trucks and four wheel drives encompassing:</w:t>
            </w:r>
          </w:p>
          <w:p w:rsidR="00000000" w:rsidRPr="00A078AD" w:rsidP="00A078AD">
            <w:pPr>
              <w:pStyle w:val="ListBullet"/>
            </w:pPr>
            <w:r w:rsidRPr="00A078AD">
              <w:t>Standards, codes, legislation, supply authority regulations and or enterprise requiremen</w:t>
            </w:r>
            <w:r w:rsidRPr="00A078AD">
              <w:t>ts associated with safe use of enterprise vehicles including relevant certification and licensing such as motor cars, light and heavy commercial trucks, heavy truck/trailer combination, four wheel drive vehicles.</w:t>
            </w:r>
          </w:p>
          <w:p w:rsidR="00000000" w:rsidRPr="00A078AD" w:rsidP="00A078AD">
            <w:pPr>
              <w:pStyle w:val="ListBullet"/>
            </w:pPr>
            <w:r w:rsidRPr="00A078AD">
              <w:t>Compliance with regulations associated with</w:t>
            </w:r>
            <w:r w:rsidRPr="00A078AD">
              <w:t xml:space="preserve"> the securing of loads prior for transportation.</w:t>
            </w:r>
          </w:p>
          <w:p w:rsidR="00000000" w:rsidRPr="00A078AD" w:rsidP="00A078AD">
            <w:pPr>
              <w:pStyle w:val="BodyText"/>
            </w:pPr>
            <w:r w:rsidRPr="00A078AD">
              <w:t>T2</w:t>
            </w:r>
            <w:r w:rsidRPr="00A078AD">
              <w:tab/>
              <w:t>Generation systems encompassing:</w:t>
            </w:r>
          </w:p>
          <w:p w:rsidR="00000000" w:rsidRPr="00A078AD" w:rsidP="00A078AD">
            <w:pPr>
              <w:pStyle w:val="ListBullet"/>
            </w:pPr>
            <w:r w:rsidRPr="00A078AD">
              <w:t>Methods of generating electricity - types of power stations and reasons for their location, layout of thermal and hydroelectric power stations</w:t>
            </w:r>
          </w:p>
          <w:p w:rsidR="00000000" w:rsidRPr="00A078AD" w:rsidP="00A078AD">
            <w:pPr>
              <w:pStyle w:val="ListBullet"/>
            </w:pPr>
            <w:r w:rsidRPr="00A078AD">
              <w:t xml:space="preserve">Relationship between power </w:t>
            </w:r>
            <w:r w:rsidRPr="00A078AD">
              <w:t>control and load requirements - operating speeds for thermal and hydroelectric generating sets, typical generator voltage levels and output ratings</w:t>
            </w:r>
          </w:p>
          <w:p w:rsidR="00000000" w:rsidRPr="00A078AD" w:rsidP="00A078AD">
            <w:pPr>
              <w:pStyle w:val="ListBullet"/>
            </w:pPr>
            <w:r w:rsidRPr="00A078AD">
              <w:t>The purpose and features of typical types of co-generation systems.</w:t>
            </w:r>
          </w:p>
          <w:p w:rsidR="00000000" w:rsidRPr="00A078AD" w:rsidP="00A078AD">
            <w:pPr>
              <w:pStyle w:val="BodyText"/>
            </w:pPr>
            <w:r w:rsidRPr="00A078AD">
              <w:t>T3</w:t>
            </w:r>
            <w:r w:rsidRPr="00A078AD">
              <w:tab/>
              <w:t>Transmission, distribution and rail s</w:t>
            </w:r>
            <w:r w:rsidRPr="00A078AD">
              <w:t>ystems encompassing:</w:t>
            </w:r>
          </w:p>
          <w:p w:rsidR="00000000" w:rsidRPr="00A078AD" w:rsidP="00A078AD">
            <w:pPr>
              <w:pStyle w:val="ListBullet"/>
            </w:pPr>
            <w:r w:rsidRPr="00A078AD">
              <w:t>Relationship between the transmission, distribution and rail/tram system within an overall power system - different organisations responsible for generation, transmission, distribution and rail/tram and, how they correlate and their f</w:t>
            </w:r>
            <w:r w:rsidRPr="00A078AD">
              <w:t>unctions</w:t>
            </w:r>
          </w:p>
          <w:p w:rsidR="00000000" w:rsidRPr="00A078AD" w:rsidP="00A078AD">
            <w:pPr>
              <w:pStyle w:val="ListBullet"/>
            </w:pPr>
            <w:r w:rsidRPr="00A078AD">
              <w:t>Characteristics of a transmission, a distribution and a rail system - principal components, typical voltage levels and methods of transmission and distribution including grid type transmission systems, radial, parallel and ring main feeders</w:t>
            </w:r>
          </w:p>
          <w:p w:rsidR="00000000" w:rsidRPr="00A078AD" w:rsidP="00A078AD">
            <w:pPr>
              <w:pStyle w:val="ListBullet"/>
            </w:pPr>
            <w:r w:rsidRPr="00A078AD">
              <w:t>Relationship between an overhead and underground supply systems within an overall power system - advantages/disadvantages, applications and the basic steps for planning and installing an overhead and underground distribution system</w:t>
            </w:r>
          </w:p>
          <w:p w:rsidR="00000000" w:rsidRPr="00A078AD" w:rsidP="00A078AD">
            <w:pPr>
              <w:pStyle w:val="ListBullet"/>
            </w:pPr>
            <w:r w:rsidRPr="00A078AD">
              <w:t>Single line drawings and</w:t>
            </w:r>
            <w:r w:rsidRPr="00A078AD">
              <w:t xml:space="preserve"> layouts - drawings and layouts of transmission and distribution systems including, radial, parallel and ring main feeders and the HV equipment associated with substations.</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10" w:name="O_460382"/>
      <w:bookmarkEnd w:id="10"/>
      <w:r w:rsidRPr="00A078AD">
        <w:t>Evidence Guide</w:t>
      </w:r>
    </w:p>
    <w:tbl>
      <w:tblPr>
        <w:tblW w:w="0" w:type="auto"/>
        <w:tblLayout w:type="fixed"/>
        <w:tblCellMar>
          <w:left w:w="62" w:type="dxa"/>
          <w:right w:w="62" w:type="dxa"/>
        </w:tblCellMar>
        <w:tblLook w:val="0000"/>
      </w:tblPr>
      <w:tblGrid>
        <w:gridCol w:w="8460"/>
      </w:tblGrid>
      <w:tr w:rsidTr="005804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EVIDENCE GUIDE</w:t>
            </w:r>
          </w:p>
        </w:tc>
      </w:tr>
      <w:tr w:rsidTr="005804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9)</w:t>
            </w:r>
            <w:r w:rsidRPr="00A078AD">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A078AD" w:rsidP="00A078AD">
            <w:pPr>
              <w:pStyle w:val="BodyText"/>
            </w:pPr>
            <w:r w:rsidRPr="00A078AD">
              <w:t>The Evidence Guide form</w:t>
            </w:r>
            <w:r w:rsidRPr="00A078AD">
              <w:t>s an integral part of this Competency Standard Unit and shall be used in conjunction with all component parts of this unit and, performed in accordance with the Assessment Guidelines of this Training Package.</w:t>
            </w:r>
          </w:p>
        </w:tc>
      </w:tr>
    </w:tbl>
    <w:p w:rsidR="00000000" w:rsidRPr="00A078AD" w:rsidP="00A078AD">
      <w:pPr>
        <w:pStyle w:val="BodyText"/>
      </w:pPr>
    </w:p>
    <w:tbl>
      <w:tblPr>
        <w:tblW w:w="0" w:type="auto"/>
        <w:tblLayout w:type="fixed"/>
        <w:tblCellMar>
          <w:left w:w="62" w:type="dxa"/>
          <w:right w:w="62" w:type="dxa"/>
        </w:tblCellMar>
        <w:tblLook w:val="0000"/>
      </w:tblPr>
      <w:tblGrid>
        <w:gridCol w:w="1890"/>
        <w:gridCol w:w="6570"/>
      </w:tblGrid>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9.1)</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Longitudinal co</w:t>
            </w:r>
            <w:r w:rsidRPr="00A078AD">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A078AD">
              <w:t>It is the Industry’s preferred model for apprenticeships. However, where summative (or final) assessment is used it is to include the application of the competency in the normal work environment or, at a minimum, the application of the competency in a real</w:t>
            </w:r>
            <w:r w:rsidRPr="00A078AD">
              <w:t>istically simulated work environment. It is recognised that, in some circumstances, assessment in part or full can occur outside the workplace. However, it must be in accord with Industry and, Regulatory policy in this regard.</w:t>
            </w:r>
          </w:p>
          <w:p w:rsidR="00000000" w:rsidRPr="00A078AD" w:rsidP="00A078AD">
            <w:pPr>
              <w:pStyle w:val="BodyText"/>
            </w:pPr>
            <w:r w:rsidRPr="00A078AD">
              <w:t>Methods chosen for a particul</w:t>
            </w:r>
            <w:r w:rsidRPr="00A078AD">
              <w:t>ar assessment will be influenced by various factors. These include the extent of the assessment, the most effective locations for the assessment activities to take place, access to physical resources, additional safety measures that may be required and the</w:t>
            </w:r>
            <w:r w:rsidRPr="00A078AD">
              <w:t xml:space="preserve"> critical nature of the competencies being assessed.</w:t>
            </w:r>
          </w:p>
          <w:p w:rsidR="00000000" w:rsidRPr="00A078AD" w:rsidP="00A078AD">
            <w:pPr>
              <w:pStyle w:val="BodyText"/>
            </w:pPr>
            <w:r w:rsidRPr="00A078AD">
              <w:t xml:space="preserve">The critical safety nature of working with electricity, electrical equipment, gas or any other hazardous substance/material carries risk in deeming a person competent. Hence, sources of evidence need to </w:t>
            </w:r>
            <w:r w:rsidRPr="00A078AD">
              <w:t>be ‘rich’ in nature so as to minimise error in judgment.</w:t>
            </w:r>
          </w:p>
          <w:p w:rsidR="00000000" w:rsidRPr="00A078AD" w:rsidP="00A078AD">
            <w:pPr>
              <w:pStyle w:val="BodyText"/>
            </w:pPr>
            <w:r w:rsidRPr="00A078AD">
              <w:t>Activities associated with normal every day work have a bearing on the decision as to how much and how detailed the data gathered will contribute to its ‘richness’</w:t>
            </w:r>
            <w:r w:rsidRPr="00A078AD">
              <w:t>. Some skills are more critical to safety and operational requirements while the same skills may be more or less frequently practiced. These points are raised for the assessors to consider when choosing an assessment method and developing assessment instru</w:t>
            </w:r>
            <w:r w:rsidRPr="00A078AD">
              <w:t>ments. Sample assessment instruments are included for Assessors in the Assessment Guidelines of this Training Package.</w:t>
            </w:r>
          </w:p>
        </w:tc>
      </w:tr>
    </w:tbl>
    <w:p w:rsidR="00000000" w:rsidRPr="00A078AD" w:rsidP="00A078A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9.2)</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Before the critical aspects of evidence are cons</w:t>
            </w:r>
            <w:r w:rsidRPr="00A078AD">
              <w:t>idered all prerequisites shall be met.</w:t>
            </w:r>
          </w:p>
          <w:p w:rsidR="00000000" w:rsidRPr="00A078AD" w:rsidP="00A078AD">
            <w:pPr>
              <w:pStyle w:val="BodyText"/>
            </w:pPr>
            <w:r w:rsidRPr="00A078AD">
              <w:t>Evidence for competence in this unit shall be considered holistically. Each element and associated Performance Criteria shall be demonstrated on at least two occasions in accordance with the “Assessment Guidelines – U</w:t>
            </w:r>
            <w:r w:rsidRPr="00A078AD">
              <w:t>ET12”. Evidence shall also comprise:</w:t>
            </w:r>
          </w:p>
          <w:p w:rsidR="00000000" w:rsidRPr="00A078AD" w:rsidP="00A078AD">
            <w:pPr>
              <w:pStyle w:val="ListBullet"/>
            </w:pPr>
            <w:r w:rsidRPr="00A078AD">
              <w:t xml:space="preserve">A representative body of Performance Criteria demonstrated within the timeframes typically expected of the discipline, work function and industrial environment. In particular this shall incorporate evidence that shows </w:t>
            </w:r>
            <w:r w:rsidRPr="00A078AD">
              <w:t>a candidate is able to:</w:t>
            </w:r>
          </w:p>
          <w:p w:rsidR="00000000" w:rsidRPr="00A078AD" w:rsidP="00A078AD">
            <w:pPr>
              <w:pStyle w:val="ListBullet2"/>
            </w:pPr>
            <w:r w:rsidRPr="00A078AD">
              <w:t>Implement Occupational Health and Safety workplace procedures and practices including the use of risk control measures as specified in the Performance Criteria and range; and</w:t>
            </w:r>
          </w:p>
          <w:p w:rsidR="00000000" w:rsidRPr="00A078AD" w:rsidP="00A078AD">
            <w:pPr>
              <w:pStyle w:val="ListBullet2"/>
            </w:pPr>
            <w:r w:rsidRPr="00A078AD">
              <w:t>Apply sustainable energy principles and practices as specified in the Performance Criteria and range; and</w:t>
            </w:r>
          </w:p>
          <w:p w:rsidR="00000000" w:rsidRPr="00A078AD" w:rsidP="00A078AD">
            <w:pPr>
              <w:pStyle w:val="ListBullet2"/>
            </w:pPr>
            <w:r w:rsidRPr="00A078AD">
              <w:t>Demonstrate an understanding of the essential knowledge and associated skills as described in this unit to such an extent that the learner’s performan</w:t>
            </w:r>
            <w:r w:rsidRPr="00A078AD">
              <w:t>ce outcome is reported in accordance with the preferred approach; namely a percentile graded result, where required by the regulated environment; and</w:t>
            </w:r>
          </w:p>
          <w:p w:rsidR="00000000" w:rsidRPr="00A078AD" w:rsidP="00A078AD">
            <w:pPr>
              <w:pStyle w:val="ListBullet2"/>
            </w:pPr>
            <w:r w:rsidRPr="00A078AD">
              <w:t>Demonstrate an appropriate level of employability skills; and</w:t>
            </w:r>
          </w:p>
          <w:p w:rsidR="00000000" w:rsidRPr="00A078AD" w:rsidP="00A078AD">
            <w:pPr>
              <w:pStyle w:val="ListBullet"/>
            </w:pPr>
            <w:r w:rsidRPr="00A078AD">
              <w:t>Conduct work observing the relevant Anti Di</w:t>
            </w:r>
            <w:r w:rsidRPr="00A078AD">
              <w:t>scrimination legislation, regulations, policies and workplace procedures; and</w:t>
            </w:r>
          </w:p>
          <w:p w:rsidR="00000000" w:rsidP="00A078AD">
            <w:pPr>
              <w:pStyle w:val="ListBullet2"/>
              <w:rPr>
                <w:lang w:val="en-NZ"/>
              </w:rPr>
            </w:pPr>
            <w:r w:rsidRPr="00A078AD">
              <w:t>Demonstrated performance across a representative range of contexts from the prescribed items below:</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078A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rPr>
                <w:rStyle w:val="SpecialBold"/>
              </w:rPr>
              <w:t>Range of tools/equipm</w:t>
            </w:r>
            <w:r w:rsidRPr="00A078AD">
              <w:rPr>
                <w:rStyle w:val="SpecialBold"/>
              </w:rPr>
              <w:t>ent/materials/procedures/workplaces/other variables</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078A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8AD" w:rsidP="00A078AD">
            <w:pPr>
              <w:pStyle w:val="BodyText"/>
            </w:pPr>
            <w:r w:rsidRPr="00A078A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8AD" w:rsidP="00A078AD">
            <w:pPr>
              <w:pStyle w:val="BodyText"/>
            </w:pPr>
            <w:r w:rsidRPr="00A078A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rPr>
                <w:rStyle w:val="SpecialBold"/>
              </w:rPr>
              <w:t>Item List</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8AD" w:rsidP="00A078AD">
            <w:pPr>
              <w:pStyle w:val="BodyText"/>
            </w:pPr>
            <w:r w:rsidRPr="00A078AD">
              <w:t>Pyramid</w:t>
            </w:r>
          </w:p>
          <w:p w:rsidR="00000000" w:rsidRPr="00A078AD" w:rsidP="00A078AD">
            <w:pPr>
              <w:pStyle w:val="BodyText"/>
            </w:pPr>
            <w:r w:rsidRPr="00A078AD">
              <w:t>Delta</w:t>
            </w:r>
          </w:p>
          <w:p w:rsidR="00000000" w:rsidRPr="00A078AD" w:rsidP="00A078AD">
            <w:pPr>
              <w:pStyle w:val="BodyText"/>
            </w:pPr>
            <w:r w:rsidRPr="00A078AD">
              <w:t>Pi</w:t>
            </w:r>
          </w:p>
          <w:p w:rsidR="00000000" w:rsidP="00A078AD">
            <w:pPr>
              <w:pStyle w:val="BodyText"/>
              <w:rPr>
                <w:lang w:val="en-NZ"/>
              </w:rPr>
            </w:pPr>
            <w:r w:rsidRPr="00A078AD">
              <w:t>Enterprise specific types</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8AD" w:rsidP="00A078AD">
            <w:pPr>
              <w:pStyle w:val="BodyText"/>
            </w:pPr>
            <w:r w:rsidRPr="00A078AD">
              <w:t>Insulators</w:t>
            </w:r>
          </w:p>
          <w:p w:rsidR="00000000" w:rsidRPr="00A078AD" w:rsidP="00A078AD">
            <w:pPr>
              <w:pStyle w:val="BodyText"/>
            </w:pPr>
            <w:r w:rsidRPr="00A078AD">
              <w:t>Bolts</w:t>
            </w:r>
          </w:p>
          <w:p w:rsidR="00000000" w:rsidP="00A078AD">
            <w:pPr>
              <w:pStyle w:val="BodyText"/>
              <w:rPr>
                <w:lang w:val="en-NZ"/>
              </w:rPr>
            </w:pPr>
            <w:r w:rsidRPr="00A078AD">
              <w:t>Clamps</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8AD" w:rsidP="00A078AD">
            <w:pPr>
              <w:pStyle w:val="BodyText"/>
            </w:pPr>
            <w:r w:rsidRPr="00A078AD">
              <w:t>Crane</w:t>
            </w:r>
          </w:p>
          <w:p w:rsidR="00000000" w:rsidP="00A078AD">
            <w:pPr>
              <w:pStyle w:val="BodyText"/>
              <w:rPr>
                <w:lang w:val="en-NZ"/>
              </w:rPr>
            </w:pPr>
            <w:r w:rsidRPr="00A078AD">
              <w:t>Gin pole</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8AD">
            <w:pPr>
              <w:pStyle w:val="BodyText"/>
              <w:rPr>
                <w:lang w:val="en-NZ"/>
              </w:rPr>
            </w:pPr>
            <w:r w:rsidRPr="00A078A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8AD" w:rsidP="00A078AD">
            <w:pPr>
              <w:pStyle w:val="BodyText"/>
            </w:pPr>
            <w:r w:rsidRPr="00A078AD">
              <w:t xml:space="preserve">Dealing with an unplanned event by drawing on essential knowledge and associated skills to provide appropriate solutions incorporated in the </w:t>
            </w:r>
            <w:r w:rsidRPr="00A078AD">
              <w:t>holistic assessment with the above listed items.</w:t>
            </w:r>
          </w:p>
        </w:tc>
      </w:tr>
    </w:tbl>
    <w:p w:rsidR="00000000" w:rsidRPr="00A078AD" w:rsidP="00A078AD">
      <w:pPr>
        <w:pStyle w:val="BodyText"/>
      </w:pPr>
    </w:p>
    <w:tbl>
      <w:tblPr>
        <w:tblW w:w="0" w:type="auto"/>
        <w:tblLayout w:type="fixed"/>
        <w:tblCellMar>
          <w:left w:w="62" w:type="dxa"/>
          <w:right w:w="62" w:type="dxa"/>
        </w:tblCellMar>
        <w:tblLook w:val="0000"/>
      </w:tblPr>
      <w:tblGrid>
        <w:gridCol w:w="1890"/>
        <w:gridCol w:w="6570"/>
      </w:tblGrid>
      <w:tr w:rsidTr="0058041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9.3)</w:t>
            </w:r>
          </w:p>
        </w:tc>
      </w:tr>
      <w:tr w:rsidTr="0058041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 xml:space="preserve">This unit should be assessed as it relates to normal work practice using procedures, information and resources typical of a workplace. This </w:t>
            </w:r>
            <w:r w:rsidRPr="00A078AD">
              <w:t>should include:</w:t>
            </w:r>
          </w:p>
          <w:p w:rsidR="00000000" w:rsidRPr="00A078AD" w:rsidP="00A078AD">
            <w:pPr>
              <w:pStyle w:val="ListBullet"/>
            </w:pPr>
            <w:r w:rsidRPr="00A078AD">
              <w:t>OHS policy and work procedures and instructions.</w:t>
            </w:r>
          </w:p>
          <w:p w:rsidR="00000000" w:rsidRPr="00A078AD" w:rsidP="00A078AD">
            <w:pPr>
              <w:pStyle w:val="ListBullet"/>
            </w:pPr>
            <w:r w:rsidRPr="00A078AD">
              <w:t xml:space="preserve">Suitable work environment, facilities, equipment and materials to undertake actual installation and maintenance on de-energised low voltage underground polymeric cables. </w:t>
            </w:r>
          </w:p>
          <w:p w:rsidR="00000000" w:rsidRPr="00A078AD" w:rsidP="00A078AD">
            <w:pPr>
              <w:pStyle w:val="BodyText"/>
            </w:pPr>
            <w:r w:rsidRPr="00A078AD">
              <w:t xml:space="preserve">In addition to the </w:t>
            </w:r>
            <w:r w:rsidRPr="00A078AD">
              <w:t>resources listed above in Context of and specific resources for assessment, evidence should show demonstrated competency working below ground, in limited spaces, with different structural/construction types and method and in a variety of environments.</w:t>
            </w:r>
          </w:p>
        </w:tc>
      </w:tr>
    </w:tbl>
    <w:p w:rsidR="00000000" w:rsidRPr="00A078AD" w:rsidP="00A078AD">
      <w:pPr>
        <w:pStyle w:val="BodyText"/>
      </w:pPr>
    </w:p>
    <w:tbl>
      <w:tblPr>
        <w:tblW w:w="0" w:type="auto"/>
        <w:tblLayout w:type="fixed"/>
        <w:tblCellMar>
          <w:left w:w="62" w:type="dxa"/>
          <w:right w:w="62" w:type="dxa"/>
        </w:tblCellMar>
        <w:tblLook w:val="0000"/>
      </w:tblPr>
      <w:tblGrid>
        <w:gridCol w:w="1890"/>
        <w:gridCol w:w="6570"/>
      </w:tblGrid>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Me</w:t>
            </w:r>
            <w:r w:rsidRPr="00A078AD">
              <w:rPr>
                <w:rStyle w:val="SpecialBold"/>
              </w:rPr>
              <w:t>thod of assessment</w:t>
            </w:r>
          </w:p>
        </w:tc>
        <w:tc>
          <w:tcPr>
            <w:tcW w:w="657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9.4)</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This Competency Standard Unit shall be assessed by methods given in Volume 1, Part 3 “Assessment Guidelines”.</w:t>
            </w:r>
          </w:p>
          <w:p w:rsidR="00000000" w:rsidRPr="00A078AD" w:rsidP="00A078AD">
            <w:pPr>
              <w:pStyle w:val="BodyText"/>
            </w:pPr>
            <w:r w:rsidRPr="00A078AD">
              <w:t>Note:</w:t>
            </w:r>
          </w:p>
          <w:p w:rsidR="00000000" w:rsidRPr="00A078AD" w:rsidP="00A078AD">
            <w:pPr>
              <w:pStyle w:val="BodyText"/>
            </w:pPr>
            <w:r w:rsidRPr="00A078AD">
              <w:t>Competent performance with inherent safe working practices is expected in the Transmission, Distribution and Rail Traction Industry. This requires that the specified essential knowledge and associated skills are assessed in a structured environment which i</w:t>
            </w:r>
            <w:r w:rsidRPr="00A078AD">
              <w:t>s primarily intended for learning/assessment and incorporates all necessary equipment and facilities for learners to develop and demonstrate the essential knowledge and associated skills described in this unit.</w:t>
            </w:r>
          </w:p>
        </w:tc>
      </w:tr>
    </w:tbl>
    <w:p w:rsidR="00000000" w:rsidRPr="00A078AD" w:rsidP="00A078AD">
      <w:pPr>
        <w:pStyle w:val="BodyText"/>
      </w:pPr>
    </w:p>
    <w:tbl>
      <w:tblPr>
        <w:tblW w:w="0" w:type="auto"/>
        <w:tblLayout w:type="fixed"/>
        <w:tblCellMar>
          <w:left w:w="62" w:type="dxa"/>
          <w:right w:w="62" w:type="dxa"/>
        </w:tblCellMar>
        <w:tblLook w:val="0000"/>
      </w:tblPr>
      <w:tblGrid>
        <w:gridCol w:w="1890"/>
        <w:gridCol w:w="1530"/>
        <w:gridCol w:w="5040"/>
      </w:tblGrid>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Concurrent assessment and relationship with</w:t>
            </w:r>
            <w:r w:rsidRPr="00A078AD">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9.5)</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 xml:space="preserve">For optimisation of training and assessment effort, competence in this unit may be assessed concurrently with the following units: </w:t>
            </w:r>
          </w:p>
        </w:tc>
      </w:tr>
      <w:tr w:rsidTr="0058041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t>UETTDRTP22A</w:t>
            </w:r>
          </w:p>
        </w:tc>
        <w:tc>
          <w:tcPr>
            <w:tcW w:w="504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Establish and reinstate a power systems transmission structure work site</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11" w:name="O_460386"/>
      <w:bookmarkEnd w:id="11"/>
      <w:r w:rsidRPr="00A078AD">
        <w:t>Range Statement</w:t>
      </w:r>
    </w:p>
    <w:tbl>
      <w:tblPr>
        <w:tblW w:w="0" w:type="auto"/>
        <w:tblLayout w:type="fixed"/>
        <w:tblCellMar>
          <w:left w:w="62" w:type="dxa"/>
          <w:right w:w="62" w:type="dxa"/>
        </w:tblCellMar>
        <w:tblLook w:val="0000"/>
      </w:tblPr>
      <w:tblGrid>
        <w:gridCol w:w="8460"/>
      </w:tblGrid>
      <w:tr w:rsidTr="005804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RANGE STATEMENT</w:t>
            </w:r>
          </w:p>
        </w:tc>
      </w:tr>
      <w:tr w:rsidTr="005804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10)</w:t>
            </w:r>
            <w:r w:rsidRPr="00A078AD">
              <w:t xml:space="preserve"> This relates to the unit of competency as a whole providing the range of contexts and conditions </w:t>
            </w:r>
            <w:r w:rsidRPr="00A078AD">
              <w:t>to which the Performance Criteria apply. It allows for different work environments and situations that will affect performance.</w:t>
            </w:r>
          </w:p>
          <w:p w:rsidR="00000000" w:rsidRPr="00A078AD" w:rsidP="00A078AD">
            <w:pPr>
              <w:pStyle w:val="BodyText"/>
            </w:pPr>
            <w:r w:rsidRPr="00A078AD">
              <w:t>This Competency Standard Unit shall be demonstrated in relation to erection of transmission tower hardware.</w:t>
            </w:r>
          </w:p>
          <w:p w:rsidR="00000000" w:rsidRPr="00A078AD" w:rsidP="00A078AD">
            <w:pPr>
              <w:pStyle w:val="BodyText"/>
            </w:pPr>
            <w:r w:rsidRPr="00A078AD">
              <w:t>Tower types may incl</w:t>
            </w:r>
            <w:r w:rsidRPr="00A078AD">
              <w:t>ude pyramid, delta and pi and other enterprise specific types.</w:t>
            </w:r>
          </w:p>
          <w:p w:rsidR="00000000" w:rsidRPr="00A078AD" w:rsidP="00A078AD">
            <w:pPr>
              <w:pStyle w:val="BodyText"/>
            </w:pPr>
            <w:r w:rsidRPr="00A078AD">
              <w:t>Associated hardware may include insulators and associated bolts and clamps.</w:t>
            </w:r>
          </w:p>
          <w:p w:rsidR="00000000" w:rsidRPr="00A078AD" w:rsidP="00A078AD">
            <w:pPr>
              <w:pStyle w:val="BodyText"/>
            </w:pPr>
            <w:r w:rsidRPr="00A078AD">
              <w:t>Methods of erection may include crane and/or gin pole.</w:t>
            </w:r>
          </w:p>
          <w:p w:rsidR="00000000" w:rsidRPr="00A078AD" w:rsidP="00A078AD">
            <w:pPr>
              <w:pStyle w:val="BodyText"/>
            </w:pPr>
            <w:r w:rsidRPr="00A078AD">
              <w:t>Foundations may include mass concrete, caisson or pile-based a</w:t>
            </w:r>
            <w:r w:rsidRPr="00A078AD">
              <w:t>nd screw-anchor or bored types.</w:t>
            </w:r>
          </w:p>
          <w:p w:rsidR="00000000" w:rsidRPr="00A078AD" w:rsidP="00A078AD">
            <w:pPr>
              <w:pStyle w:val="BodyText"/>
            </w:pPr>
            <w:r w:rsidRPr="00A078AD">
              <w:t>The following constants and variables included in the element/Performance Criteria in this unit are fully described in the Definitions Section 1 of this volume and form an integral part of the Range Statement of this unit:</w:t>
            </w:r>
          </w:p>
          <w:p w:rsidR="00000000" w:rsidRPr="00A078AD" w:rsidP="00A078AD">
            <w:pPr>
              <w:pStyle w:val="ListBullet3"/>
            </w:pPr>
            <w:r w:rsidRPr="00A078AD">
              <w:t>Appropriate and relevant persons (see Personnel)</w:t>
            </w:r>
          </w:p>
          <w:p w:rsidR="00000000" w:rsidRPr="00A078AD" w:rsidP="00A078AD">
            <w:pPr>
              <w:pStyle w:val="ListBullet3"/>
            </w:pPr>
            <w:r w:rsidRPr="00A078AD">
              <w:t>Appropriate authorities</w:t>
            </w:r>
          </w:p>
          <w:p w:rsidR="00000000" w:rsidRPr="00A078AD" w:rsidP="00A078AD">
            <w:pPr>
              <w:pStyle w:val="ListBullet3"/>
            </w:pPr>
            <w:r w:rsidRPr="00A078AD">
              <w:t>Appropriate work platform</w:t>
            </w:r>
          </w:p>
          <w:p w:rsidR="00000000" w:rsidRPr="00A078AD" w:rsidP="00A078AD">
            <w:pPr>
              <w:pStyle w:val="ListBullet3"/>
            </w:pPr>
            <w:r w:rsidRPr="00A078AD">
              <w:t>Assessing risk</w:t>
            </w:r>
          </w:p>
          <w:p w:rsidR="00000000" w:rsidRPr="00A078AD" w:rsidP="00A078AD">
            <w:pPr>
              <w:pStyle w:val="ListBullet3"/>
            </w:pPr>
            <w:r w:rsidRPr="00A078AD">
              <w:t xml:space="preserve">Authorisation </w:t>
            </w:r>
          </w:p>
          <w:p w:rsidR="00000000" w:rsidRPr="00A078AD" w:rsidP="00A078AD">
            <w:pPr>
              <w:pStyle w:val="ListBullet3"/>
            </w:pPr>
            <w:r w:rsidRPr="00A078AD">
              <w:t>Documenting detail work events, record keeping and or storage of information</w:t>
            </w:r>
          </w:p>
          <w:p w:rsidR="00000000" w:rsidRPr="00A078AD" w:rsidP="00A078AD">
            <w:pPr>
              <w:pStyle w:val="ListBullet3"/>
            </w:pPr>
            <w:r w:rsidRPr="00A078AD">
              <w:t>Drawings and specifications</w:t>
            </w:r>
          </w:p>
          <w:p w:rsidR="00000000" w:rsidRPr="00A078AD" w:rsidP="00A078AD">
            <w:pPr>
              <w:pStyle w:val="ListBullet3"/>
            </w:pPr>
            <w:r w:rsidRPr="00A078AD">
              <w:t>Emergency</w:t>
            </w:r>
          </w:p>
          <w:p w:rsidR="00000000" w:rsidRPr="00A078AD" w:rsidP="00A078AD">
            <w:pPr>
              <w:pStyle w:val="ListBullet3"/>
            </w:pPr>
            <w:r w:rsidRPr="00A078AD">
              <w:t>Environmental and sustainable energy procedures</w:t>
            </w:r>
          </w:p>
          <w:p w:rsidR="00000000" w:rsidRPr="00A078AD" w:rsidP="00A078AD">
            <w:pPr>
              <w:pStyle w:val="ListBullet3"/>
            </w:pPr>
            <w:r w:rsidRPr="00A078AD">
              <w:t>Environmental legislation</w:t>
            </w:r>
          </w:p>
          <w:p w:rsidR="00000000" w:rsidRPr="00A078AD" w:rsidP="00A078AD">
            <w:pPr>
              <w:pStyle w:val="ListBullet3"/>
            </w:pPr>
            <w:r w:rsidRPr="00A078AD">
              <w:t>Established procedures</w:t>
            </w:r>
          </w:p>
          <w:p w:rsidR="00000000" w:rsidRPr="00A078AD" w:rsidP="00A078AD">
            <w:pPr>
              <w:pStyle w:val="ListBullet3"/>
            </w:pPr>
            <w:r w:rsidRPr="00A078AD">
              <w:t>Fall prevention</w:t>
            </w:r>
          </w:p>
          <w:p w:rsidR="00000000" w:rsidRPr="00A078AD" w:rsidP="00A078AD">
            <w:pPr>
              <w:pStyle w:val="ListBullet3"/>
            </w:pPr>
            <w:r w:rsidRPr="00A078AD">
              <w:t>Hazards</w:t>
            </w:r>
          </w:p>
          <w:p w:rsidR="00000000" w:rsidRPr="00A078AD" w:rsidP="00A078AD">
            <w:pPr>
              <w:pStyle w:val="ListBullet3"/>
            </w:pPr>
            <w:r w:rsidRPr="00A078AD">
              <w:t>Identifying hazards</w:t>
            </w:r>
          </w:p>
          <w:p w:rsidR="00000000" w:rsidRPr="00A078AD" w:rsidP="00A078AD">
            <w:pPr>
              <w:pStyle w:val="ListBullet3"/>
            </w:pPr>
            <w:r w:rsidRPr="00A078AD">
              <w:t>Legislation</w:t>
            </w:r>
          </w:p>
          <w:p w:rsidR="00000000" w:rsidRPr="00A078AD" w:rsidP="00A078AD">
            <w:pPr>
              <w:pStyle w:val="ListBullet3"/>
            </w:pPr>
            <w:r w:rsidRPr="00A078AD">
              <w:t>MSDS</w:t>
            </w:r>
          </w:p>
          <w:p w:rsidR="00000000" w:rsidRPr="00A078AD" w:rsidP="00A078AD">
            <w:pPr>
              <w:pStyle w:val="ListBullet3"/>
            </w:pPr>
            <w:r w:rsidRPr="00A078AD">
              <w:t>Notification</w:t>
            </w:r>
          </w:p>
          <w:p w:rsidR="00000000" w:rsidRPr="00A078AD" w:rsidP="00A078AD">
            <w:pPr>
              <w:pStyle w:val="ListBullet3"/>
            </w:pPr>
            <w:r w:rsidRPr="00A078AD">
              <w:t>OHS practices</w:t>
            </w:r>
          </w:p>
          <w:p w:rsidR="00000000" w:rsidRPr="00A078AD" w:rsidP="00A078AD">
            <w:pPr>
              <w:pStyle w:val="ListBullet3"/>
            </w:pPr>
            <w:r w:rsidRPr="00A078AD">
              <w:t>OHS issues</w:t>
            </w:r>
          </w:p>
          <w:p w:rsidR="00000000" w:rsidRPr="00A078AD" w:rsidP="00A078AD">
            <w:pPr>
              <w:pStyle w:val="ListBullet3"/>
            </w:pPr>
            <w:r w:rsidRPr="00A078AD">
              <w:t>Permits and/or permits to work</w:t>
            </w:r>
          </w:p>
          <w:p w:rsidR="00000000" w:rsidRPr="00A078AD" w:rsidP="00A078AD">
            <w:pPr>
              <w:pStyle w:val="ListBullet3"/>
            </w:pPr>
            <w:r w:rsidRPr="00A078AD">
              <w:t>Personnel</w:t>
            </w:r>
          </w:p>
          <w:p w:rsidR="00000000" w:rsidRPr="00A078AD" w:rsidP="00A078AD">
            <w:pPr>
              <w:pStyle w:val="ListBullet3"/>
            </w:pPr>
            <w:r w:rsidRPr="00A078AD">
              <w:t>Quality assurance s</w:t>
            </w:r>
            <w:r w:rsidRPr="00A078AD">
              <w:t>ystems</w:t>
            </w:r>
          </w:p>
          <w:p w:rsidR="00000000" w:rsidRPr="00A078AD" w:rsidP="00A078AD">
            <w:pPr>
              <w:pStyle w:val="ListBullet3"/>
            </w:pPr>
            <w:r w:rsidRPr="00A078AD">
              <w:t>Requirements</w:t>
            </w:r>
          </w:p>
          <w:p w:rsidR="00000000" w:rsidRPr="00A078AD" w:rsidP="00A078AD">
            <w:pPr>
              <w:pStyle w:val="ListBullet3"/>
            </w:pPr>
            <w:r w:rsidRPr="00A078AD">
              <w:t>Work clearance systems</w:t>
            </w:r>
          </w:p>
        </w:tc>
      </w:tr>
    </w:tbl>
    <w:p w:rsidR="00000000" w:rsidRPr="00A078AD" w:rsidP="00A078AD">
      <w:pPr>
        <w:pStyle w:val="BodyText"/>
      </w:pPr>
    </w:p>
    <w:p w:rsidR="00000000" w:rsidRPr="00A078AD" w:rsidP="00A078AD">
      <w:pPr>
        <w:pStyle w:val="AllowPageBreak"/>
      </w:pPr>
    </w:p>
    <w:p w:rsidR="00000000" w:rsidRPr="00A078AD" w:rsidP="00A078AD">
      <w:pPr>
        <w:pStyle w:val="Heading1"/>
      </w:pPr>
      <w:bookmarkStart w:id="12" w:name="O_460389"/>
      <w:bookmarkEnd w:id="12"/>
      <w:r w:rsidRPr="00A078AD">
        <w:t>Unit Sector(s)</w:t>
      </w:r>
    </w:p>
    <w:p w:rsidR="00000000" w:rsidRPr="00A078AD" w:rsidP="00A078AD">
      <w:pPr>
        <w:pStyle w:val="BodyText"/>
      </w:pPr>
      <w:r w:rsidRPr="00A078AD">
        <w:t>Not applicable.</w:t>
      </w:r>
    </w:p>
    <w:p w:rsidR="00000000" w:rsidRPr="00A078AD" w:rsidP="00A078AD">
      <w:pPr>
        <w:pStyle w:val="AllowPageBreak"/>
      </w:pPr>
    </w:p>
    <w:p w:rsidR="00000000" w:rsidRPr="00A078AD" w:rsidP="00A078AD">
      <w:pPr>
        <w:pStyle w:val="Heading1"/>
      </w:pPr>
      <w:bookmarkStart w:id="13" w:name="O_460378"/>
      <w:bookmarkEnd w:id="13"/>
      <w:r w:rsidRPr="00A078AD">
        <w:t>Competency Field</w:t>
      </w:r>
    </w:p>
    <w:tbl>
      <w:tblPr>
        <w:tblW w:w="0" w:type="auto"/>
        <w:tblLayout w:type="fixed"/>
        <w:tblCellMar>
          <w:left w:w="62" w:type="dxa"/>
          <w:right w:w="62" w:type="dxa"/>
        </w:tblCellMar>
        <w:tblLook w:val="0000"/>
      </w:tblPr>
      <w:tblGrid>
        <w:gridCol w:w="2700"/>
        <w:gridCol w:w="5760"/>
      </w:tblGrid>
      <w:tr w:rsidTr="005804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078AD">
            <w:pPr>
              <w:pStyle w:val="BodyText"/>
              <w:rPr>
                <w:lang w:val="en-NZ"/>
              </w:rPr>
            </w:pPr>
            <w:r w:rsidRPr="00A078AD">
              <w:rPr>
                <w:rStyle w:val="SpecialBold"/>
              </w:rPr>
              <w:t xml:space="preserve">11) </w:t>
            </w:r>
          </w:p>
        </w:tc>
      </w:tr>
      <w:tr w:rsidTr="005804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78AD" w:rsidP="00A078AD">
            <w:pPr>
              <w:pStyle w:val="BodyText"/>
            </w:pPr>
            <w:r w:rsidRPr="00A078AD">
              <w:t>Transmission Units</w:t>
            </w:r>
          </w:p>
        </w:tc>
      </w:tr>
    </w:tbl>
    <w:p w:rsidR="00000000" w:rsidRPr="00A078AD" w:rsidP="00A078AD">
      <w:pPr>
        <w:pStyle w:val="BodyText"/>
      </w:pPr>
    </w:p>
    <w:p w:rsidR="00000000" w:rsidRPr="00A078AD" w:rsidP="00A078AD"/>
    <w:sectPr w:rsidSect="00A07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411" w:rsidP="00580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1" w:rsidP="00A07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0411" w:rsidP="00A078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80411" w:rsidP="00A078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411" w:rsidP="005804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11" w:rsidP="00A078AD">
    <w:pPr>
      <w:pStyle w:val="Header"/>
      <w:framePr w:wrap="around"/>
    </w:pPr>
    <w:r>
      <w:fldChar w:fldCharType="begin"/>
    </w:r>
    <w:r>
      <w:instrText xml:space="preserve"> TITLE   \* MERGEFORMAT </w:instrText>
    </w:r>
    <w:r>
      <w:fldChar w:fldCharType="separate"/>
    </w:r>
    <w:r>
      <w:t>UETTDRTP24A Erect power systems transmission structure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0411" w:rsidP="00A078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B87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0D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E6F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8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8AD"/>
    <w:pPr>
      <w:spacing w:before="360" w:after="60"/>
      <w:outlineLvl w:val="0"/>
    </w:pPr>
    <w:rPr>
      <w:sz w:val="32"/>
    </w:rPr>
  </w:style>
  <w:style w:type="paragraph" w:styleId="Heading2">
    <w:name w:val="heading 2"/>
    <w:basedOn w:val="HeadingBase"/>
    <w:next w:val="BodyText"/>
    <w:link w:val="Heading2Char"/>
    <w:qFormat/>
    <w:rsid w:val="00A078AD"/>
    <w:pPr>
      <w:keepLines/>
      <w:spacing w:before="240" w:after="120"/>
      <w:outlineLvl w:val="1"/>
    </w:pPr>
    <w:rPr>
      <w:sz w:val="28"/>
      <w:szCs w:val="40"/>
    </w:rPr>
  </w:style>
  <w:style w:type="paragraph" w:styleId="Heading3">
    <w:name w:val="heading 3"/>
    <w:basedOn w:val="HeadingBase"/>
    <w:next w:val="BodyText"/>
    <w:link w:val="Heading3Char"/>
    <w:qFormat/>
    <w:rsid w:val="00A078AD"/>
    <w:pPr>
      <w:spacing w:before="180" w:after="120"/>
      <w:outlineLvl w:val="2"/>
    </w:pPr>
    <w:rPr>
      <w:spacing w:val="-10"/>
      <w:kern w:val="32"/>
    </w:rPr>
  </w:style>
  <w:style w:type="paragraph" w:styleId="Heading4">
    <w:name w:val="heading 4"/>
    <w:basedOn w:val="HeadingBase"/>
    <w:next w:val="BodyText"/>
    <w:link w:val="Heading4Char"/>
    <w:qFormat/>
    <w:rsid w:val="00A078AD"/>
    <w:pPr>
      <w:spacing w:before="160" w:after="120"/>
      <w:outlineLvl w:val="3"/>
    </w:pPr>
    <w:rPr>
      <w:sz w:val="22"/>
    </w:rPr>
  </w:style>
  <w:style w:type="paragraph" w:styleId="Heading5">
    <w:name w:val="heading 5"/>
    <w:basedOn w:val="HeadingBase"/>
    <w:next w:val="Normal"/>
    <w:link w:val="Heading5Char"/>
    <w:qFormat/>
    <w:rsid w:val="00A078AD"/>
    <w:pPr>
      <w:spacing w:before="80"/>
      <w:outlineLvl w:val="4"/>
    </w:pPr>
    <w:rPr>
      <w:color w:val="918585"/>
      <w:sz w:val="20"/>
    </w:rPr>
  </w:style>
  <w:style w:type="paragraph" w:styleId="Heading6">
    <w:name w:val="heading 6"/>
    <w:basedOn w:val="HeadingBase"/>
    <w:next w:val="Normal"/>
    <w:link w:val="Heading6Char"/>
    <w:qFormat/>
    <w:rsid w:val="00A078AD"/>
    <w:pPr>
      <w:spacing w:before="60"/>
      <w:outlineLvl w:val="5"/>
    </w:pPr>
    <w:rPr>
      <w:color w:val="918585"/>
      <w:sz w:val="20"/>
    </w:rPr>
  </w:style>
  <w:style w:type="paragraph" w:styleId="Heading7">
    <w:name w:val="heading 7"/>
    <w:basedOn w:val="Normal"/>
    <w:next w:val="Normal"/>
    <w:link w:val="Heading7Char"/>
    <w:qFormat/>
    <w:rsid w:val="00A078AD"/>
    <w:pPr>
      <w:ind w:left="720"/>
      <w:outlineLvl w:val="6"/>
    </w:pPr>
    <w:rPr>
      <w:i/>
    </w:rPr>
  </w:style>
  <w:style w:type="paragraph" w:styleId="Heading8">
    <w:name w:val="heading 8"/>
    <w:basedOn w:val="Normal"/>
    <w:next w:val="Normal"/>
    <w:link w:val="Heading8Char"/>
    <w:qFormat/>
    <w:rsid w:val="00A078AD"/>
    <w:pPr>
      <w:ind w:left="720"/>
      <w:outlineLvl w:val="7"/>
    </w:pPr>
    <w:rPr>
      <w:i/>
    </w:rPr>
  </w:style>
  <w:style w:type="paragraph" w:styleId="Heading9">
    <w:name w:val="heading 9"/>
    <w:basedOn w:val="Normal"/>
    <w:next w:val="Normal"/>
    <w:link w:val="Heading9Char"/>
    <w:qFormat/>
    <w:rsid w:val="00A078AD"/>
    <w:pPr>
      <w:ind w:left="720"/>
      <w:outlineLvl w:val="8"/>
    </w:pPr>
    <w:rPr>
      <w:i/>
    </w:rPr>
  </w:style>
  <w:style w:type="character" w:default="1" w:styleId="DefaultParagraphFont">
    <w:name w:val="Default Paragraph Font"/>
    <w:uiPriority w:val="1"/>
    <w:unhideWhenUsed/>
    <w:rsid w:val="00A07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8AD"/>
  </w:style>
  <w:style w:type="character" w:customStyle="1" w:styleId="Heading1Char">
    <w:name w:val="Heading 1 Char"/>
    <w:basedOn w:val="DefaultParagraphFont"/>
    <w:link w:val="Heading1"/>
    <w:rsid w:val="00A078AD"/>
    <w:rPr>
      <w:rFonts w:ascii="Times New Roman" w:eastAsia="Times New Roman" w:hAnsi="Times New Roman" w:cs="Times New Roman"/>
      <w:b/>
      <w:sz w:val="32"/>
      <w:szCs w:val="20"/>
      <w:lang w:eastAsia="en-US"/>
    </w:rPr>
  </w:style>
  <w:style w:type="paragraph" w:styleId="BodyText">
    <w:name w:val="Body Text"/>
    <w:basedOn w:val="Normal"/>
    <w:link w:val="BodyTextChar"/>
    <w:rsid w:val="00A078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8AD"/>
    <w:rPr>
      <w:rFonts w:ascii="Times New Roman" w:eastAsia="Times New Roman" w:hAnsi="Times New Roman" w:cs="Times New Roman"/>
      <w:sz w:val="24"/>
      <w:lang w:val="en-US" w:eastAsia="en-US"/>
    </w:rPr>
  </w:style>
  <w:style w:type="paragraph" w:styleId="Footer">
    <w:name w:val="footer"/>
    <w:basedOn w:val="Normal"/>
    <w:link w:val="FooterChar"/>
    <w:rsid w:val="00A07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8AD"/>
    <w:rPr>
      <w:rFonts w:ascii="Times New Roman" w:eastAsia="Times New Roman" w:hAnsi="Times New Roman" w:cs="Times New Roman"/>
      <w:sz w:val="16"/>
      <w:lang w:val="en-US" w:eastAsia="en-US"/>
    </w:rPr>
  </w:style>
  <w:style w:type="paragraph" w:styleId="ListBullet">
    <w:name w:val="List Bullet"/>
    <w:basedOn w:val="List"/>
    <w:rsid w:val="00A078AD"/>
    <w:pPr>
      <w:numPr>
        <w:numId w:val="14"/>
      </w:numPr>
      <w:tabs>
        <w:tab w:val="clear" w:pos="340"/>
      </w:tabs>
      <w:spacing w:before="40" w:after="40"/>
    </w:pPr>
  </w:style>
  <w:style w:type="character" w:customStyle="1" w:styleId="SpecialBold">
    <w:name w:val="Special Bold"/>
    <w:basedOn w:val="DefaultParagraphFont"/>
    <w:rsid w:val="00A078AD"/>
    <w:rPr>
      <w:b/>
      <w:spacing w:val="0"/>
    </w:rPr>
  </w:style>
  <w:style w:type="paragraph" w:styleId="ListBullet2">
    <w:name w:val="List Bullet 2"/>
    <w:basedOn w:val="List2"/>
    <w:rsid w:val="00A078AD"/>
    <w:pPr>
      <w:numPr>
        <w:numId w:val="15"/>
      </w:numPr>
      <w:tabs>
        <w:tab w:val="clear" w:pos="680"/>
      </w:tabs>
    </w:pPr>
  </w:style>
  <w:style w:type="paragraph" w:styleId="Header">
    <w:name w:val="header"/>
    <w:basedOn w:val="Normal"/>
    <w:link w:val="HeaderChar"/>
    <w:rsid w:val="00A07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8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78AD"/>
    <w:pPr>
      <w:spacing w:before="240" w:after="120"/>
      <w:outlineLvl w:val="0"/>
    </w:pPr>
    <w:rPr>
      <w:rFonts w:ascii="Times New Roman" w:hAnsi="Times New Roman"/>
      <w:b/>
      <w:sz w:val="28"/>
    </w:rPr>
  </w:style>
  <w:style w:type="paragraph" w:customStyle="1" w:styleId="AllowPageBreak">
    <w:name w:val="AllowPageBreak"/>
    <w:rsid w:val="00A078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78AD"/>
    <w:pPr>
      <w:numPr>
        <w:numId w:val="3"/>
      </w:numPr>
      <w:tabs>
        <w:tab w:val="clear" w:pos="1021"/>
      </w:tabs>
      <w:ind w:left="1037" w:hanging="357"/>
    </w:pPr>
  </w:style>
  <w:style w:type="character" w:customStyle="1" w:styleId="Heading2Char">
    <w:name w:val="Heading 2 Char"/>
    <w:basedOn w:val="DefaultParagraphFont"/>
    <w:link w:val="Heading2"/>
    <w:rsid w:val="00A07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8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8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8AD"/>
    <w:rPr>
      <w:rFonts w:ascii="Courier New" w:eastAsia="Times New Roman" w:hAnsi="Courier New" w:cs="Times New Roman"/>
      <w:i/>
      <w:szCs w:val="20"/>
      <w:lang w:val="en-US" w:eastAsia="en-US"/>
    </w:rPr>
  </w:style>
  <w:style w:type="paragraph" w:customStyle="1" w:styleId="HeadingBase">
    <w:name w:val="Heading Base"/>
    <w:rsid w:val="00A07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8AD"/>
    <w:pPr>
      <w:tabs>
        <w:tab w:val="right" w:leader="dot" w:pos="9072"/>
      </w:tabs>
      <w:ind w:left="567"/>
    </w:pPr>
    <w:rPr>
      <w:szCs w:val="22"/>
    </w:rPr>
  </w:style>
  <w:style w:type="paragraph" w:customStyle="1" w:styleId="TOCBase">
    <w:name w:val="TOC Base"/>
    <w:rsid w:val="00A07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8AD"/>
    <w:pPr>
      <w:tabs>
        <w:tab w:val="right" w:leader="dot" w:pos="9072"/>
      </w:tabs>
      <w:spacing w:before="40" w:after="40"/>
      <w:ind w:left="284"/>
    </w:pPr>
    <w:rPr>
      <w:rFonts w:ascii="Times New Roman" w:hAnsi="Times New Roman"/>
    </w:rPr>
  </w:style>
  <w:style w:type="paragraph" w:styleId="TOC1">
    <w:name w:val="toc 1"/>
    <w:basedOn w:val="TOCBase"/>
    <w:next w:val="Normal"/>
    <w:rsid w:val="00A078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8AD"/>
    <w:pPr>
      <w:spacing w:before="5040"/>
      <w:jc w:val="center"/>
    </w:pPr>
    <w:rPr>
      <w:sz w:val="48"/>
      <w:szCs w:val="72"/>
      <w:lang w:val="en-US"/>
    </w:rPr>
  </w:style>
  <w:style w:type="character" w:customStyle="1" w:styleId="TitleChar">
    <w:name w:val="Title Char"/>
    <w:basedOn w:val="DefaultParagraphFont"/>
    <w:link w:val="Title"/>
    <w:rsid w:val="00A07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8AD"/>
    <w:pPr>
      <w:tabs>
        <w:tab w:val="left" w:pos="3600"/>
        <w:tab w:val="left" w:pos="3958"/>
      </w:tabs>
    </w:pPr>
  </w:style>
  <w:style w:type="paragraph" w:styleId="List">
    <w:name w:val="List"/>
    <w:basedOn w:val="BodyText"/>
    <w:next w:val="BodyText"/>
    <w:rsid w:val="00A078AD"/>
    <w:pPr>
      <w:tabs>
        <w:tab w:val="left" w:pos="340"/>
      </w:tabs>
      <w:spacing w:before="60" w:after="60"/>
      <w:ind w:left="340" w:hanging="340"/>
    </w:pPr>
  </w:style>
  <w:style w:type="paragraph" w:customStyle="1" w:styleId="Note">
    <w:name w:val="Note"/>
    <w:basedOn w:val="BodyText"/>
    <w:rsid w:val="00A07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8AD"/>
    <w:pPr>
      <w:framePr w:wrap="auto" w:hAnchor="text" w:y="6049"/>
    </w:pPr>
    <w:rPr>
      <w:color w:val="000000"/>
      <w:sz w:val="40"/>
    </w:rPr>
  </w:style>
  <w:style w:type="paragraph" w:customStyle="1" w:styleId="TOCTitle">
    <w:name w:val="TOCTitle"/>
    <w:basedOn w:val="Heading1"/>
    <w:rsid w:val="00A078AD"/>
    <w:pPr>
      <w:spacing w:after="240"/>
      <w:jc w:val="center"/>
      <w:outlineLvl w:val="9"/>
    </w:pPr>
    <w:rPr>
      <w:caps/>
    </w:rPr>
  </w:style>
  <w:style w:type="paragraph" w:customStyle="1" w:styleId="Version">
    <w:name w:val="Version"/>
    <w:rsid w:val="00A07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8AD"/>
    <w:pPr>
      <w:keepNext w:val="0"/>
      <w:tabs>
        <w:tab w:val="right" w:pos="4176"/>
      </w:tabs>
      <w:ind w:left="198" w:hanging="198"/>
    </w:pPr>
    <w:rPr>
      <w:rFonts w:ascii="Garamond" w:hAnsi="Garamond"/>
    </w:rPr>
  </w:style>
  <w:style w:type="paragraph" w:styleId="IndexHeading">
    <w:name w:val="index heading"/>
    <w:basedOn w:val="Normal"/>
    <w:next w:val="Index1"/>
    <w:semiHidden/>
    <w:rsid w:val="00A078AD"/>
    <w:pPr>
      <w:spacing w:before="120" w:after="120"/>
    </w:pPr>
    <w:rPr>
      <w:rFonts w:ascii="Arial" w:hAnsi="Arial"/>
      <w:b/>
      <w:color w:val="918585"/>
      <w:sz w:val="24"/>
    </w:rPr>
  </w:style>
  <w:style w:type="paragraph" w:customStyle="1" w:styleId="Chapter">
    <w:name w:val="Chapter"/>
    <w:basedOn w:val="Normal"/>
    <w:rsid w:val="00A078AD"/>
    <w:pPr>
      <w:spacing w:before="240"/>
    </w:pPr>
    <w:rPr>
      <w:rFonts w:ascii="Times New Roman" w:hAnsi="Times New Roman"/>
      <w:smallCaps/>
      <w:spacing w:val="80"/>
      <w:sz w:val="28"/>
    </w:rPr>
  </w:style>
  <w:style w:type="paragraph" w:customStyle="1" w:styleId="InChapter">
    <w:name w:val="InChapter"/>
    <w:basedOn w:val="Heading3"/>
    <w:rsid w:val="00A078AD"/>
    <w:pPr>
      <w:spacing w:after="240"/>
      <w:outlineLvl w:val="9"/>
    </w:pPr>
    <w:rPr>
      <w:noProof/>
    </w:rPr>
  </w:style>
  <w:style w:type="paragraph" w:styleId="Index2">
    <w:name w:val="index 2"/>
    <w:basedOn w:val="Normal"/>
    <w:next w:val="Normal"/>
    <w:semiHidden/>
    <w:rsid w:val="00A078AD"/>
    <w:pPr>
      <w:tabs>
        <w:tab w:val="right" w:pos="4176"/>
      </w:tabs>
      <w:ind w:left="568" w:hanging="284"/>
    </w:pPr>
    <w:rPr>
      <w:rFonts w:ascii="Garamond" w:hAnsi="Garamond"/>
    </w:rPr>
  </w:style>
  <w:style w:type="paragraph" w:customStyle="1" w:styleId="Byline">
    <w:name w:val="Byline"/>
    <w:rsid w:val="00A07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8AD"/>
    <w:pPr>
      <w:tabs>
        <w:tab w:val="clear" w:pos="3600"/>
        <w:tab w:val="clear" w:pos="3958"/>
      </w:tabs>
      <w:jc w:val="right"/>
    </w:pPr>
  </w:style>
  <w:style w:type="character" w:styleId="Emphasis">
    <w:name w:val="Emphasis"/>
    <w:basedOn w:val="DefaultParagraphFont"/>
    <w:qFormat/>
    <w:rsid w:val="00A078AD"/>
    <w:rPr>
      <w:i/>
    </w:rPr>
  </w:style>
  <w:style w:type="paragraph" w:styleId="Caption">
    <w:name w:val="caption"/>
    <w:basedOn w:val="BodyText"/>
    <w:next w:val="Normal"/>
    <w:qFormat/>
    <w:rsid w:val="00A078AD"/>
    <w:pPr>
      <w:framePr w:w="2268" w:hSpace="181" w:vSpace="181" w:wrap="around" w:vAnchor="text" w:hAnchor="page" w:x="1135" w:y="285" w:anchorLock="1"/>
    </w:pPr>
    <w:rPr>
      <w:i/>
    </w:rPr>
  </w:style>
  <w:style w:type="paragraph" w:customStyle="1" w:styleId="MiniTOCTitle">
    <w:name w:val="MiniTOCTitle"/>
    <w:basedOn w:val="Heading4"/>
    <w:rsid w:val="00A078AD"/>
    <w:pPr>
      <w:spacing w:before="240"/>
      <w:outlineLvl w:val="9"/>
    </w:pPr>
    <w:rPr>
      <w:noProof/>
      <w:sz w:val="24"/>
    </w:rPr>
  </w:style>
  <w:style w:type="paragraph" w:customStyle="1" w:styleId="MiniTOCItem">
    <w:name w:val="MiniTOCItem"/>
    <w:basedOn w:val="ListBullet"/>
    <w:rsid w:val="00A078AD"/>
    <w:pPr>
      <w:numPr>
        <w:numId w:val="0"/>
      </w:numPr>
      <w:tabs>
        <w:tab w:val="right" w:leader="dot" w:pos="6521"/>
      </w:tabs>
      <w:spacing w:before="0" w:after="0"/>
    </w:pPr>
  </w:style>
  <w:style w:type="paragraph" w:customStyle="1" w:styleId="TOFTitle">
    <w:name w:val="TOFTitle"/>
    <w:basedOn w:val="TOCTitle"/>
    <w:rsid w:val="00A078AD"/>
  </w:style>
  <w:style w:type="paragraph" w:styleId="TableofFigures">
    <w:name w:val="table of figures"/>
    <w:basedOn w:val="Normal"/>
    <w:next w:val="Normal"/>
    <w:semiHidden/>
    <w:rsid w:val="00A078AD"/>
    <w:pPr>
      <w:tabs>
        <w:tab w:val="right" w:leader="dot" w:pos="9072"/>
      </w:tabs>
      <w:ind w:left="970" w:hanging="403"/>
    </w:pPr>
    <w:rPr>
      <w:rFonts w:ascii="Times New Roman" w:hAnsi="Times New Roman"/>
      <w:b/>
    </w:rPr>
  </w:style>
  <w:style w:type="paragraph" w:styleId="ListNumber">
    <w:name w:val="List Number"/>
    <w:basedOn w:val="List"/>
    <w:rsid w:val="00A078AD"/>
    <w:pPr>
      <w:numPr>
        <w:numId w:val="12"/>
      </w:numPr>
    </w:pPr>
  </w:style>
  <w:style w:type="character" w:customStyle="1" w:styleId="WingdingSymbols">
    <w:name w:val="Wingding Symbols"/>
    <w:rsid w:val="00A078AD"/>
    <w:rPr>
      <w:rFonts w:ascii="Wingdings" w:hAnsi="Wingdings"/>
    </w:rPr>
  </w:style>
  <w:style w:type="paragraph" w:customStyle="1" w:styleId="TableHeading">
    <w:name w:val="Table Heading"/>
    <w:basedOn w:val="HeadingBase"/>
    <w:rsid w:val="00A078AD"/>
    <w:pPr>
      <w:keepLines/>
      <w:pBdr>
        <w:bottom w:val="single" w:sz="6" w:space="1" w:color="918585"/>
      </w:pBdr>
      <w:spacing w:before="240"/>
    </w:pPr>
  </w:style>
  <w:style w:type="character" w:customStyle="1" w:styleId="HotSpot">
    <w:name w:val="HotSpot"/>
    <w:rsid w:val="00A078AD"/>
    <w:rPr>
      <w:color w:val="0033CC"/>
      <w:u w:val="none"/>
    </w:rPr>
  </w:style>
  <w:style w:type="paragraph" w:customStyle="1" w:styleId="BodyTextRight">
    <w:name w:val="Body Text Right"/>
    <w:basedOn w:val="BodyText"/>
    <w:rsid w:val="00A078AD"/>
    <w:pPr>
      <w:spacing w:before="0" w:after="0"/>
      <w:jc w:val="right"/>
    </w:pPr>
  </w:style>
  <w:style w:type="paragraph" w:styleId="Index3">
    <w:name w:val="index 3"/>
    <w:basedOn w:val="ListNumber2"/>
    <w:next w:val="Normal"/>
    <w:semiHidden/>
    <w:rsid w:val="00A078AD"/>
    <w:pPr>
      <w:numPr>
        <w:numId w:val="0"/>
      </w:numPr>
      <w:tabs>
        <w:tab w:val="right" w:leader="dot" w:pos="4176"/>
      </w:tabs>
    </w:pPr>
  </w:style>
  <w:style w:type="paragraph" w:styleId="ListNumber2">
    <w:name w:val="List Number 2"/>
    <w:basedOn w:val="List2"/>
    <w:rsid w:val="00A078AD"/>
    <w:pPr>
      <w:numPr>
        <w:numId w:val="11"/>
      </w:numPr>
      <w:tabs>
        <w:tab w:val="clear" w:pos="1060"/>
      </w:tabs>
    </w:pPr>
  </w:style>
  <w:style w:type="paragraph" w:customStyle="1" w:styleId="MarginNote">
    <w:name w:val="Margin Note"/>
    <w:basedOn w:val="BodyText"/>
    <w:rsid w:val="00A07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8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8AD"/>
    <w:rPr>
      <w:sz w:val="32"/>
    </w:rPr>
  </w:style>
  <w:style w:type="paragraph" w:customStyle="1" w:styleId="HeadingProcedure">
    <w:name w:val="Heading Procedure"/>
    <w:basedOn w:val="HeadingBase"/>
    <w:next w:val="Normal"/>
    <w:rsid w:val="00A078AD"/>
    <w:pPr>
      <w:tabs>
        <w:tab w:val="left" w:pos="0"/>
      </w:tabs>
      <w:spacing w:before="120" w:after="60"/>
    </w:pPr>
    <w:rPr>
      <w:i/>
      <w:color w:val="918585"/>
      <w:sz w:val="22"/>
    </w:rPr>
  </w:style>
  <w:style w:type="paragraph" w:customStyle="1" w:styleId="TableBodyText">
    <w:name w:val="Table Body Text"/>
    <w:basedOn w:val="BodyText"/>
    <w:rsid w:val="00A078AD"/>
    <w:pPr>
      <w:spacing w:before="60" w:after="60"/>
    </w:pPr>
  </w:style>
  <w:style w:type="paragraph" w:styleId="ListContinue">
    <w:name w:val="List Continue"/>
    <w:basedOn w:val="List"/>
    <w:rsid w:val="00A078AD"/>
    <w:pPr>
      <w:ind w:firstLine="0"/>
    </w:pPr>
  </w:style>
  <w:style w:type="paragraph" w:customStyle="1" w:styleId="ListNote">
    <w:name w:val="List Note"/>
    <w:basedOn w:val="List"/>
    <w:rsid w:val="00A078AD"/>
    <w:pPr>
      <w:pBdr>
        <w:top w:val="single" w:sz="6" w:space="2" w:color="918585"/>
        <w:bottom w:val="single" w:sz="6" w:space="2" w:color="918585"/>
      </w:pBdr>
      <w:tabs>
        <w:tab w:val="left" w:pos="1021"/>
      </w:tabs>
      <w:ind w:firstLine="0"/>
    </w:pPr>
  </w:style>
  <w:style w:type="paragraph" w:customStyle="1" w:styleId="Warning">
    <w:name w:val="Warning"/>
    <w:basedOn w:val="BodyText"/>
    <w:rsid w:val="00A078AD"/>
    <w:pPr>
      <w:shd w:val="clear" w:color="auto" w:fill="D9D9D9"/>
      <w:tabs>
        <w:tab w:val="left" w:pos="992"/>
      </w:tabs>
      <w:ind w:left="119" w:right="119"/>
    </w:pPr>
    <w:rPr>
      <w:sz w:val="20"/>
    </w:rPr>
  </w:style>
  <w:style w:type="paragraph" w:customStyle="1" w:styleId="MarginIcons">
    <w:name w:val="Margin Icons"/>
    <w:basedOn w:val="BodyText"/>
    <w:rsid w:val="00A07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8AD"/>
    <w:rPr>
      <w:rFonts w:ascii="Courier New" w:hAnsi="Courier New"/>
    </w:rPr>
  </w:style>
  <w:style w:type="paragraph" w:customStyle="1" w:styleId="NoteBullet">
    <w:name w:val="Note Bullet"/>
    <w:basedOn w:val="Note"/>
    <w:rsid w:val="00A078AD"/>
    <w:pPr>
      <w:tabs>
        <w:tab w:val="clear" w:pos="680"/>
      </w:tabs>
      <w:spacing w:before="60" w:after="60"/>
    </w:pPr>
  </w:style>
  <w:style w:type="paragraph" w:customStyle="1" w:styleId="SubHeading2">
    <w:name w:val="SubHeading2"/>
    <w:basedOn w:val="HeadingBase"/>
    <w:rsid w:val="00A078AD"/>
    <w:pPr>
      <w:spacing w:before="240" w:after="60"/>
    </w:pPr>
    <w:rPr>
      <w:sz w:val="20"/>
    </w:rPr>
  </w:style>
  <w:style w:type="paragraph" w:customStyle="1" w:styleId="SubHeading1">
    <w:name w:val="SubHeading1"/>
    <w:basedOn w:val="HeadingBase"/>
    <w:rsid w:val="00A078AD"/>
    <w:pPr>
      <w:spacing w:before="240" w:after="60"/>
    </w:pPr>
    <w:rPr>
      <w:color w:val="918585"/>
      <w:sz w:val="22"/>
    </w:rPr>
  </w:style>
  <w:style w:type="paragraph" w:customStyle="1" w:styleId="SideHeading">
    <w:name w:val="Side Heading"/>
    <w:basedOn w:val="HeadingBase"/>
    <w:rsid w:val="00A07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8AD"/>
    <w:pPr>
      <w:numPr>
        <w:numId w:val="13"/>
      </w:numPr>
    </w:pPr>
  </w:style>
  <w:style w:type="paragraph" w:styleId="PlainText">
    <w:name w:val="Plain Text"/>
    <w:basedOn w:val="Normal"/>
    <w:link w:val="PlainTextChar"/>
    <w:rsid w:val="00A078AD"/>
    <w:rPr>
      <w:sz w:val="20"/>
    </w:rPr>
  </w:style>
  <w:style w:type="character" w:customStyle="1" w:styleId="PlainTextChar">
    <w:name w:val="Plain Text Char"/>
    <w:basedOn w:val="DefaultParagraphFont"/>
    <w:link w:val="PlainText"/>
    <w:rsid w:val="00A078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8AD"/>
    <w:rPr>
      <w:b/>
      <w:smallCaps/>
    </w:rPr>
  </w:style>
  <w:style w:type="paragraph" w:customStyle="1" w:styleId="TableListNumber">
    <w:name w:val="Table List Number"/>
    <w:basedOn w:val="ListNumber"/>
    <w:rsid w:val="00A078AD"/>
    <w:pPr>
      <w:numPr>
        <w:numId w:val="0"/>
      </w:numPr>
    </w:pPr>
  </w:style>
  <w:style w:type="paragraph" w:styleId="TOC4">
    <w:name w:val="toc 4"/>
    <w:basedOn w:val="TOCBase"/>
    <w:next w:val="Normal"/>
    <w:semiHidden/>
    <w:rsid w:val="00A078AD"/>
    <w:pPr>
      <w:tabs>
        <w:tab w:val="right" w:leader="dot" w:pos="9071"/>
      </w:tabs>
      <w:ind w:left="1701"/>
    </w:pPr>
  </w:style>
  <w:style w:type="paragraph" w:customStyle="1" w:styleId="ListAlpha">
    <w:name w:val="List Alpha"/>
    <w:basedOn w:val="List"/>
    <w:rsid w:val="00A078AD"/>
    <w:pPr>
      <w:numPr>
        <w:numId w:val="10"/>
      </w:numPr>
    </w:pPr>
  </w:style>
  <w:style w:type="paragraph" w:customStyle="1" w:styleId="ListAlpha2">
    <w:name w:val="List Alpha 2"/>
    <w:basedOn w:val="List2"/>
    <w:rsid w:val="00A078AD"/>
    <w:pPr>
      <w:numPr>
        <w:numId w:val="9"/>
      </w:numPr>
    </w:pPr>
  </w:style>
  <w:style w:type="paragraph" w:styleId="List2">
    <w:name w:val="List 2"/>
    <w:basedOn w:val="BodyText"/>
    <w:rsid w:val="00A078AD"/>
    <w:pPr>
      <w:tabs>
        <w:tab w:val="left" w:pos="680"/>
      </w:tabs>
      <w:spacing w:before="60" w:after="60"/>
      <w:ind w:left="680" w:hanging="340"/>
    </w:pPr>
  </w:style>
  <w:style w:type="paragraph" w:styleId="List3">
    <w:name w:val="List 3"/>
    <w:basedOn w:val="BodyText"/>
    <w:rsid w:val="00A078AD"/>
    <w:pPr>
      <w:tabs>
        <w:tab w:val="left" w:pos="1021"/>
      </w:tabs>
      <w:spacing w:before="60" w:after="60"/>
      <w:ind w:left="1020" w:hanging="340"/>
    </w:pPr>
  </w:style>
  <w:style w:type="paragraph" w:styleId="List4">
    <w:name w:val="List 4"/>
    <w:basedOn w:val="BodyText"/>
    <w:rsid w:val="00A078AD"/>
    <w:pPr>
      <w:tabs>
        <w:tab w:val="left" w:pos="1361"/>
      </w:tabs>
      <w:spacing w:before="60" w:after="60"/>
      <w:ind w:left="1361" w:hanging="340"/>
    </w:pPr>
  </w:style>
  <w:style w:type="paragraph" w:styleId="List5">
    <w:name w:val="List 5"/>
    <w:basedOn w:val="BodyText"/>
    <w:rsid w:val="00A078AD"/>
    <w:pPr>
      <w:tabs>
        <w:tab w:val="left" w:pos="1701"/>
      </w:tabs>
      <w:spacing w:before="60" w:after="60"/>
      <w:ind w:left="1701" w:hanging="340"/>
    </w:pPr>
  </w:style>
  <w:style w:type="paragraph" w:styleId="ListBullet4">
    <w:name w:val="List Bullet 4"/>
    <w:basedOn w:val="List4"/>
    <w:rsid w:val="00A078AD"/>
    <w:pPr>
      <w:numPr>
        <w:numId w:val="4"/>
      </w:numPr>
    </w:pPr>
  </w:style>
  <w:style w:type="paragraph" w:styleId="ListBullet5">
    <w:name w:val="List Bullet 5"/>
    <w:basedOn w:val="List5"/>
    <w:rsid w:val="00A078AD"/>
    <w:pPr>
      <w:numPr>
        <w:numId w:val="5"/>
      </w:numPr>
    </w:pPr>
  </w:style>
  <w:style w:type="paragraph" w:styleId="ListContinue2">
    <w:name w:val="List Continue 2"/>
    <w:basedOn w:val="List2"/>
    <w:rsid w:val="00A078AD"/>
    <w:pPr>
      <w:ind w:firstLine="0"/>
    </w:pPr>
  </w:style>
  <w:style w:type="paragraph" w:styleId="ListContinue3">
    <w:name w:val="List Continue 3"/>
    <w:basedOn w:val="List3"/>
    <w:rsid w:val="00A078AD"/>
    <w:pPr>
      <w:ind w:left="1021" w:firstLine="0"/>
    </w:pPr>
  </w:style>
  <w:style w:type="paragraph" w:styleId="ListContinue4">
    <w:name w:val="List Continue 4"/>
    <w:basedOn w:val="List4"/>
    <w:rsid w:val="00A078AD"/>
    <w:pPr>
      <w:ind w:firstLine="0"/>
    </w:pPr>
  </w:style>
  <w:style w:type="paragraph" w:styleId="ListContinue5">
    <w:name w:val="List Continue 5"/>
    <w:basedOn w:val="List5"/>
    <w:rsid w:val="00A078AD"/>
    <w:pPr>
      <w:ind w:firstLine="0"/>
    </w:pPr>
  </w:style>
  <w:style w:type="paragraph" w:styleId="ListNumber3">
    <w:name w:val="List Number 3"/>
    <w:basedOn w:val="List3"/>
    <w:rsid w:val="00A078AD"/>
    <w:pPr>
      <w:numPr>
        <w:numId w:val="6"/>
      </w:numPr>
    </w:pPr>
  </w:style>
  <w:style w:type="paragraph" w:styleId="ListNumber4">
    <w:name w:val="List Number 4"/>
    <w:basedOn w:val="List4"/>
    <w:rsid w:val="00A078AD"/>
    <w:pPr>
      <w:numPr>
        <w:numId w:val="7"/>
      </w:numPr>
    </w:pPr>
  </w:style>
  <w:style w:type="paragraph" w:styleId="ListNumber5">
    <w:name w:val="List Number 5"/>
    <w:basedOn w:val="List5"/>
    <w:rsid w:val="00A078AD"/>
    <w:pPr>
      <w:numPr>
        <w:numId w:val="8"/>
      </w:numPr>
    </w:pPr>
  </w:style>
  <w:style w:type="paragraph" w:styleId="BlockText">
    <w:name w:val="Block Text"/>
    <w:basedOn w:val="Normal"/>
    <w:rsid w:val="00A078AD"/>
    <w:pPr>
      <w:spacing w:after="120"/>
      <w:ind w:left="1440" w:right="1440"/>
    </w:pPr>
  </w:style>
  <w:style w:type="character" w:customStyle="1" w:styleId="Subscript">
    <w:name w:val="Subscript"/>
    <w:basedOn w:val="DefaultParagraphFont"/>
    <w:rsid w:val="00A078AD"/>
    <w:rPr>
      <w:sz w:val="16"/>
      <w:vertAlign w:val="subscript"/>
    </w:rPr>
  </w:style>
  <w:style w:type="character" w:customStyle="1" w:styleId="Superscript">
    <w:name w:val="Superscript"/>
    <w:basedOn w:val="DefaultParagraphFont"/>
    <w:rsid w:val="00A078AD"/>
    <w:rPr>
      <w:sz w:val="16"/>
      <w:vertAlign w:val="superscript"/>
    </w:rPr>
  </w:style>
  <w:style w:type="character" w:customStyle="1" w:styleId="Symbols">
    <w:name w:val="Symbols"/>
    <w:basedOn w:val="DefaultParagraphFont"/>
    <w:rsid w:val="00A078AD"/>
    <w:rPr>
      <w:rFonts w:ascii="Symbol" w:hAnsi="Symbol"/>
    </w:rPr>
  </w:style>
  <w:style w:type="character" w:customStyle="1" w:styleId="MenuOptions">
    <w:name w:val="Menu Options"/>
    <w:basedOn w:val="DefaultParagraphFont"/>
    <w:rsid w:val="00A078AD"/>
    <w:rPr>
      <w:rFonts w:ascii="Arial Narrow" w:hAnsi="Arial Narrow"/>
      <w:smallCaps/>
    </w:rPr>
  </w:style>
  <w:style w:type="character" w:customStyle="1" w:styleId="Buttons">
    <w:name w:val="Buttons"/>
    <w:basedOn w:val="DefaultParagraphFont"/>
    <w:rsid w:val="00A078AD"/>
    <w:rPr>
      <w:b/>
    </w:rPr>
  </w:style>
  <w:style w:type="character" w:customStyle="1" w:styleId="Underlined">
    <w:name w:val="Underlined"/>
    <w:basedOn w:val="DefaultParagraphFont"/>
    <w:rsid w:val="00A078AD"/>
    <w:rPr>
      <w:u w:val="single"/>
    </w:rPr>
  </w:style>
  <w:style w:type="paragraph" w:customStyle="1" w:styleId="TableBodyTextRight">
    <w:name w:val="Table Body Text Right"/>
    <w:basedOn w:val="TableBodyText"/>
    <w:rsid w:val="00A078AD"/>
    <w:pPr>
      <w:widowControl w:val="0"/>
      <w:autoSpaceDE w:val="0"/>
      <w:autoSpaceDN w:val="0"/>
      <w:adjustRightInd w:val="0"/>
      <w:jc w:val="right"/>
    </w:pPr>
    <w:rPr>
      <w:rFonts w:cs="Arial"/>
      <w:szCs w:val="18"/>
    </w:rPr>
  </w:style>
  <w:style w:type="paragraph" w:customStyle="1" w:styleId="CopyrightText">
    <w:name w:val="Copyright Text"/>
    <w:basedOn w:val="BodyText"/>
    <w:rsid w:val="00A078AD"/>
    <w:rPr>
      <w:sz w:val="18"/>
    </w:rPr>
  </w:style>
  <w:style w:type="paragraph" w:customStyle="1" w:styleId="BodySmallRight">
    <w:name w:val="Body Small Right"/>
    <w:basedOn w:val="BodyTextRight"/>
    <w:rsid w:val="00A078AD"/>
    <w:rPr>
      <w:sz w:val="18"/>
      <w:szCs w:val="18"/>
    </w:rPr>
  </w:style>
  <w:style w:type="paragraph" w:customStyle="1" w:styleId="MarginEdition">
    <w:name w:val="Margin Edition"/>
    <w:basedOn w:val="MarginNote"/>
    <w:rsid w:val="00A078AD"/>
    <w:pPr>
      <w:spacing w:before="0" w:after="0"/>
    </w:pPr>
    <w:rPr>
      <w:rFonts w:ascii="Times New Roman" w:hAnsi="Times New Roman"/>
      <w:color w:val="999999"/>
    </w:rPr>
  </w:style>
  <w:style w:type="paragraph" w:customStyle="1" w:styleId="Spacer">
    <w:name w:val="Spacer"/>
    <w:basedOn w:val="Normal"/>
    <w:rsid w:val="00A078AD"/>
    <w:rPr>
      <w:sz w:val="2"/>
      <w:szCs w:val="2"/>
    </w:rPr>
  </w:style>
  <w:style w:type="character" w:customStyle="1" w:styleId="Small">
    <w:name w:val="Small"/>
    <w:basedOn w:val="DefaultParagraphFont"/>
    <w:rsid w:val="00A078AD"/>
    <w:rPr>
      <w:sz w:val="16"/>
    </w:rPr>
  </w:style>
  <w:style w:type="paragraph" w:customStyle="1" w:styleId="WideTable">
    <w:name w:val="Wide Table"/>
    <w:basedOn w:val="Normal"/>
    <w:rsid w:val="00A078AD"/>
    <w:pPr>
      <w:ind w:left="-1418"/>
    </w:pPr>
    <w:rPr>
      <w:sz w:val="2"/>
      <w:szCs w:val="2"/>
    </w:rPr>
  </w:style>
  <w:style w:type="character" w:styleId="PageNumber">
    <w:name w:val="page number"/>
    <w:basedOn w:val="DefaultParagraphFont"/>
    <w:rsid w:val="00A078AD"/>
  </w:style>
  <w:style w:type="paragraph" w:styleId="Quote">
    <w:name w:val="Quote"/>
    <w:basedOn w:val="Heading1"/>
    <w:link w:val="QuoteChar"/>
    <w:qFormat/>
    <w:rsid w:val="00A078AD"/>
    <w:rPr>
      <w:b w:val="0"/>
      <w:sz w:val="72"/>
      <w:szCs w:val="72"/>
      <w:lang w:val="en-NZ"/>
    </w:rPr>
  </w:style>
  <w:style w:type="character" w:customStyle="1" w:styleId="QuoteChar">
    <w:name w:val="Quote Char"/>
    <w:basedOn w:val="DefaultParagraphFont"/>
    <w:link w:val="Quote"/>
    <w:rsid w:val="00A07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8AD"/>
    <w:pPr>
      <w:pageBreakBefore/>
    </w:pPr>
  </w:style>
  <w:style w:type="paragraph" w:customStyle="1" w:styleId="Border">
    <w:name w:val="Border"/>
    <w:basedOn w:val="Normal"/>
    <w:qFormat/>
    <w:rsid w:val="00A07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8AD"/>
    <w:rPr>
      <w:b/>
      <w:bCs/>
      <w:i/>
      <w:iCs/>
      <w:color w:val="auto"/>
    </w:rPr>
  </w:style>
  <w:style w:type="paragraph" w:styleId="IntenseQuote">
    <w:name w:val="Intense Quote"/>
    <w:basedOn w:val="Normal"/>
    <w:next w:val="Normal"/>
    <w:link w:val="IntenseQuoteChar"/>
    <w:uiPriority w:val="30"/>
    <w:qFormat/>
    <w:rsid w:val="00A07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8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8AD"/>
    <w:rPr>
      <w:smallCaps/>
      <w:color w:val="auto"/>
      <w:u w:val="single"/>
    </w:rPr>
  </w:style>
  <w:style w:type="character" w:styleId="IntenseReference">
    <w:name w:val="Intense Reference"/>
    <w:basedOn w:val="DefaultParagraphFont"/>
    <w:uiPriority w:val="32"/>
    <w:qFormat/>
    <w:rsid w:val="00A078AD"/>
    <w:rPr>
      <w:b/>
      <w:bCs/>
      <w:smallCaps/>
      <w:color w:val="auto"/>
      <w:spacing w:val="5"/>
      <w:u w:val="single"/>
    </w:rPr>
  </w:style>
  <w:style w:type="paragraph" w:customStyle="1" w:styleId="2ColumnHeading">
    <w:name w:val="2Column Heading"/>
    <w:basedOn w:val="BodyText"/>
    <w:qFormat/>
    <w:rsid w:val="00A078AD"/>
    <w:pPr>
      <w:spacing w:after="60"/>
      <w:ind w:left="-2268"/>
    </w:pPr>
    <w:rPr>
      <w:b/>
    </w:rPr>
  </w:style>
  <w:style w:type="paragraph" w:customStyle="1" w:styleId="Heading1TOC">
    <w:name w:val="Heading1 TOC"/>
    <w:basedOn w:val="Normal"/>
    <w:qFormat/>
    <w:rsid w:val="00A078AD"/>
    <w:pPr>
      <w:spacing w:before="240" w:after="120"/>
    </w:pPr>
    <w:rPr>
      <w:rFonts w:ascii="Times New Roman" w:hAnsi="Times New Roman"/>
      <w:b/>
      <w:sz w:val="32"/>
    </w:rPr>
  </w:style>
  <w:style w:type="paragraph" w:customStyle="1" w:styleId="Heading2TOC">
    <w:name w:val="Heading2 TOC"/>
    <w:basedOn w:val="Normal"/>
    <w:qFormat/>
    <w:rsid w:val="00A078AD"/>
    <w:pPr>
      <w:spacing w:before="240" w:after="60"/>
    </w:pPr>
    <w:rPr>
      <w:rFonts w:ascii="Times New Roman" w:hAnsi="Times New Roman"/>
      <w:b/>
      <w:sz w:val="28"/>
    </w:rPr>
  </w:style>
  <w:style w:type="character" w:customStyle="1" w:styleId="Underline">
    <w:name w:val="Underline"/>
    <w:basedOn w:val="DefaultParagraphFont"/>
    <w:qFormat/>
    <w:rsid w:val="00A078AD"/>
    <w:rPr>
      <w:u w:val="single"/>
    </w:rPr>
  </w:style>
  <w:style w:type="character" w:customStyle="1" w:styleId="BoldandItalics">
    <w:name w:val="Bold and Italics"/>
    <w:qFormat/>
    <w:rsid w:val="00A078AD"/>
    <w:rPr>
      <w:b/>
      <w:i/>
      <w:u w:val="none"/>
    </w:rPr>
  </w:style>
  <w:style w:type="paragraph" w:styleId="BalloonText">
    <w:name w:val="Balloon Text"/>
    <w:basedOn w:val="Normal"/>
    <w:link w:val="BalloonTextChar"/>
    <w:rsid w:val="00A078AD"/>
    <w:rPr>
      <w:rFonts w:ascii="Tahoma" w:hAnsi="Tahoma" w:cs="Tahoma"/>
      <w:sz w:val="16"/>
      <w:szCs w:val="16"/>
    </w:rPr>
  </w:style>
  <w:style w:type="character" w:customStyle="1" w:styleId="BalloonTextChar">
    <w:name w:val="Balloon Text Char"/>
    <w:basedOn w:val="DefaultParagraphFont"/>
    <w:link w:val="BalloonText"/>
    <w:rsid w:val="00A078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8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8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2447</Words>
  <Characters>15069</Characters>
  <Application>Microsoft Office Word</Application>
  <DocSecurity>0</DocSecurity>
  <Lines>581</Lines>
  <Paragraphs>226</Paragraphs>
  <ScaleCrop>false</ScaleCrop>
  <Company>Author-it Software Corporation Ltd.</Company>
  <LinksUpToDate>false</LinksUpToDate>
  <CharactersWithSpaces>17343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UETTDRTP24A Erect power systems transmission structure hardware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2012-05-26T12:24:00Z</dcterms:created>
  <dcterms:modified xsi:type="dcterms:W3CDTF">2012-05-26T12:24:00Z</dcterms:modified>
</cp:coreProperties>
</file>