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7E2E" w:rsidP="001B7E2E">
      <w:pPr>
        <w:pStyle w:val="Title"/>
      </w:pPr>
      <w:r>
        <w:fldChar w:fldCharType="begin"/>
      </w:r>
      <w:r>
        <w:instrText xml:space="preserve"> TITLE   \* MERGEFORMAT </w:instrText>
      </w:r>
      <w:r>
        <w:fldChar w:fldCharType="separate"/>
      </w:r>
      <w:r>
        <w:t>UETTDRSO44A Develop crisis power systems management plans</w:t>
      </w:r>
      <w:r>
        <w:fldChar w:fldCharType="end"/>
      </w:r>
    </w:p>
    <w:p w:rsidR="001B7E2E" w:rsidP="001B7E2E">
      <w:pPr>
        <w:pStyle w:val="Version"/>
        <w:sectPr w:rsidSect="00D537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3738" w:rsidP="00D53738">
      <w:pPr>
        <w:pStyle w:val="SuperHeading"/>
      </w:pPr>
      <w:r w:rsidRPr="00D53738">
        <w:t>UETTDRSO44A Develop crisis power systems management plans</w:t>
      </w:r>
    </w:p>
    <w:p w:rsidR="00000000" w:rsidRPr="00D53738" w:rsidP="00D53738">
      <w:pPr>
        <w:pStyle w:val="Heading1"/>
      </w:pPr>
      <w:bookmarkStart w:id="1" w:name="O_465110"/>
      <w:bookmarkEnd w:id="1"/>
      <w:r w:rsidRPr="00D53738">
        <w:t>Modification History</w:t>
      </w:r>
    </w:p>
    <w:p w:rsidR="00000000" w:rsidRPr="00D53738" w:rsidP="00D53738">
      <w:pPr>
        <w:pStyle w:val="BodyText"/>
      </w:pPr>
      <w:r w:rsidRPr="00D53738">
        <w:t>Not applicable.</w:t>
      </w:r>
    </w:p>
    <w:p w:rsidR="00000000" w:rsidRPr="00D53738" w:rsidP="00D53738">
      <w:pPr>
        <w:pStyle w:val="AllowPageBreak"/>
      </w:pPr>
    </w:p>
    <w:p w:rsidR="00000000" w:rsidRPr="00D53738" w:rsidP="00D53738">
      <w:pPr>
        <w:pStyle w:val="Heading1"/>
      </w:pPr>
      <w:bookmarkStart w:id="2" w:name="O_465108"/>
      <w:bookmarkEnd w:id="2"/>
      <w:r w:rsidRPr="00D53738">
        <w:t>Unit Descriptor</w:t>
      </w:r>
    </w:p>
    <w:tbl>
      <w:tblPr>
        <w:tblW w:w="0" w:type="auto"/>
        <w:tblLayout w:type="fixed"/>
        <w:tblCellMar>
          <w:left w:w="62" w:type="dxa"/>
          <w:right w:w="62" w:type="dxa"/>
        </w:tblCellMar>
        <w:tblLook w:val="0000"/>
      </w:tblPr>
      <w:tblGrid>
        <w:gridCol w:w="2700"/>
        <w:gridCol w:w="5760"/>
      </w:tblGrid>
      <w:tr w:rsidTr="001B7E2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rPr>
                <w:rStyle w:val="SpecialBold"/>
              </w:rPr>
              <w:t>1)</w:t>
            </w:r>
            <w:r w:rsidRPr="00D53738">
              <w:t xml:space="preserve"> </w:t>
            </w:r>
            <w:r w:rsidRPr="00D53738">
              <w:rPr>
                <w:rStyle w:val="SpecialBold"/>
              </w:rPr>
              <w:t>Scope:</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5373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rPr>
                <w:rStyle w:val="SpecialBold"/>
              </w:rPr>
              <w:t>1.1) Descriptor</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t>This Competency Standard Unit covers the preparation of crisis management plans, which can be implemented following the loss of one or more items of plant. This unit involves the activities associated with the assessment of risk, the probability of failure</w:t>
            </w:r>
            <w:r w:rsidRPr="00D53738">
              <w:t>, the consequences of failure and the plant and/or network loads that will result as per established enterprise procedures.</w:t>
            </w:r>
          </w:p>
        </w:tc>
      </w:tr>
    </w:tbl>
    <w:p w:rsidR="00000000" w:rsidRPr="00D53738" w:rsidP="00D53738">
      <w:pPr>
        <w:pStyle w:val="BodyText"/>
      </w:pPr>
    </w:p>
    <w:p w:rsidR="00000000" w:rsidRPr="00D53738" w:rsidP="00D53738">
      <w:pPr>
        <w:pStyle w:val="AllowPageBreak"/>
      </w:pPr>
    </w:p>
    <w:p w:rsidR="00000000" w:rsidRPr="00D53738" w:rsidP="00D53738">
      <w:pPr>
        <w:pStyle w:val="Heading1"/>
      </w:pPr>
      <w:bookmarkStart w:id="3" w:name="O_465097"/>
      <w:bookmarkEnd w:id="3"/>
      <w:r w:rsidRPr="00D53738">
        <w:t>Application of the Unit</w:t>
      </w:r>
    </w:p>
    <w:tbl>
      <w:tblPr>
        <w:tblW w:w="0" w:type="auto"/>
        <w:tblLayout w:type="fixed"/>
        <w:tblCellMar>
          <w:left w:w="62" w:type="dxa"/>
          <w:right w:w="62" w:type="dxa"/>
        </w:tblCellMar>
        <w:tblLook w:val="0000"/>
      </w:tblPr>
      <w:tblGrid>
        <w:gridCol w:w="2672"/>
        <w:gridCol w:w="5699"/>
      </w:tblGrid>
      <w:tr w:rsidTr="001B7E2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rPr>
                <w:rStyle w:val="SpecialBold"/>
              </w:rPr>
              <w:t>2)</w:t>
            </w:r>
          </w:p>
        </w:tc>
      </w:tr>
      <w:tr w:rsidTr="001B7E2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t>This Competency Standard Unit is intended to augment formally acquired competencies. It is suitable for employment-based programs under an approved contract of training.</w:t>
            </w:r>
          </w:p>
        </w:tc>
      </w:tr>
    </w:tbl>
    <w:p w:rsidR="00000000" w:rsidRPr="00D53738" w:rsidP="00D53738">
      <w:pPr>
        <w:pStyle w:val="BodyText"/>
      </w:pPr>
    </w:p>
    <w:p w:rsidR="00000000" w:rsidRPr="00D53738" w:rsidP="00D53738">
      <w:pPr>
        <w:pStyle w:val="AllowPageBreak"/>
      </w:pPr>
    </w:p>
    <w:p w:rsidR="00000000" w:rsidRPr="00D53738" w:rsidP="00D53738">
      <w:pPr>
        <w:pStyle w:val="Heading1"/>
      </w:pPr>
      <w:bookmarkStart w:id="4" w:name="O_465104"/>
      <w:bookmarkEnd w:id="4"/>
      <w:r w:rsidRPr="00D53738">
        <w:t>Licensing/Regulatory Information</w:t>
      </w:r>
    </w:p>
    <w:tbl>
      <w:tblPr>
        <w:tblW w:w="0" w:type="auto"/>
        <w:tblLayout w:type="fixed"/>
        <w:tblCellMar>
          <w:left w:w="62" w:type="dxa"/>
          <w:right w:w="62" w:type="dxa"/>
        </w:tblCellMar>
        <w:tblLook w:val="0000"/>
      </w:tblPr>
      <w:tblGrid>
        <w:gridCol w:w="2700"/>
        <w:gridCol w:w="5760"/>
      </w:tblGrid>
      <w:tr w:rsidTr="001B7E2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rPr>
                <w:rStyle w:val="SpecialBold"/>
              </w:rPr>
              <w:t xml:space="preserve">3) </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t>The skil</w:t>
            </w:r>
            <w:r w:rsidRPr="00D53738">
              <w:t>ls and knowledge described in this unit may require a licence/registration to practice in the work place subject to regulations for undertaking of electrical work. Practice in workplace and during training is also subject to regulations directly related to</w:t>
            </w:r>
            <w:r w:rsidRPr="00D53738">
              <w:t xml:space="preserve"> Occupational Health and Safety, electricity/telecommunications/gas/water industry safety and compliance, industrial relations, environmental protection, anti discrimination and training. </w:t>
            </w:r>
            <w:r w:rsidRPr="00D53738">
              <w:t>Commonwealth, State/Territory or Local Government legislation and re</w:t>
            </w:r>
            <w:r w:rsidRPr="00D53738">
              <w:t>gulations may exist that limits the age of operating certain equipment.</w:t>
            </w:r>
          </w:p>
        </w:tc>
      </w:tr>
    </w:tbl>
    <w:p w:rsidR="00000000" w:rsidRPr="00D53738" w:rsidP="00D53738">
      <w:pPr>
        <w:pStyle w:val="BodyText"/>
      </w:pPr>
    </w:p>
    <w:p w:rsidR="00000000" w:rsidRPr="00D53738" w:rsidP="00D53738">
      <w:pPr>
        <w:pStyle w:val="AllowPageBreak"/>
      </w:pPr>
    </w:p>
    <w:p w:rsidR="00000000" w:rsidRPr="00D53738" w:rsidP="00D53738">
      <w:pPr>
        <w:pStyle w:val="Heading1"/>
      </w:pPr>
      <w:bookmarkStart w:id="5" w:name="O_465105"/>
      <w:bookmarkEnd w:id="5"/>
      <w:r w:rsidRPr="00D53738">
        <w:t>Pre-Requisites</w:t>
      </w:r>
    </w:p>
    <w:tbl>
      <w:tblPr>
        <w:tblW w:w="0" w:type="auto"/>
        <w:tblLayout w:type="fixed"/>
        <w:tblCellMar>
          <w:left w:w="62" w:type="dxa"/>
          <w:right w:w="62" w:type="dxa"/>
        </w:tblCellMar>
        <w:tblLook w:val="0000"/>
      </w:tblPr>
      <w:tblGrid>
        <w:gridCol w:w="2700"/>
        <w:gridCol w:w="2070"/>
        <w:gridCol w:w="3690"/>
      </w:tblGrid>
      <w:tr w:rsidTr="001B7E2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rPr>
                <w:rStyle w:val="SpecialBold"/>
              </w:rPr>
              <w:t xml:space="preserve">4) </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rPr>
                <w:rStyle w:val="SpecialBold"/>
              </w:rPr>
              <w:t>4.1)</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t>Granting of competency in this unit shall be made only after competency in the following unit(s) has/have been confirmed.</w:t>
            </w:r>
          </w:p>
          <w:p w:rsidR="00000000" w:rsidRPr="00D53738" w:rsidP="00D53738">
            <w:pPr>
              <w:pStyle w:val="BodyText"/>
            </w:pPr>
            <w:r w:rsidRPr="00D53738">
              <w:t xml:space="preserve">Where pre-requisite pathways have been identified. All competencies in the Common Unit Group must be have been completed plus all the </w:t>
            </w:r>
            <w:r w:rsidRPr="00D53738">
              <w:t>competencies in one (1) of the identified Pathway Unit Group(s):</w:t>
            </w:r>
          </w:p>
          <w:p w:rsidR="00000000" w:rsidP="00D53738">
            <w:pPr>
              <w:pStyle w:val="BodyText"/>
              <w:rPr>
                <w:lang w:val="en-NZ"/>
              </w:rPr>
            </w:pPr>
            <w:r w:rsidRPr="00D53738">
              <w:t>Common Unit Group</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Unit Code</w:t>
            </w:r>
            <w:r w:rsidRPr="00D53738">
              <w:tab/>
            </w:r>
          </w:p>
        </w:tc>
        <w:tc>
          <w:tcPr>
            <w:tcW w:w="3690" w:type="dxa"/>
            <w:tcBorders>
              <w:top w:val="nil"/>
              <w:left w:val="nil"/>
              <w:bottom w:val="nil"/>
              <w:right w:val="nil"/>
            </w:tcBorders>
            <w:tcMar>
              <w:top w:w="0" w:type="dxa"/>
              <w:left w:w="62" w:type="dxa"/>
              <w:bottom w:w="0" w:type="dxa"/>
              <w:right w:w="62" w:type="dxa"/>
            </w:tcMar>
            <w:vAlign w:val="bottom"/>
          </w:tcPr>
          <w:p w:rsidR="00000000" w:rsidP="00D53738">
            <w:pPr>
              <w:pStyle w:val="BodyText"/>
              <w:rPr>
                <w:lang w:val="en-NZ"/>
              </w:rPr>
            </w:pPr>
            <w:r w:rsidRPr="00D53738">
              <w:t>Unit Title</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UEENEED104A</w:t>
            </w:r>
          </w:p>
        </w:tc>
        <w:tc>
          <w:tcPr>
            <w:tcW w:w="3690" w:type="dxa"/>
            <w:tcBorders>
              <w:top w:val="nil"/>
              <w:left w:val="nil"/>
              <w:bottom w:val="nil"/>
              <w:right w:val="nil"/>
            </w:tcBorders>
            <w:tcMar>
              <w:top w:w="0" w:type="dxa"/>
              <w:left w:w="62" w:type="dxa"/>
              <w:bottom w:w="0" w:type="dxa"/>
              <w:right w:w="62" w:type="dxa"/>
            </w:tcMar>
            <w:vAlign w:val="bottom"/>
          </w:tcPr>
          <w:p w:rsidR="00000000" w:rsidP="00D53738">
            <w:pPr>
              <w:pStyle w:val="BodyText"/>
              <w:rPr>
                <w:lang w:val="en-NZ"/>
              </w:rPr>
            </w:pPr>
            <w:r w:rsidRPr="00D53738">
              <w:t>Use engineering applications software on personal computers</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Apply Occupational Health and Safety regulations, codes and practices in the workplace</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UEENEEE102A</w:t>
            </w:r>
          </w:p>
        </w:tc>
        <w:tc>
          <w:tcPr>
            <w:tcW w:w="369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Fabricate, assemble and dismantle utilities industry components</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Solve problems in d.c. Circuits</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Use drawings, diagrams, schedules, standards, codes and specifications</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UEENEEE124A</w:t>
            </w:r>
          </w:p>
        </w:tc>
        <w:tc>
          <w:tcPr>
            <w:tcW w:w="369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Compile and produce an energy sector detailed report</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UEENEEE125A</w:t>
            </w:r>
          </w:p>
        </w:tc>
        <w:tc>
          <w:tcPr>
            <w:tcW w:w="369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Provide engineering solutions for problems in complex multiple path circuits problems</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UEENEEE126A</w:t>
            </w:r>
          </w:p>
        </w:tc>
        <w:tc>
          <w:tcPr>
            <w:tcW w:w="369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Prov</w:t>
            </w:r>
            <w:r w:rsidRPr="00D53738">
              <w:t xml:space="preserve">ide solutions to basic </w:t>
            </w:r>
            <w:r w:rsidRPr="00D53738">
              <w:t>engineering computational problems</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Solve problems in electromagnetic devices and related circuits</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Solve problems in electromagnetic devices and related circuits</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UEENEEG149A</w:t>
            </w:r>
          </w:p>
        </w:tc>
        <w:tc>
          <w:tcPr>
            <w:tcW w:w="369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Provide engineering solutions to problems in complex polyphase power circuits</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Apply sustainable energy and environmental procedures</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 xml:space="preserve">Working safely near live electrical apparatus </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Implement and monitor the power sys</w:t>
            </w:r>
            <w:r w:rsidRPr="00D53738">
              <w:t>tem organisational OHS policies, procedures and programs</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Implement and monitor the power system environmental and sustainable energy management policies and procedures</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UETTDRSO32A</w:t>
            </w:r>
          </w:p>
        </w:tc>
        <w:tc>
          <w:tcPr>
            <w:tcW w:w="369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Manage power systems network faults</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UETTDRSO33A</w:t>
            </w:r>
          </w:p>
        </w:tc>
        <w:tc>
          <w:tcPr>
            <w:tcW w:w="369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Manage power systems critical events</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UETTDRSO41A</w:t>
            </w:r>
          </w:p>
        </w:tc>
        <w:tc>
          <w:tcPr>
            <w:tcW w:w="369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Manage power systems transmission networks</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UETTDRSO48A</w:t>
            </w:r>
          </w:p>
        </w:tc>
        <w:tc>
          <w:tcPr>
            <w:tcW w:w="369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Respond to discrete and interdependent protection operations</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UETTDRSO49A</w:t>
            </w:r>
          </w:p>
        </w:tc>
        <w:tc>
          <w:tcPr>
            <w:tcW w:w="369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Coordinate power system operations in a regulated energy market</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UETTDRSO50A</w:t>
            </w:r>
          </w:p>
        </w:tc>
        <w:tc>
          <w:tcPr>
            <w:tcW w:w="369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Respond to complex power system protection operations</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Generation/Distribution and Subtransmission Pathway Unit Group</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UETTDRSO34A</w:t>
            </w:r>
          </w:p>
        </w:tc>
        <w:tc>
          <w:tcPr>
            <w:tcW w:w="369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Control power systems generating plant</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UETTDRSO37A</w:t>
            </w:r>
          </w:p>
        </w:tc>
        <w:tc>
          <w:tcPr>
            <w:tcW w:w="369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Develop high voltage distribution and subtransmission switching programs</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UETTDRSO40A</w:t>
            </w:r>
          </w:p>
        </w:tc>
        <w:tc>
          <w:tcPr>
            <w:tcW w:w="369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Coordinate high voltage distribution and subtransmission networks</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Generation/Transmission Pathway Unit Group</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UETTDRSO34A</w:t>
            </w:r>
          </w:p>
        </w:tc>
        <w:tc>
          <w:tcPr>
            <w:tcW w:w="369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Control power systems generating plant</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UETTDRSO38A</w:t>
            </w:r>
          </w:p>
        </w:tc>
        <w:tc>
          <w:tcPr>
            <w:tcW w:w="369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Develop and evaluate power systems transmission switching programs</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UETTDRSO47A</w:t>
            </w:r>
          </w:p>
        </w:tc>
        <w:tc>
          <w:tcPr>
            <w:tcW w:w="369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Coordinate high voltage transmission network</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Distribution and Subtransmission Pathway Unit Group</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UETTDRSO35A</w:t>
            </w:r>
          </w:p>
        </w:tc>
        <w:tc>
          <w:tcPr>
            <w:tcW w:w="369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Manage high voltage distribution and subtransmission network demand</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UETTDRSO37A</w:t>
            </w:r>
          </w:p>
        </w:tc>
        <w:tc>
          <w:tcPr>
            <w:tcW w:w="3690" w:type="dxa"/>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Develop high voltage distribution and subtransmission switching programs</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UETTDRSO40A</w:t>
            </w:r>
          </w:p>
        </w:tc>
        <w:tc>
          <w:tcPr>
            <w:tcW w:w="369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Coordinate high voltage distribution and subtransmission networks</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D53738">
            <w:pPr>
              <w:pStyle w:val="BodyText"/>
              <w:rPr>
                <w:lang w:val="en-NZ"/>
              </w:rPr>
            </w:pPr>
            <w:r w:rsidRPr="00D53738">
              <w:t>Transmission Pathway Unit Group</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UETTDRSO38A</w:t>
            </w:r>
          </w:p>
        </w:tc>
        <w:tc>
          <w:tcPr>
            <w:tcW w:w="369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Develop and evaluate power systems transmission switching programs</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UETTDRSO41A</w:t>
            </w:r>
          </w:p>
        </w:tc>
        <w:tc>
          <w:tcPr>
            <w:tcW w:w="369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Manage power systems transmission networks</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UETTDRSO42A</w:t>
            </w:r>
          </w:p>
        </w:tc>
        <w:tc>
          <w:tcPr>
            <w:tcW w:w="369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Manage power systems transmission network demand</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UETTDRSO47A</w:t>
            </w:r>
          </w:p>
        </w:tc>
        <w:tc>
          <w:tcPr>
            <w:tcW w:w="369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t>Coordinate high voltage transmission network</w:t>
            </w:r>
          </w:p>
        </w:tc>
      </w:tr>
    </w:tbl>
    <w:p w:rsidR="00000000" w:rsidRPr="00D53738" w:rsidP="00D5373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B7E2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rPr>
                <w:rStyle w:val="SpecialBold"/>
              </w:rPr>
              <w:t xml:space="preserve">4.2) </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 xml:space="preserve">Participants are best equipped to achieve this unit if they have reading, writing and numeracy skills indicated by the following scales. Description </w:t>
            </w:r>
            <w:r w:rsidRPr="00D53738">
              <w:t>of each scale is given in Volume 2, Part 3 “Literacy and Numeracy”</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Reading</w:t>
            </w:r>
          </w:p>
        </w:tc>
        <w:tc>
          <w:tcPr>
            <w:tcW w:w="81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5</w:t>
            </w:r>
          </w:p>
        </w:tc>
        <w:tc>
          <w:tcPr>
            <w:tcW w:w="99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Writing</w:t>
            </w: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5</w:t>
            </w:r>
          </w:p>
        </w:tc>
        <w:tc>
          <w:tcPr>
            <w:tcW w:w="12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Numeracy</w:t>
            </w:r>
          </w:p>
        </w:tc>
        <w:tc>
          <w:tcPr>
            <w:tcW w:w="72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t>5</w:t>
            </w:r>
          </w:p>
        </w:tc>
      </w:tr>
    </w:tbl>
    <w:p w:rsidR="00000000" w:rsidRPr="00D53738" w:rsidP="00D53738">
      <w:pPr>
        <w:pStyle w:val="BodyText"/>
      </w:pPr>
    </w:p>
    <w:p w:rsidR="00000000" w:rsidRPr="00D53738" w:rsidP="00D53738">
      <w:pPr>
        <w:pStyle w:val="AllowPageBreak"/>
      </w:pPr>
    </w:p>
    <w:p w:rsidR="00000000" w:rsidRPr="00D53738" w:rsidP="00D53738">
      <w:pPr>
        <w:pStyle w:val="Heading1"/>
      </w:pPr>
      <w:bookmarkStart w:id="6" w:name="O_465101"/>
      <w:bookmarkEnd w:id="6"/>
      <w:r w:rsidRPr="00D53738">
        <w:t>Employability Skills Information</w:t>
      </w:r>
    </w:p>
    <w:tbl>
      <w:tblPr>
        <w:tblW w:w="0" w:type="auto"/>
        <w:tblLayout w:type="fixed"/>
        <w:tblCellMar>
          <w:left w:w="62" w:type="dxa"/>
          <w:right w:w="62" w:type="dxa"/>
        </w:tblCellMar>
        <w:tblLook w:val="0000"/>
      </w:tblPr>
      <w:tblGrid>
        <w:gridCol w:w="2700"/>
        <w:gridCol w:w="5760"/>
      </w:tblGrid>
      <w:tr w:rsidTr="001B7E2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rPr>
                <w:rStyle w:val="SpecialBold"/>
              </w:rPr>
              <w:t xml:space="preserve">5) </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53738">
              <w:t>requirements.</w:t>
            </w:r>
          </w:p>
        </w:tc>
      </w:tr>
    </w:tbl>
    <w:p w:rsidR="00000000" w:rsidRPr="00D53738" w:rsidP="00D53738">
      <w:pPr>
        <w:pStyle w:val="BodyText"/>
      </w:pPr>
    </w:p>
    <w:p w:rsidR="00000000" w:rsidRPr="00D53738" w:rsidP="00D53738">
      <w:pPr>
        <w:pStyle w:val="AllowPageBreak"/>
      </w:pPr>
    </w:p>
    <w:p w:rsidR="00000000" w:rsidRPr="00D53738" w:rsidP="00D53738">
      <w:pPr>
        <w:pStyle w:val="Heading1"/>
      </w:pPr>
      <w:bookmarkStart w:id="7" w:name="O_465100"/>
      <w:bookmarkEnd w:id="7"/>
      <w:r w:rsidRPr="00D53738">
        <w:t>Elements and Performance Criteria Pre-Content</w:t>
      </w:r>
    </w:p>
    <w:tbl>
      <w:tblPr>
        <w:tblW w:w="0" w:type="auto"/>
        <w:tblLayout w:type="fixed"/>
        <w:tblCellMar>
          <w:left w:w="62" w:type="dxa"/>
          <w:right w:w="62" w:type="dxa"/>
        </w:tblCellMar>
        <w:tblLook w:val="0000"/>
      </w:tblPr>
      <w:tblGrid>
        <w:gridCol w:w="2700"/>
        <w:gridCol w:w="5760"/>
      </w:tblGrid>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rPr>
                <w:rStyle w:val="SpecialBold"/>
              </w:rPr>
              <w:t>6)</w:t>
            </w:r>
            <w:r w:rsidRPr="00D5373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t>Performance Criteria describe the required performance needed to demonstrate achievement of the element. Assessment of performance is to be consistent with the Evidence Guide.</w:t>
            </w:r>
          </w:p>
        </w:tc>
      </w:tr>
    </w:tbl>
    <w:p w:rsidR="00000000" w:rsidRPr="00D53738" w:rsidP="00D53738">
      <w:pPr>
        <w:pStyle w:val="BodyText"/>
      </w:pPr>
    </w:p>
    <w:p w:rsidR="00000000" w:rsidRPr="00D53738" w:rsidP="00D53738">
      <w:pPr>
        <w:pStyle w:val="AllowPageBreak"/>
      </w:pPr>
    </w:p>
    <w:p w:rsidR="00000000" w:rsidRPr="00D53738" w:rsidP="00D53738">
      <w:pPr>
        <w:pStyle w:val="Heading1"/>
      </w:pPr>
      <w:bookmarkStart w:id="8" w:name="O_465099"/>
      <w:bookmarkEnd w:id="8"/>
      <w:r w:rsidRPr="00D5373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B7E2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rPr>
                <w:rStyle w:val="SpecialBold"/>
              </w:rPr>
              <w:t>PERFORMANCE CRITER</w:t>
            </w:r>
            <w:r w:rsidRPr="00D53738">
              <w:rPr>
                <w:rStyle w:val="SpecialBold"/>
              </w:rPr>
              <w:t>IA</w:t>
            </w:r>
          </w:p>
        </w:tc>
      </w:tr>
      <w:tr w:rsidTr="001B7E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1</w:t>
            </w:r>
          </w:p>
        </w:tc>
        <w:tc>
          <w:tcPr>
            <w:tcW w:w="2296"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Plan for the development of crisis management plans</w:t>
            </w: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1.1</w:t>
            </w:r>
          </w:p>
        </w:tc>
        <w:tc>
          <w:tcPr>
            <w:tcW w:w="48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OHS practices/procedures and environmental and sustainable energy procedures which may influence the development of crisis management plans systems are reviewed and determined.</w:t>
            </w:r>
          </w:p>
        </w:tc>
      </w:tr>
      <w:tr w:rsidTr="001B7E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1.2</w:t>
            </w:r>
          </w:p>
        </w:tc>
        <w:tc>
          <w:tcPr>
            <w:tcW w:w="48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Purpose of the development of crisis management plans is established after data is analysed and expected outcomes of the work are confirmed with the appropriate personnel.</w:t>
            </w:r>
          </w:p>
        </w:tc>
      </w:tr>
      <w:tr w:rsidTr="001B7E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1.3</w:t>
            </w:r>
          </w:p>
        </w:tc>
        <w:tc>
          <w:tcPr>
            <w:tcW w:w="48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 xml:space="preserve">Organisational established procedures on policies and specifications for the </w:t>
            </w:r>
            <w:r w:rsidRPr="00D53738">
              <w:t>development of crisis management plans are obtained or established with the appropriate personnel.</w:t>
            </w:r>
          </w:p>
        </w:tc>
      </w:tr>
      <w:tr w:rsidTr="001B7E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1.4</w:t>
            </w:r>
          </w:p>
        </w:tc>
        <w:tc>
          <w:tcPr>
            <w:tcW w:w="48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Testing procedures are discussed with/directed to the appropriate personnel in order to ascertain the project brief.</w:t>
            </w:r>
          </w:p>
        </w:tc>
      </w:tr>
      <w:tr w:rsidTr="001B7E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1.5</w:t>
            </w:r>
          </w:p>
        </w:tc>
        <w:tc>
          <w:tcPr>
            <w:tcW w:w="48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Testing parameters are established from organisational established procedures on policies and specifications.</w:t>
            </w:r>
          </w:p>
        </w:tc>
      </w:tr>
      <w:tr w:rsidTr="001B7E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1.6</w:t>
            </w:r>
          </w:p>
        </w:tc>
        <w:tc>
          <w:tcPr>
            <w:tcW w:w="48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Equipment/tools and personal protective equipment are selected based on specified Performance Criteria and established procedures.</w:t>
            </w:r>
          </w:p>
        </w:tc>
      </w:tr>
      <w:tr w:rsidTr="001B7E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1.7</w:t>
            </w:r>
          </w:p>
        </w:tc>
        <w:tc>
          <w:tcPr>
            <w:tcW w:w="48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W</w:t>
            </w:r>
            <w:r w:rsidRPr="00D53738">
              <w:t>ork roles and tasks are allocated according to requirements and individuals’ competencies.</w:t>
            </w:r>
          </w:p>
        </w:tc>
      </w:tr>
      <w:tr w:rsidTr="001B7E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1.8</w:t>
            </w:r>
          </w:p>
        </w:tc>
        <w:tc>
          <w:tcPr>
            <w:tcW w:w="48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 xml:space="preserve">Work is prioritised and sequenced for the most efficient/effective outcome, completed within an acceptable timeframe to a quality standard </w:t>
            </w:r>
            <w:r w:rsidRPr="00D53738">
              <w:t>and in accordance with established procedures.</w:t>
            </w:r>
          </w:p>
        </w:tc>
      </w:tr>
      <w:tr w:rsidTr="001B7E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1.9</w:t>
            </w:r>
          </w:p>
        </w:tc>
        <w:tc>
          <w:tcPr>
            <w:tcW w:w="48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Liaison and communication issues with other/authorised personnel, authorities, clients and land owners are resolved and activities coordinated to carry out work.</w:t>
            </w:r>
          </w:p>
        </w:tc>
      </w:tr>
      <w:tr w:rsidTr="001B7E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1.10</w:t>
            </w:r>
          </w:p>
        </w:tc>
        <w:tc>
          <w:tcPr>
            <w:tcW w:w="48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Risk control measures are identi</w:t>
            </w:r>
            <w:r w:rsidRPr="00D53738">
              <w:t>fied, prioritised and evaluated against the work schedule.</w:t>
            </w:r>
          </w:p>
        </w:tc>
      </w:tr>
      <w:tr w:rsidTr="001B7E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1.11</w:t>
            </w:r>
          </w:p>
        </w:tc>
        <w:tc>
          <w:tcPr>
            <w:tcW w:w="48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Relevant work permits are secured to coordinate the performance of work according to requirements and/or established procedures.</w:t>
            </w:r>
          </w:p>
        </w:tc>
      </w:tr>
      <w:tr w:rsidTr="001B7E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2</w:t>
            </w:r>
          </w:p>
        </w:tc>
        <w:tc>
          <w:tcPr>
            <w:tcW w:w="2296" w:type="dxa"/>
            <w:vMerge w:val="restart"/>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Carry out the development of crisis management plans</w:t>
            </w: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2.1</w:t>
            </w:r>
          </w:p>
        </w:tc>
        <w:tc>
          <w:tcPr>
            <w:tcW w:w="48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Circuit/systems modelling is used to evaluate alternative proposals as per established procedures.</w:t>
            </w:r>
          </w:p>
        </w:tc>
      </w:tr>
      <w:tr w:rsidTr="001B7E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2.2</w:t>
            </w:r>
          </w:p>
        </w:tc>
        <w:tc>
          <w:tcPr>
            <w:tcW w:w="48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OHS and sustainable energy principles, functionality and practices to reduce the incidents of accidents and minimise waste are incorporated into the p</w:t>
            </w:r>
            <w:r w:rsidRPr="00D53738">
              <w:t>roject in accordance with requirements and/or established procedures.</w:t>
            </w:r>
          </w:p>
        </w:tc>
      </w:tr>
      <w:tr w:rsidTr="001B7E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2.3</w:t>
            </w:r>
          </w:p>
        </w:tc>
        <w:tc>
          <w:tcPr>
            <w:tcW w:w="48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Development of crisis management plans decisions are made on the basis of safety and effective outcomes according to requirements and/or established procedures.</w:t>
            </w:r>
          </w:p>
        </w:tc>
      </w:tr>
      <w:tr w:rsidTr="001B7E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2.4</w:t>
            </w:r>
          </w:p>
        </w:tc>
        <w:tc>
          <w:tcPr>
            <w:tcW w:w="48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Mathematical and/or engineering models of the development are used to analyse the effectiveness of the finished project as per requirements and established procedures.</w:t>
            </w:r>
          </w:p>
        </w:tc>
      </w:tr>
      <w:tr w:rsidTr="001B7E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2.5</w:t>
            </w:r>
          </w:p>
        </w:tc>
        <w:tc>
          <w:tcPr>
            <w:tcW w:w="48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Technical advice is given regarding potential hazards, safety risks and control m</w:t>
            </w:r>
            <w:r w:rsidRPr="00D53738">
              <w:t>easures so that monitoring and preventative action can be undertaken and/or appropriate authorities consulted, where necessary, in accordance with requirements and established procedures.</w:t>
            </w:r>
          </w:p>
        </w:tc>
      </w:tr>
      <w:tr w:rsidTr="001B7E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2.6</w:t>
            </w:r>
          </w:p>
        </w:tc>
        <w:tc>
          <w:tcPr>
            <w:tcW w:w="48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Essential knowledge and associated skills are applied to anal</w:t>
            </w:r>
            <w:r w:rsidRPr="00D53738">
              <w:t>yse specific data and compare it with compliance specifications to ensure completion of the project within an agreed timeframe according to requirements.</w:t>
            </w:r>
          </w:p>
        </w:tc>
      </w:tr>
      <w:tr w:rsidTr="001B7E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2.7</w:t>
            </w:r>
          </w:p>
        </w:tc>
        <w:tc>
          <w:tcPr>
            <w:tcW w:w="48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Testing of crisis development plans is undertaken according to requirements and established pro</w:t>
            </w:r>
            <w:r w:rsidRPr="00D53738">
              <w:t>cedures.</w:t>
            </w:r>
          </w:p>
        </w:tc>
      </w:tr>
      <w:tr w:rsidTr="001B7E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2.8</w:t>
            </w:r>
          </w:p>
        </w:tc>
        <w:tc>
          <w:tcPr>
            <w:tcW w:w="48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Work teams/groups are arranged/coordinated/evaluated to ensure planned goals are met according to established procedures.</w:t>
            </w:r>
          </w:p>
        </w:tc>
      </w:tr>
      <w:tr w:rsidTr="001B7E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2.9</w:t>
            </w:r>
          </w:p>
        </w:tc>
        <w:tc>
          <w:tcPr>
            <w:tcW w:w="48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Solutions to non-routine problems ar</w:t>
            </w:r>
            <w:r w:rsidRPr="00D53738">
              <w:t>e identified and actioned, using acquired essential knowledge and associated skills, according to requirements.</w:t>
            </w:r>
          </w:p>
        </w:tc>
      </w:tr>
      <w:tr w:rsidTr="001B7E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2.10</w:t>
            </w:r>
          </w:p>
        </w:tc>
        <w:tc>
          <w:tcPr>
            <w:tcW w:w="48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Quality of work is monitored against personal performance agreement and/or established organisational and professional standards.</w:t>
            </w:r>
          </w:p>
        </w:tc>
      </w:tr>
      <w:tr w:rsidTr="001B7E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2.1</w:t>
            </w:r>
            <w:r w:rsidRPr="00D53738">
              <w:t>1</w:t>
            </w:r>
          </w:p>
        </w:tc>
        <w:tc>
          <w:tcPr>
            <w:tcW w:w="48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Strategic plans are developed incorporating organisation initiatives as per established procedures.</w:t>
            </w:r>
          </w:p>
        </w:tc>
      </w:tr>
      <w:tr w:rsidTr="001B7E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3</w:t>
            </w:r>
          </w:p>
        </w:tc>
        <w:tc>
          <w:tcPr>
            <w:tcW w:w="2296"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Complete the development of crisis management plans</w:t>
            </w: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3.1</w:t>
            </w:r>
          </w:p>
        </w:tc>
        <w:tc>
          <w:tcPr>
            <w:tcW w:w="48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Final review of the crisis management plans are undertaken to ensure they comply with all requi</w:t>
            </w:r>
            <w:r w:rsidRPr="00D53738">
              <w:t>rements and include all specifications and documentations needed to complete the project.</w:t>
            </w:r>
          </w:p>
        </w:tc>
      </w:tr>
      <w:tr w:rsidTr="001B7E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3.2</w:t>
            </w:r>
          </w:p>
        </w:tc>
        <w:tc>
          <w:tcPr>
            <w:tcW w:w="48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Appropriate personnel are notified of completion and reports and/or completion documents are finalised/commissioned.</w:t>
            </w:r>
          </w:p>
        </w:tc>
      </w:tr>
      <w:tr w:rsidTr="001B7E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3.3</w:t>
            </w:r>
          </w:p>
        </w:tc>
        <w:tc>
          <w:tcPr>
            <w:tcW w:w="48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Reports and/or completion documents are submitted to relevant personnel/organisations for approval and, where applicable, statutory or regulatory approval.</w:t>
            </w:r>
          </w:p>
        </w:tc>
      </w:tr>
      <w:tr w:rsidTr="001B7E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t>3.4</w:t>
            </w:r>
          </w:p>
        </w:tc>
        <w:tc>
          <w:tcPr>
            <w:tcW w:w="486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t xml:space="preserve">Approved copies of the developed crisis management plan documents are issues and records are </w:t>
            </w:r>
            <w:r w:rsidRPr="00D53738">
              <w:t>updated in accordance with established procedures.</w:t>
            </w:r>
          </w:p>
        </w:tc>
      </w:tr>
    </w:tbl>
    <w:p w:rsidR="00000000" w:rsidRPr="00D53738" w:rsidP="00D53738">
      <w:pPr>
        <w:pStyle w:val="BodyText"/>
      </w:pPr>
    </w:p>
    <w:p w:rsidR="00000000" w:rsidRPr="00D53738" w:rsidP="00D53738">
      <w:pPr>
        <w:pStyle w:val="AllowPageBreak"/>
      </w:pPr>
    </w:p>
    <w:p w:rsidR="00000000" w:rsidRPr="00D53738" w:rsidP="00D53738">
      <w:pPr>
        <w:pStyle w:val="Heading1"/>
      </w:pPr>
      <w:bookmarkStart w:id="9" w:name="O_465107"/>
      <w:bookmarkEnd w:id="9"/>
      <w:r w:rsidRPr="00D53738">
        <w:t>Required Skills and Knowledge</w:t>
      </w:r>
    </w:p>
    <w:tbl>
      <w:tblPr>
        <w:tblW w:w="0" w:type="auto"/>
        <w:tblLayout w:type="fixed"/>
        <w:tblCellMar>
          <w:left w:w="62" w:type="dxa"/>
          <w:right w:w="62" w:type="dxa"/>
        </w:tblCellMar>
        <w:tblLook w:val="0000"/>
      </w:tblPr>
      <w:tblGrid>
        <w:gridCol w:w="8460"/>
      </w:tblGrid>
      <w:tr w:rsidTr="001B7E2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rPr>
                <w:rStyle w:val="SpecialBold"/>
              </w:rPr>
              <w:t>REQUIRED SKILLS AND KNOWLEDGE</w:t>
            </w:r>
          </w:p>
        </w:tc>
      </w:tr>
      <w:tr w:rsidTr="001B7E2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rPr>
                <w:rStyle w:val="SpecialBold"/>
              </w:rPr>
              <w:t>8)</w:t>
            </w:r>
            <w:r w:rsidRPr="00D53738">
              <w:t xml:space="preserve"> Essential Knowledge and Associated Skills (EKAS): This describes the essential skills and knowledge </w:t>
            </w:r>
            <w:r w:rsidRPr="00D53738">
              <w:t>and their level, required for this unit.</w:t>
            </w:r>
          </w:p>
          <w:p w:rsidR="00000000" w:rsidRPr="00D53738" w:rsidP="00D53738">
            <w:pPr>
              <w:pStyle w:val="BodyText"/>
            </w:pPr>
            <w:r w:rsidRPr="00D53738">
              <w:t xml:space="preserve">Evidence shall show that knowledge has been acquired of developing crisis management plans. </w:t>
            </w:r>
          </w:p>
          <w:p w:rsidR="00000000" w:rsidRPr="00D53738" w:rsidP="00D53738">
            <w:pPr>
              <w:pStyle w:val="BodyText"/>
            </w:pPr>
            <w:r w:rsidRPr="00D53738">
              <w:t>All knowledge and skills detailed in this unit should be contextualised to current industry practices and technologies.</w:t>
            </w:r>
          </w:p>
          <w:p w:rsidR="00000000" w:rsidRPr="00D53738" w:rsidP="00D53738">
            <w:pPr>
              <w:pStyle w:val="BodyText"/>
            </w:pPr>
            <w:r w:rsidRPr="00D53738">
              <w:t>KS</w:t>
            </w:r>
            <w:r w:rsidRPr="00D53738">
              <w:t>01-TSO44A</w:t>
            </w:r>
            <w:r w:rsidRPr="00D53738">
              <w:tab/>
              <w:t>Crisis power systems management plans</w:t>
            </w:r>
          </w:p>
          <w:p w:rsidR="00000000" w:rsidRPr="00D53738" w:rsidP="00D53738">
            <w:pPr>
              <w:pStyle w:val="BodyText"/>
            </w:pPr>
            <w:r w:rsidRPr="00D53738">
              <w:t xml:space="preserve">Evidence shall show an understanding of crisis power systems management plans to an extent indicated by the following aspects: </w:t>
            </w:r>
          </w:p>
          <w:p w:rsidR="00000000" w:rsidRPr="00D53738" w:rsidP="00D53738">
            <w:pPr>
              <w:pStyle w:val="BodyText"/>
            </w:pPr>
            <w:r w:rsidRPr="00D53738">
              <w:t>T1</w:t>
            </w:r>
            <w:r w:rsidRPr="00D53738">
              <w:tab/>
              <w:t>Enterprise specific procedures and work practices relating to critical events</w:t>
            </w:r>
            <w:r w:rsidRPr="00D53738">
              <w:t xml:space="preserve"> encompassing:</w:t>
            </w:r>
          </w:p>
          <w:p w:rsidR="00000000" w:rsidRPr="00D53738" w:rsidP="00D53738">
            <w:pPr>
              <w:pStyle w:val="ListBullet"/>
            </w:pPr>
            <w:r w:rsidRPr="00D53738">
              <w:t>Commonwealth, State/Territory and local government legislation, supply authority regulations Standards, codes, and or enterprise requirements applicable to the procedures and work practices relating to critical events</w:t>
            </w:r>
          </w:p>
          <w:p w:rsidR="00000000" w:rsidRPr="00D53738" w:rsidP="00D53738">
            <w:pPr>
              <w:pStyle w:val="ListBullet"/>
            </w:pPr>
            <w:r w:rsidRPr="00D53738">
              <w:t>Requirements for the u</w:t>
            </w:r>
            <w:r w:rsidRPr="00D53738">
              <w:t>se of operational manuals, system diagrams/plans and drawings</w:t>
            </w:r>
          </w:p>
          <w:p w:rsidR="00000000" w:rsidRPr="00D53738" w:rsidP="00D53738">
            <w:pPr>
              <w:pStyle w:val="ListBullet"/>
            </w:pPr>
            <w:r w:rsidRPr="00D53738">
              <w:t>Identify and interpret enterprise operating procedures</w:t>
            </w:r>
          </w:p>
          <w:p w:rsidR="00000000" w:rsidRPr="00D53738" w:rsidP="00D53738">
            <w:pPr>
              <w:pStyle w:val="ListBullet"/>
            </w:pPr>
            <w:r w:rsidRPr="00D53738">
              <w:t>Techniques in the applying enterprise operating procedures.</w:t>
            </w:r>
          </w:p>
          <w:p w:rsidR="00000000" w:rsidRPr="00D53738" w:rsidP="00D53738">
            <w:pPr>
              <w:pStyle w:val="BodyText"/>
            </w:pPr>
            <w:r w:rsidRPr="00D53738">
              <w:t>T2</w:t>
            </w:r>
            <w:r w:rsidRPr="00D53738">
              <w:tab/>
              <w:t>Methodology in analysing network event records encompassing:</w:t>
            </w:r>
          </w:p>
          <w:p w:rsidR="00000000" w:rsidRPr="00D53738" w:rsidP="00D53738">
            <w:pPr>
              <w:pStyle w:val="ListBullet"/>
            </w:pPr>
            <w:r w:rsidRPr="00D53738">
              <w:t xml:space="preserve">Commonwealth, </w:t>
            </w:r>
            <w:r w:rsidRPr="00D53738">
              <w:t>State/Territory and local government legislation, supply authority regulations Standards, codes, and or enterprise requirements applicable to the analysis of critical events</w:t>
            </w:r>
          </w:p>
          <w:p w:rsidR="00000000" w:rsidRPr="00D53738" w:rsidP="00D53738">
            <w:pPr>
              <w:pStyle w:val="ListBullet"/>
            </w:pPr>
            <w:r w:rsidRPr="00D53738">
              <w:t>Requirements for the use of critical event data, manuals, system diagrams/plans an</w:t>
            </w:r>
            <w:r w:rsidRPr="00D53738">
              <w:t>d drawings</w:t>
            </w:r>
          </w:p>
          <w:p w:rsidR="00000000" w:rsidRPr="00D53738" w:rsidP="00D53738">
            <w:pPr>
              <w:pStyle w:val="ListBullet"/>
            </w:pPr>
            <w:r w:rsidRPr="00D53738">
              <w:t>Sources of critical event data</w:t>
            </w:r>
          </w:p>
          <w:p w:rsidR="00000000" w:rsidRPr="00D53738" w:rsidP="00D53738">
            <w:pPr>
              <w:pStyle w:val="ListBullet"/>
            </w:pPr>
            <w:r w:rsidRPr="00D53738">
              <w:t>Analyse and assess network event records and relevant data - the use of event records and data to analyse and develop optimal network restoration strategies taking into account public and employee safety, enterprise reliability guidelines and resource avai</w:t>
            </w:r>
            <w:r w:rsidRPr="00D53738">
              <w:t>lability</w:t>
            </w:r>
          </w:p>
          <w:p w:rsidR="00000000" w:rsidRPr="00D53738" w:rsidP="00D53738">
            <w:pPr>
              <w:pStyle w:val="ListBullet"/>
            </w:pPr>
            <w:r w:rsidRPr="00D53738">
              <w:t>Safety policies, procedures and precautions related to critical events - Occupational Health and Safety hazards and precautions, identification of OHS hazards, assessing and controlling risks, types, selection, maintenance, storage and uses of per</w:t>
            </w:r>
            <w:r w:rsidRPr="00D53738">
              <w:t>sonnel protective equipment, checking integrity of the system for minimum disruption, effective communication methods and chain of command, emergency response and rescue including First Aid procedures.</w:t>
            </w:r>
          </w:p>
          <w:p w:rsidR="00000000" w:rsidRPr="00D53738" w:rsidP="00D53738">
            <w:pPr>
              <w:pStyle w:val="BodyText"/>
            </w:pPr>
            <w:r w:rsidRPr="00D53738">
              <w:t>T3</w:t>
            </w:r>
            <w:r w:rsidRPr="00D53738">
              <w:tab/>
              <w:t>Preparation of policies and procedures encompassing</w:t>
            </w:r>
            <w:r w:rsidRPr="00D53738">
              <w:t>:</w:t>
            </w:r>
          </w:p>
          <w:p w:rsidR="00000000" w:rsidRPr="00D53738" w:rsidP="00D53738">
            <w:pPr>
              <w:pStyle w:val="ListBullet"/>
            </w:pPr>
            <w:r w:rsidRPr="00D53738">
              <w:t>Commonwealth, State/Territory and local government legislation, supply authority regulations Standards, codes, and or enterprise requirements applicable to the preparation of policies and procedures</w:t>
            </w:r>
          </w:p>
          <w:p w:rsidR="00000000" w:rsidRPr="00D53738" w:rsidP="00D53738">
            <w:pPr>
              <w:pStyle w:val="ListBullet"/>
            </w:pPr>
            <w:r w:rsidRPr="00D53738">
              <w:t>Types of standard forms, documentation and data</w:t>
            </w:r>
          </w:p>
          <w:p w:rsidR="00000000" w:rsidRPr="00D53738" w:rsidP="00D53738">
            <w:pPr>
              <w:pStyle w:val="ListBullet"/>
            </w:pPr>
            <w:r w:rsidRPr="00D53738">
              <w:t>Techni</w:t>
            </w:r>
            <w:r w:rsidRPr="00D53738">
              <w:t>ques in disseminating policies and procedures</w:t>
            </w:r>
          </w:p>
          <w:p w:rsidR="00000000" w:rsidRPr="00D53738" w:rsidP="00D53738">
            <w:pPr>
              <w:pStyle w:val="ListBullet"/>
            </w:pPr>
            <w:r w:rsidRPr="00D53738">
              <w:t>Techniques in undertaking approval processes.</w:t>
            </w:r>
          </w:p>
        </w:tc>
      </w:tr>
    </w:tbl>
    <w:p w:rsidR="00000000" w:rsidRPr="00D53738" w:rsidP="00D53738">
      <w:pPr>
        <w:pStyle w:val="BodyText"/>
      </w:pPr>
    </w:p>
    <w:p w:rsidR="00000000" w:rsidRPr="00D53738" w:rsidP="00D53738">
      <w:pPr>
        <w:pStyle w:val="AllowPageBreak"/>
      </w:pPr>
    </w:p>
    <w:p w:rsidR="00000000" w:rsidRPr="00D53738" w:rsidP="00D53738">
      <w:pPr>
        <w:pStyle w:val="Heading1"/>
      </w:pPr>
      <w:bookmarkStart w:id="10" w:name="O_465102"/>
      <w:bookmarkEnd w:id="10"/>
      <w:r w:rsidRPr="00D53738">
        <w:t>Evidence Guide</w:t>
      </w:r>
    </w:p>
    <w:tbl>
      <w:tblPr>
        <w:tblW w:w="0" w:type="auto"/>
        <w:tblLayout w:type="fixed"/>
        <w:tblCellMar>
          <w:left w:w="62" w:type="dxa"/>
          <w:right w:w="62" w:type="dxa"/>
        </w:tblCellMar>
        <w:tblLook w:val="0000"/>
      </w:tblPr>
      <w:tblGrid>
        <w:gridCol w:w="8460"/>
      </w:tblGrid>
      <w:tr w:rsidTr="001B7E2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rPr>
                <w:rStyle w:val="SpecialBold"/>
              </w:rPr>
              <w:t>EVIDENCE GUIDE</w:t>
            </w:r>
          </w:p>
        </w:tc>
      </w:tr>
      <w:tr w:rsidTr="001B7E2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rPr>
                <w:rStyle w:val="SpecialBold"/>
              </w:rPr>
              <w:t>9)</w:t>
            </w:r>
            <w:r w:rsidRPr="00D53738">
              <w:t xml:space="preserve"> This provides essential advice for assessment of the competency standard unit and must be read </w:t>
            </w:r>
            <w:r w:rsidRPr="00D53738">
              <w:t>in conjunction with the Performance Criteria and the Range Statement of the competency standard unit and the Training Package Assessment Guidelines.</w:t>
            </w:r>
          </w:p>
          <w:p w:rsidR="00000000" w:rsidRPr="00D53738" w:rsidP="00D53738">
            <w:pPr>
              <w:pStyle w:val="BodyText"/>
            </w:pPr>
            <w:r w:rsidRPr="00D53738">
              <w:t>The Evidence Guide forms an integral part of this Competency Standard Unit and shall be used in conjunction</w:t>
            </w:r>
            <w:r w:rsidRPr="00D53738">
              <w:t xml:space="preserve"> with all component parts of this unit and, performed in accordance with the Assessment Guidelines of this Training Package.</w:t>
            </w:r>
          </w:p>
        </w:tc>
      </w:tr>
    </w:tbl>
    <w:p w:rsidR="00000000" w:rsidRPr="00D53738" w:rsidP="00D53738">
      <w:pPr>
        <w:pStyle w:val="BodyText"/>
      </w:pPr>
    </w:p>
    <w:tbl>
      <w:tblPr>
        <w:tblW w:w="0" w:type="auto"/>
        <w:tblLayout w:type="fixed"/>
        <w:tblCellMar>
          <w:left w:w="62" w:type="dxa"/>
          <w:right w:w="62" w:type="dxa"/>
        </w:tblCellMar>
        <w:tblLook w:val="0000"/>
      </w:tblPr>
      <w:tblGrid>
        <w:gridCol w:w="1890"/>
        <w:gridCol w:w="6570"/>
      </w:tblGrid>
      <w:tr w:rsidTr="001B7E2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rPr>
                <w:rStyle w:val="SpecialBold"/>
              </w:rPr>
              <w:t>9.1)</w:t>
            </w:r>
          </w:p>
        </w:tc>
      </w:tr>
      <w:tr w:rsidTr="001B7E2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t>Longitudinal competency development approaches to assessment, such as Profiling, require data to be</w:t>
            </w:r>
            <w:r w:rsidRPr="00D53738">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D53738">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D53738">
              <w:t>assessment in part or full can occur outside the workplace. However, it must be in accord with Industry and, Regulatory policy in this regard.</w:t>
            </w:r>
          </w:p>
          <w:p w:rsidR="00000000" w:rsidRPr="00D53738" w:rsidP="00D53738">
            <w:pPr>
              <w:pStyle w:val="BodyText"/>
            </w:pPr>
            <w:r w:rsidRPr="00D53738">
              <w:t>Methods chosen for a particular assessment will be influenced by various factors. These include the extent of the</w:t>
            </w:r>
            <w:r w:rsidRPr="00D53738">
              <w:t xml:space="preserve"> assessment, the most effective locations for the assessment activities to take place, access to physical resources, additional safety measures that may be required and the critical nature of the competencies being assessed.</w:t>
            </w:r>
          </w:p>
          <w:p w:rsidR="00000000" w:rsidRPr="00D53738" w:rsidP="00D53738">
            <w:pPr>
              <w:pStyle w:val="BodyText"/>
            </w:pPr>
            <w:r w:rsidRPr="00D53738">
              <w:t>The critical safety nature of w</w:t>
            </w:r>
            <w:r w:rsidRPr="00D53738">
              <w:t>orking with electricity, electrical equipment, gas or any other hazardous substance/material carries risk in deeming a person competent. Hence, sources of evidence need to be ‘rich’ in nature so as to minimise error in judgment.</w:t>
            </w:r>
          </w:p>
          <w:p w:rsidR="00000000" w:rsidRPr="00D53738" w:rsidP="00D53738">
            <w:pPr>
              <w:pStyle w:val="BodyText"/>
            </w:pPr>
            <w:r w:rsidRPr="00D53738">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D53738">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D53738">
              <w:t>of this Training Package.</w:t>
            </w:r>
          </w:p>
        </w:tc>
      </w:tr>
    </w:tbl>
    <w:p w:rsidR="00000000" w:rsidRPr="00D53738" w:rsidP="00D53738">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1B7E2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rPr>
                <w:rStyle w:val="SpecialBold"/>
              </w:rPr>
              <w:t>9.2)</w:t>
            </w:r>
          </w:p>
        </w:tc>
      </w:tr>
      <w:tr w:rsidTr="001B7E2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t>Before the critical aspects of evidence are considered all prerequisites shall be met.</w:t>
            </w:r>
          </w:p>
          <w:p w:rsidR="00000000" w:rsidRPr="00D53738" w:rsidP="00D53738">
            <w:pPr>
              <w:pStyle w:val="BodyText"/>
            </w:pPr>
            <w:r w:rsidRPr="00D53738">
              <w:t>Evidence for competence in this unit shall be consider</w:t>
            </w:r>
            <w:r w:rsidRPr="00D53738">
              <w:t>ed holistically. Each Element and associated Performance Criteria shall be demonstrated on at least two occasions in accordance with the “Assessment Guidelines – UET12”. Evidence shall also comprise:</w:t>
            </w:r>
          </w:p>
          <w:p w:rsidR="00000000" w:rsidRPr="00D53738" w:rsidP="00D53738">
            <w:pPr>
              <w:pStyle w:val="ListBullet"/>
            </w:pPr>
            <w:r w:rsidRPr="00D53738">
              <w:t>A representative body of Performance Criteria demonstra</w:t>
            </w:r>
            <w:r w:rsidRPr="00D53738">
              <w:t>ted within the timeframes typically expected of the discipline, work function and industrial environment. In particular this shall incorporate evidence that shows a candidate is able to:</w:t>
            </w:r>
          </w:p>
          <w:p w:rsidR="00000000" w:rsidRPr="00D53738" w:rsidP="00D53738">
            <w:pPr>
              <w:pStyle w:val="ListBullet2"/>
            </w:pPr>
            <w:r w:rsidRPr="00D53738">
              <w:t>Implement Occupational Health and Safety workplace procedures and practices including the use of risk control measures as specified in the Performance Criteria and range; and</w:t>
            </w:r>
          </w:p>
          <w:p w:rsidR="00000000" w:rsidRPr="00D53738" w:rsidP="00D53738">
            <w:pPr>
              <w:pStyle w:val="ListBullet2"/>
            </w:pPr>
            <w:r w:rsidRPr="00D53738">
              <w:t>Apply sustainable energy principles and practices as specified in the Performance</w:t>
            </w:r>
            <w:r w:rsidRPr="00D53738">
              <w:t xml:space="preserve"> Criteria and range; and</w:t>
            </w:r>
          </w:p>
          <w:p w:rsidR="00000000" w:rsidRPr="00D53738" w:rsidP="00D53738">
            <w:pPr>
              <w:pStyle w:val="ListBullet2"/>
            </w:pPr>
            <w:r w:rsidRPr="00D53738">
              <w:t>Demonstrate an understanding of the essential knowledge and associated skills described in this unit to such an extent that the learner’s performance outcome is reported in accordance with the preferred approach; namely a percentil</w:t>
            </w:r>
            <w:r w:rsidRPr="00D53738">
              <w:t>e graded result, where required by the regulated environment; and</w:t>
            </w:r>
          </w:p>
          <w:p w:rsidR="00000000" w:rsidRPr="00D53738" w:rsidP="00D53738">
            <w:pPr>
              <w:pStyle w:val="ListBullet2"/>
            </w:pPr>
            <w:r w:rsidRPr="00D53738">
              <w:t>Demonstrate an appropriate level of employability skills; and</w:t>
            </w:r>
          </w:p>
          <w:p w:rsidR="00000000" w:rsidRPr="00D53738" w:rsidP="00D53738">
            <w:pPr>
              <w:pStyle w:val="ListBullet"/>
            </w:pPr>
            <w:r w:rsidRPr="00D53738">
              <w:t>Conduct work observing the relevant Anti Discrimination legislation, regulations, policies and workplace procedures; and</w:t>
            </w:r>
          </w:p>
          <w:p w:rsidR="00000000" w:rsidP="00D53738">
            <w:pPr>
              <w:pStyle w:val="ListBullet2"/>
              <w:rPr>
                <w:lang w:val="en-NZ"/>
              </w:rPr>
            </w:pPr>
            <w:r w:rsidRPr="00D53738">
              <w:t>Demon</w:t>
            </w:r>
            <w:r w:rsidRPr="00D53738">
              <w:t>strated performance across a representative range of contexts from the prescribed items below:</w:t>
            </w:r>
          </w:p>
        </w:tc>
      </w:tr>
      <w:tr w:rsidTr="001B7E2E">
        <w:tblPrEx>
          <w:tblW w:w="0" w:type="auto"/>
          <w:tblLayout w:type="fixed"/>
          <w:tblCellMar>
            <w:left w:w="62" w:type="dxa"/>
            <w:right w:w="62" w:type="dxa"/>
          </w:tblCellMar>
          <w:tblLook w:val="0000"/>
        </w:tblPrEx>
        <w:trPr>
          <w:trHeight w:val="889"/>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D53738">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738">
            <w:pPr>
              <w:pStyle w:val="BodyText"/>
              <w:rPr>
                <w:lang w:val="en-NZ"/>
              </w:rPr>
            </w:pPr>
            <w:r w:rsidRPr="00D53738">
              <w:rPr>
                <w:rStyle w:val="SpecialBold"/>
              </w:rPr>
              <w:t>Range of tools/equipment/materials/procedures/workplaces/other variables</w:t>
            </w:r>
          </w:p>
        </w:tc>
      </w:tr>
      <w:tr w:rsidTr="001B7E2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D53738">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738" w:rsidP="00D53738">
            <w:pPr>
              <w:pStyle w:val="BodyText"/>
            </w:pPr>
            <w:r w:rsidRPr="00D53738">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738" w:rsidP="00D53738">
            <w:pPr>
              <w:pStyle w:val="BodyText"/>
            </w:pPr>
            <w:r w:rsidRPr="00D53738">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738">
            <w:pPr>
              <w:pStyle w:val="BodyText"/>
              <w:rPr>
                <w:lang w:val="en-NZ"/>
              </w:rPr>
            </w:pPr>
            <w:r w:rsidRPr="00D53738">
              <w:rPr>
                <w:rStyle w:val="SpecialBold"/>
              </w:rPr>
              <w:t>Item List</w:t>
            </w:r>
          </w:p>
        </w:tc>
      </w:tr>
      <w:tr w:rsidTr="001B7E2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738">
            <w:pPr>
              <w:pStyle w:val="BodyText"/>
              <w:rPr>
                <w:lang w:val="en-NZ"/>
              </w:rPr>
            </w:pPr>
            <w:r w:rsidRPr="00D53738">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738">
            <w:pPr>
              <w:pStyle w:val="BodyText"/>
              <w:rPr>
                <w:lang w:val="en-NZ"/>
              </w:rPr>
            </w:pPr>
            <w:r w:rsidRPr="00D53738">
              <w:t>Do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738" w:rsidP="00D53738">
            <w:pPr>
              <w:pStyle w:val="BodyText"/>
            </w:pPr>
            <w:r w:rsidRPr="00D53738">
              <w:t>Identify a crisis event</w:t>
            </w:r>
          </w:p>
          <w:p w:rsidR="00000000" w:rsidRPr="00D53738" w:rsidP="00D53738">
            <w:pPr>
              <w:pStyle w:val="BodyText"/>
            </w:pPr>
            <w:r w:rsidRPr="00D53738">
              <w:t>Develop a plan to manage a crisis</w:t>
            </w:r>
          </w:p>
          <w:p w:rsidR="00000000" w:rsidRPr="00D53738" w:rsidP="00D53738">
            <w:pPr>
              <w:pStyle w:val="BodyText"/>
            </w:pPr>
            <w:r w:rsidRPr="00D53738">
              <w:t>Formulate plans in order that the network be restored during and after the crisis</w:t>
            </w:r>
          </w:p>
          <w:p w:rsidR="00000000" w:rsidRPr="00D53738" w:rsidP="00D53738">
            <w:pPr>
              <w:pStyle w:val="BodyText"/>
            </w:pPr>
            <w:r w:rsidRPr="00D53738">
              <w:t>Effectively liaise with operating authorities and field crews develop and formulate achievable crisis management plans</w:t>
            </w:r>
          </w:p>
          <w:p w:rsidR="00000000" w:rsidP="00D53738">
            <w:pPr>
              <w:pStyle w:val="BodyText"/>
              <w:rPr>
                <w:lang w:val="en-NZ"/>
              </w:rPr>
            </w:pPr>
            <w:r w:rsidRPr="00D53738">
              <w:t>Document/de-brief actions that are required following an end of crisis situation</w:t>
            </w:r>
          </w:p>
        </w:tc>
      </w:tr>
      <w:tr w:rsidTr="001B7E2E">
        <w:tblPrEx>
          <w:tblW w:w="0" w:type="auto"/>
          <w:tblLayout w:type="fixed"/>
          <w:tblCellMar>
            <w:left w:w="62" w:type="dxa"/>
            <w:right w:w="62" w:type="dxa"/>
          </w:tblCellMar>
          <w:tblLook w:val="0000"/>
        </w:tblPrEx>
        <w:trPr>
          <w:trHeight w:val="174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738">
            <w:pPr>
              <w:pStyle w:val="BodyText"/>
              <w:rPr>
                <w:lang w:val="en-NZ"/>
              </w:rPr>
            </w:pPr>
            <w:r w:rsidRPr="00D53738">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738">
            <w:pPr>
              <w:pStyle w:val="BodyText"/>
              <w:rPr>
                <w:lang w:val="en-NZ"/>
              </w:rPr>
            </w:pPr>
            <w:r w:rsidRPr="00D53738">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738" w:rsidP="00D53738">
            <w:pPr>
              <w:pStyle w:val="BodyText"/>
            </w:pPr>
            <w:r w:rsidRPr="00D53738">
              <w:t>Dealing with an unplanned eve</w:t>
            </w:r>
            <w:r w:rsidRPr="00D53738">
              <w:t>nt by drawing on essential knowledge and associated skills to provide appropriate solutions incorporated in the holistic assessment with the above listed items.</w:t>
            </w:r>
          </w:p>
        </w:tc>
      </w:tr>
    </w:tbl>
    <w:p w:rsidR="00000000" w:rsidRPr="00D53738" w:rsidP="00D53738">
      <w:pPr>
        <w:pStyle w:val="BodyText"/>
      </w:pPr>
    </w:p>
    <w:tbl>
      <w:tblPr>
        <w:tblW w:w="0" w:type="auto"/>
        <w:tblLayout w:type="fixed"/>
        <w:tblCellMar>
          <w:left w:w="62" w:type="dxa"/>
          <w:right w:w="62" w:type="dxa"/>
        </w:tblCellMar>
        <w:tblLook w:val="0000"/>
      </w:tblPr>
      <w:tblGrid>
        <w:gridCol w:w="1890"/>
        <w:gridCol w:w="6570"/>
      </w:tblGrid>
      <w:tr w:rsidTr="001B7E2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rPr>
                <w:rStyle w:val="SpecialBold"/>
              </w:rPr>
              <w:t>9.3)</w:t>
            </w:r>
          </w:p>
        </w:tc>
      </w:tr>
      <w:tr w:rsidTr="001B7E2E">
        <w:tblPrEx>
          <w:tblW w:w="0" w:type="auto"/>
          <w:tblLayout w:type="fixed"/>
          <w:tblCellMar>
            <w:left w:w="62" w:type="dxa"/>
            <w:right w:w="62" w:type="dxa"/>
          </w:tblCellMar>
          <w:tblLook w:val="0000"/>
        </w:tblPrEx>
        <w:trPr>
          <w:trHeight w:val="461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t>This unit shoul</w:t>
            </w:r>
            <w:r w:rsidRPr="00D53738">
              <w:t>d be assessed as it relates to normal work practice using procedures, information and resources typical of a workplace. This should include:</w:t>
            </w:r>
          </w:p>
          <w:p w:rsidR="00000000" w:rsidRPr="00D53738" w:rsidP="00D53738">
            <w:pPr>
              <w:pStyle w:val="ListBullet"/>
            </w:pPr>
            <w:r w:rsidRPr="00D53738">
              <w:t>OHS policy and work procedures and instructions.</w:t>
            </w:r>
          </w:p>
          <w:p w:rsidR="00000000" w:rsidRPr="00D53738" w:rsidP="00D53738">
            <w:pPr>
              <w:pStyle w:val="ListBullet"/>
            </w:pPr>
            <w:r w:rsidRPr="00D53738">
              <w:t>Suitable work environment, facilities, equipment and materials to undertake actual development of crisis management plans</w:t>
            </w:r>
          </w:p>
          <w:p w:rsidR="00000000" w:rsidRPr="00D53738" w:rsidP="00D53738">
            <w:pPr>
              <w:pStyle w:val="BodyText"/>
            </w:pPr>
            <w:r w:rsidRPr="00D53738">
              <w:t>Note:</w:t>
            </w:r>
          </w:p>
          <w:p w:rsidR="00000000" w:rsidRPr="00D53738" w:rsidP="00D53738">
            <w:pPr>
              <w:pStyle w:val="BodyText"/>
            </w:pPr>
            <w:r w:rsidRPr="00D53738">
              <w:t>Access will be needed to: relevant protection, control, metering, and alarm equipment, network drawings, computerised electrical</w:t>
            </w:r>
            <w:r w:rsidRPr="00D53738">
              <w:t xml:space="preserve"> plant control and monitoring facilities, operational event data, enterprise operational policies, procedures and work practices and crisis management procedures.</w:t>
            </w:r>
          </w:p>
          <w:p w:rsidR="00000000" w:rsidRPr="00D53738" w:rsidP="00D53738">
            <w:pPr>
              <w:pStyle w:val="BodyText"/>
            </w:pPr>
            <w:r w:rsidRPr="00D53738">
              <w:t>In addition to the resources listed above, in Context of and specific resources for assessmen</w:t>
            </w:r>
            <w:r w:rsidRPr="00D53738">
              <w:t xml:space="preserve">t, evidence should show demonstrated competency working in realistic environment and a variety of conditions. </w:t>
            </w:r>
          </w:p>
        </w:tc>
      </w:tr>
    </w:tbl>
    <w:p w:rsidR="00000000" w:rsidRPr="00D53738" w:rsidP="00D53738">
      <w:pPr>
        <w:pStyle w:val="BodyText"/>
      </w:pPr>
    </w:p>
    <w:tbl>
      <w:tblPr>
        <w:tblW w:w="0" w:type="auto"/>
        <w:tblLayout w:type="fixed"/>
        <w:tblCellMar>
          <w:left w:w="62" w:type="dxa"/>
          <w:right w:w="62" w:type="dxa"/>
        </w:tblCellMar>
        <w:tblLook w:val="0000"/>
      </w:tblPr>
      <w:tblGrid>
        <w:gridCol w:w="1890"/>
        <w:gridCol w:w="6570"/>
      </w:tblGrid>
      <w:tr w:rsidTr="001B7E2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rPr>
                <w:rStyle w:val="SpecialBold"/>
              </w:rPr>
              <w:t>9.4)</w:t>
            </w:r>
          </w:p>
        </w:tc>
      </w:tr>
      <w:tr w:rsidTr="001B7E2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t>This Competency Standard Unit shall be assessed by methods given in Volume 1, Part 3 “Assessment Guidelines”.</w:t>
            </w:r>
          </w:p>
          <w:p w:rsidR="00000000" w:rsidRPr="00D53738" w:rsidP="00D53738">
            <w:pPr>
              <w:pStyle w:val="BodyText"/>
            </w:pPr>
            <w:r w:rsidRPr="00D53738">
              <w:t>Note:</w:t>
            </w:r>
          </w:p>
          <w:p w:rsidR="00000000" w:rsidRPr="00D53738" w:rsidP="00D53738">
            <w:pPr>
              <w:pStyle w:val="BodyText"/>
            </w:pPr>
            <w:r w:rsidRPr="00D53738">
              <w:t xml:space="preserve">Competent performance with inherent safe working practices is expected in the Transmission, Distribution and Rail Traction Industry. This requires that the specified essential knowledge and associated skills are assessed in a structured environment which </w:t>
            </w:r>
            <w:r w:rsidRPr="00D53738">
              <w:t>is primarily intended for learning/assessment and incorporates all necessary equipment and facilities for learners to develop and demonstrate the essential knowledge and associated skills described in this unit.</w:t>
            </w:r>
          </w:p>
        </w:tc>
      </w:tr>
    </w:tbl>
    <w:p w:rsidR="00000000" w:rsidRPr="00D53738" w:rsidP="00D53738">
      <w:pPr>
        <w:pStyle w:val="BodyText"/>
      </w:pPr>
    </w:p>
    <w:tbl>
      <w:tblPr>
        <w:tblW w:w="0" w:type="auto"/>
        <w:tblLayout w:type="fixed"/>
        <w:tblCellMar>
          <w:left w:w="62" w:type="dxa"/>
          <w:right w:w="62" w:type="dxa"/>
        </w:tblCellMar>
        <w:tblLook w:val="0000"/>
      </w:tblPr>
      <w:tblGrid>
        <w:gridCol w:w="1890"/>
        <w:gridCol w:w="6570"/>
      </w:tblGrid>
      <w:tr w:rsidTr="001B7E2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rPr>
                <w:rStyle w:val="SpecialBold"/>
              </w:rPr>
              <w:t>Concurrent assessment and relationship wit</w:t>
            </w:r>
            <w:r w:rsidRPr="00D53738">
              <w:rPr>
                <w:rStyle w:val="SpecialBold"/>
              </w:rPr>
              <w:t>h other units</w:t>
            </w:r>
          </w:p>
        </w:tc>
        <w:tc>
          <w:tcPr>
            <w:tcW w:w="657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rPr>
                <w:rStyle w:val="SpecialBold"/>
              </w:rPr>
              <w:t>9.5)</w:t>
            </w:r>
          </w:p>
        </w:tc>
      </w:tr>
      <w:tr w:rsidTr="001B7E2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t>There are no concurrent assessment recommendations for this unit.</w:t>
            </w:r>
          </w:p>
        </w:tc>
      </w:tr>
    </w:tbl>
    <w:p w:rsidR="00000000" w:rsidRPr="00D53738" w:rsidP="00D53738">
      <w:pPr>
        <w:pStyle w:val="BodyText"/>
      </w:pPr>
    </w:p>
    <w:p w:rsidR="00000000" w:rsidRPr="00D53738" w:rsidP="00D53738">
      <w:pPr>
        <w:pStyle w:val="AllowPageBreak"/>
      </w:pPr>
    </w:p>
    <w:p w:rsidR="00000000" w:rsidRPr="00D53738" w:rsidP="00D53738">
      <w:pPr>
        <w:pStyle w:val="Heading1"/>
      </w:pPr>
      <w:bookmarkStart w:id="11" w:name="O_465106"/>
      <w:bookmarkEnd w:id="11"/>
      <w:r w:rsidRPr="00D53738">
        <w:t>Range Statement</w:t>
      </w:r>
    </w:p>
    <w:tbl>
      <w:tblPr>
        <w:tblW w:w="0" w:type="auto"/>
        <w:tblLayout w:type="fixed"/>
        <w:tblCellMar>
          <w:left w:w="62" w:type="dxa"/>
          <w:right w:w="62" w:type="dxa"/>
        </w:tblCellMar>
        <w:tblLook w:val="0000"/>
      </w:tblPr>
      <w:tblGrid>
        <w:gridCol w:w="8460"/>
      </w:tblGrid>
      <w:tr w:rsidTr="001B7E2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rPr>
                <w:rStyle w:val="SpecialBold"/>
              </w:rPr>
              <w:t>RANGE STATEMENT</w:t>
            </w:r>
          </w:p>
        </w:tc>
      </w:tr>
      <w:tr w:rsidTr="001B7E2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rPr>
                <w:rStyle w:val="SpecialBold"/>
              </w:rPr>
              <w:t>10)</w:t>
            </w:r>
            <w:r w:rsidRPr="00D53738">
              <w:t xml:space="preserve"> This relates to the competency standard unit as a whole providing the range of contexts and </w:t>
            </w:r>
            <w:r w:rsidRPr="00D53738">
              <w:t>conditions to which the Performance Criteria apply. It allows for different work environments and situations that will affect performance.</w:t>
            </w:r>
          </w:p>
          <w:p w:rsidR="00000000" w:rsidRPr="00D53738" w:rsidP="00D53738">
            <w:pPr>
              <w:pStyle w:val="BodyText"/>
            </w:pPr>
            <w:r w:rsidRPr="00D53738">
              <w:t>This Competency Standard Unit shall be demonstrated in relation to the management of critical event operations such a</w:t>
            </w:r>
            <w:r w:rsidRPr="00D53738">
              <w:t>s simultaneous multiple network faults and storm events of various magnitudes and shall be demonstrated using the following:</w:t>
            </w:r>
          </w:p>
          <w:p w:rsidR="00000000" w:rsidRPr="00D53738" w:rsidP="00D53738">
            <w:pPr>
              <w:pStyle w:val="BodyText"/>
            </w:pPr>
            <w:r w:rsidRPr="00D53738">
              <w:t>Equipment includes; sectionalisers, security, sensitive earth fault protection, communication bearers, local trip circuits, inter-t</w:t>
            </w:r>
            <w:r w:rsidRPr="00D53738">
              <w:t>rip circuits, remote control supervisory circuits, frequency injection units, under frequency circuits, voice frequency protection signalling, micro-controllers, RDC and MUX units, pilot cables, telephone lines, microwave bearers, cossonay earthwire carrie</w:t>
            </w:r>
            <w:r w:rsidRPr="00D53738">
              <w:t>rs and optical fibre cables.</w:t>
            </w:r>
          </w:p>
          <w:p w:rsidR="00000000" w:rsidRPr="00D53738" w:rsidP="00D53738">
            <w:pPr>
              <w:pStyle w:val="BodyText"/>
            </w:pPr>
            <w:r w:rsidRPr="00D53738">
              <w:t>Equipment also includes; LV fuses, links and bridges, HV links, fuses, reclosers, ring main units, circuit breakers, isolators, earth switches, sectionalisers, air break switches, capacitor banks, transformer taps, metering and</w:t>
            </w:r>
            <w:r w:rsidRPr="00D53738">
              <w:t xml:space="preserve"> protection equipment, data communication systems. Primary and secondary voltage and current injection equipment; time delay measuring equipment; current transformers; voltage transformers; power transformers; tapchangers; circuit breakers; capacitor banks</w:t>
            </w:r>
            <w:r w:rsidRPr="00D53738">
              <w:t>; ring main units; audio frequency load control; circuit breaker auxiliary systems; substation and metal structure earthing systems; SCADA interfaces and transducer inputs; local opto-isolated alarms: PLC programs; auto reclosers (ACRs); protection relays;</w:t>
            </w:r>
            <w:r w:rsidRPr="00D53738">
              <w:t xml:space="preserve"> metering; control circuits; Statistical metering systems; frame leakage relays; distance relays; pilot wire relays; transformer differential relays; busbar differential relays; impedance bus zone relays; overcurrent and earth fault relays; transformer neu</w:t>
            </w:r>
            <w:r w:rsidRPr="00D53738">
              <w:t>tral check relays; circuit breaker fail relays; multi-trip relays; auto recloser relays; voltage transformer failure relays; surge protection relays; buchholz relays; winding temperature relays; sensitive earth fault relays; phase failure relays; frequency</w:t>
            </w:r>
            <w:r w:rsidRPr="00D53738">
              <w:t xml:space="preserve"> relays; load shedding relays; general protection LV devices; oil temperature protection devices; oil surge protection devices; power supplies. differential relays; power systems; multi-facetted schemes; interactive overload schemes, distance protection (i</w:t>
            </w:r>
            <w:r w:rsidRPr="00D53738">
              <w:t>ncorporating relay selection, switched/non-switched schemes; mutual coupling and teed feeder systems); protection signalling (incorporating series, direct, permissive, distance acceleration, block interruption); telecommunication circuits and equipment; al</w:t>
            </w:r>
            <w:r w:rsidRPr="00D53738">
              <w:t>ternators; generator differential protection; over/under speed protection; over/under flux protection; synchroscopes; excitation circuits; governors.</w:t>
            </w:r>
          </w:p>
          <w:p w:rsidR="00000000" w:rsidRPr="00D53738" w:rsidP="00D53738">
            <w:pPr>
              <w:pStyle w:val="BodyText"/>
            </w:pPr>
            <w:r w:rsidRPr="00D53738">
              <w:t>Communication equipment may include: Fixed radio; mobile radio; satellite; SACS controllers; computer hard</w:t>
            </w:r>
            <w:r w:rsidRPr="00D53738">
              <w:t>ware and software; programmable controllers; modems; digital line drivers (low and high speed); fibre optic line drivers (low and high speed); radio links including voice link and digital bearer; wave trap.</w:t>
            </w:r>
          </w:p>
          <w:p w:rsidR="00000000" w:rsidRPr="00D53738" w:rsidP="00D53738">
            <w:pPr>
              <w:pStyle w:val="BodyText"/>
            </w:pPr>
            <w:r w:rsidRPr="00D53738">
              <w:t>The following constants and variables included in</w:t>
            </w:r>
            <w:r w:rsidRPr="00D53738">
              <w:t xml:space="preserve"> the Element/Performance Criteria in this unit are fully described in the Definitions Section 1 of this volume and form an integral part of the Range Statement of this unit:</w:t>
            </w:r>
          </w:p>
          <w:p w:rsidR="00000000" w:rsidRPr="00D53738" w:rsidP="00D53738">
            <w:pPr>
              <w:pStyle w:val="ListBullet3"/>
            </w:pPr>
            <w:r w:rsidRPr="00D53738">
              <w:t>Appropriate and relevant persons (see Personnel)</w:t>
            </w:r>
          </w:p>
          <w:p w:rsidR="00000000" w:rsidRPr="00D53738" w:rsidP="00D53738">
            <w:pPr>
              <w:pStyle w:val="ListBullet3"/>
            </w:pPr>
            <w:r w:rsidRPr="00D53738">
              <w:t>Appropriate authorities</w:t>
            </w:r>
          </w:p>
          <w:p w:rsidR="00000000" w:rsidRPr="00D53738" w:rsidP="00D53738">
            <w:pPr>
              <w:pStyle w:val="ListBullet3"/>
            </w:pPr>
            <w:r w:rsidRPr="00D53738">
              <w:t>Appropri</w:t>
            </w:r>
            <w:r w:rsidRPr="00D53738">
              <w:t>ate work platform</w:t>
            </w:r>
          </w:p>
          <w:p w:rsidR="00000000" w:rsidRPr="00D53738" w:rsidP="00D53738">
            <w:pPr>
              <w:pStyle w:val="ListBullet3"/>
            </w:pPr>
            <w:r w:rsidRPr="00D53738">
              <w:t>Assessing risk</w:t>
            </w:r>
          </w:p>
          <w:p w:rsidR="00000000" w:rsidRPr="00D53738" w:rsidP="00D53738">
            <w:pPr>
              <w:pStyle w:val="ListBullet3"/>
            </w:pPr>
            <w:r w:rsidRPr="00D53738">
              <w:t>Assessment</w:t>
            </w:r>
          </w:p>
          <w:p w:rsidR="00000000" w:rsidRPr="00D53738" w:rsidP="00D53738">
            <w:pPr>
              <w:pStyle w:val="ListBullet3"/>
            </w:pPr>
            <w:r w:rsidRPr="00D53738">
              <w:t>Authorisation</w:t>
            </w:r>
          </w:p>
          <w:p w:rsidR="00000000" w:rsidRPr="00D53738" w:rsidP="00D53738">
            <w:pPr>
              <w:pStyle w:val="ListBullet3"/>
            </w:pPr>
            <w:r w:rsidRPr="00D53738">
              <w:t>Confined space</w:t>
            </w:r>
          </w:p>
          <w:p w:rsidR="00000000" w:rsidRPr="00D53738" w:rsidP="00D53738">
            <w:pPr>
              <w:pStyle w:val="ListBullet3"/>
            </w:pPr>
            <w:r w:rsidRPr="00D53738">
              <w:t>Diagnostic, testing and restoration</w:t>
            </w:r>
          </w:p>
          <w:p w:rsidR="00000000" w:rsidRPr="00D53738" w:rsidP="00D53738">
            <w:pPr>
              <w:pStyle w:val="ListBullet3"/>
            </w:pPr>
            <w:r w:rsidRPr="00D53738">
              <w:t>Documenting detail work events, record keeping and or storage of information</w:t>
            </w:r>
          </w:p>
          <w:p w:rsidR="00000000" w:rsidRPr="00D53738" w:rsidP="00D53738">
            <w:pPr>
              <w:pStyle w:val="ListBullet3"/>
            </w:pPr>
            <w:r w:rsidRPr="00D53738">
              <w:t>Drawings and specifications</w:t>
            </w:r>
          </w:p>
          <w:p w:rsidR="00000000" w:rsidRPr="00D53738" w:rsidP="00D53738">
            <w:pPr>
              <w:pStyle w:val="ListBullet3"/>
            </w:pPr>
            <w:r w:rsidRPr="00D53738">
              <w:t>Emergency</w:t>
            </w:r>
          </w:p>
          <w:p w:rsidR="00000000" w:rsidRPr="00D53738" w:rsidP="00D53738">
            <w:pPr>
              <w:pStyle w:val="ListBullet3"/>
            </w:pPr>
            <w:r w:rsidRPr="00D53738">
              <w:t>Environmental and sustainable energy procedures</w:t>
            </w:r>
          </w:p>
          <w:p w:rsidR="00000000" w:rsidRPr="00D53738" w:rsidP="00D53738">
            <w:pPr>
              <w:pStyle w:val="ListBullet3"/>
            </w:pPr>
            <w:r w:rsidRPr="00D53738">
              <w:t>Environmental legislation</w:t>
            </w:r>
          </w:p>
          <w:p w:rsidR="00000000" w:rsidRPr="00D53738" w:rsidP="00D53738">
            <w:pPr>
              <w:pStyle w:val="ListBullet3"/>
            </w:pPr>
            <w:r w:rsidRPr="00D53738">
              <w:t>Environmental management documentation</w:t>
            </w:r>
          </w:p>
          <w:p w:rsidR="00000000" w:rsidRPr="00D53738" w:rsidP="00D53738">
            <w:pPr>
              <w:pStyle w:val="ListBullet3"/>
            </w:pPr>
            <w:r w:rsidRPr="00D53738">
              <w:t>Established procedures</w:t>
            </w:r>
          </w:p>
          <w:p w:rsidR="00000000" w:rsidRPr="00D53738" w:rsidP="00D53738">
            <w:pPr>
              <w:pStyle w:val="ListBullet3"/>
            </w:pPr>
            <w:r w:rsidRPr="00D53738">
              <w:t>Fall prevention</w:t>
            </w:r>
          </w:p>
          <w:p w:rsidR="00000000" w:rsidRPr="00D53738" w:rsidP="00D53738">
            <w:pPr>
              <w:pStyle w:val="ListBullet3"/>
            </w:pPr>
            <w:r w:rsidRPr="00D53738">
              <w:t>Hazards</w:t>
            </w:r>
          </w:p>
          <w:p w:rsidR="00000000" w:rsidRPr="00D53738" w:rsidP="00D53738">
            <w:pPr>
              <w:pStyle w:val="ListBullet3"/>
            </w:pPr>
            <w:r w:rsidRPr="00D53738">
              <w:t>Identifying hazards</w:t>
            </w:r>
          </w:p>
          <w:p w:rsidR="00000000" w:rsidRPr="00D53738" w:rsidP="00D53738">
            <w:pPr>
              <w:pStyle w:val="ListBullet3"/>
            </w:pPr>
            <w:r w:rsidRPr="00D53738">
              <w:t>Inspect</w:t>
            </w:r>
          </w:p>
          <w:p w:rsidR="00000000" w:rsidRPr="00D53738" w:rsidP="00D53738">
            <w:pPr>
              <w:pStyle w:val="ListBullet3"/>
            </w:pPr>
            <w:r w:rsidRPr="00D53738">
              <w:t>Legislation</w:t>
            </w:r>
          </w:p>
          <w:p w:rsidR="00000000" w:rsidRPr="00D53738" w:rsidP="00D53738">
            <w:pPr>
              <w:pStyle w:val="ListBullet3"/>
            </w:pPr>
            <w:r w:rsidRPr="00D53738">
              <w:t>MSDS</w:t>
            </w:r>
          </w:p>
          <w:p w:rsidR="00000000" w:rsidRPr="00D53738" w:rsidP="00D53738">
            <w:pPr>
              <w:pStyle w:val="ListBullet3"/>
            </w:pPr>
            <w:r w:rsidRPr="00D53738">
              <w:t>Notification</w:t>
            </w:r>
          </w:p>
          <w:p w:rsidR="00000000" w:rsidRPr="00D53738" w:rsidP="00D53738">
            <w:pPr>
              <w:pStyle w:val="ListBullet3"/>
            </w:pPr>
            <w:r w:rsidRPr="00D53738">
              <w:t>OHS practices</w:t>
            </w:r>
          </w:p>
          <w:p w:rsidR="00000000" w:rsidRPr="00D53738" w:rsidP="00D53738">
            <w:pPr>
              <w:pStyle w:val="ListBullet3"/>
            </w:pPr>
            <w:r w:rsidRPr="00D53738">
              <w:t>OHS issues</w:t>
            </w:r>
          </w:p>
          <w:p w:rsidR="00000000" w:rsidRPr="00D53738" w:rsidP="00D53738">
            <w:pPr>
              <w:pStyle w:val="ListBullet3"/>
            </w:pPr>
            <w:r w:rsidRPr="00D53738">
              <w:t>Permits and/o</w:t>
            </w:r>
            <w:r w:rsidRPr="00D53738">
              <w:t>r permits to work</w:t>
            </w:r>
          </w:p>
          <w:p w:rsidR="00000000" w:rsidRPr="00D53738" w:rsidP="00D53738">
            <w:pPr>
              <w:pStyle w:val="ListBullet3"/>
            </w:pPr>
            <w:r w:rsidRPr="00D53738">
              <w:t>Personnel</w:t>
            </w:r>
          </w:p>
          <w:p w:rsidR="00000000" w:rsidRPr="00D53738" w:rsidP="00D53738">
            <w:pPr>
              <w:pStyle w:val="ListBullet3"/>
            </w:pPr>
            <w:r w:rsidRPr="00D53738">
              <w:t>Quality assurance systems</w:t>
            </w:r>
          </w:p>
          <w:p w:rsidR="00000000" w:rsidRPr="00D53738" w:rsidP="00D53738">
            <w:pPr>
              <w:pStyle w:val="ListBullet3"/>
            </w:pPr>
            <w:r w:rsidRPr="00D53738">
              <w:t>Requirements</w:t>
            </w:r>
          </w:p>
          <w:p w:rsidR="00000000" w:rsidRPr="00D53738" w:rsidP="00D53738">
            <w:pPr>
              <w:pStyle w:val="ListBullet3"/>
            </w:pPr>
            <w:r w:rsidRPr="00D53738">
              <w:t>Testing procedures</w:t>
            </w:r>
          </w:p>
          <w:p w:rsidR="00000000" w:rsidRPr="00D53738" w:rsidP="00D53738">
            <w:pPr>
              <w:pStyle w:val="ListBullet3"/>
            </w:pPr>
            <w:r w:rsidRPr="00D53738">
              <w:t>Work clearance systems</w:t>
            </w:r>
          </w:p>
        </w:tc>
      </w:tr>
    </w:tbl>
    <w:p w:rsidR="00000000" w:rsidRPr="00D53738" w:rsidP="00D53738">
      <w:pPr>
        <w:pStyle w:val="BodyText"/>
      </w:pPr>
    </w:p>
    <w:p w:rsidR="00000000" w:rsidRPr="00D53738" w:rsidP="00D53738">
      <w:pPr>
        <w:pStyle w:val="AllowPageBreak"/>
      </w:pPr>
    </w:p>
    <w:p w:rsidR="00000000" w:rsidRPr="00D53738" w:rsidP="00D53738">
      <w:pPr>
        <w:pStyle w:val="Heading1"/>
      </w:pPr>
      <w:bookmarkStart w:id="12" w:name="O_465109"/>
      <w:bookmarkEnd w:id="12"/>
      <w:r w:rsidRPr="00D53738">
        <w:t>Unit Sector(s)</w:t>
      </w:r>
    </w:p>
    <w:p w:rsidR="00000000" w:rsidRPr="00D53738" w:rsidP="00D53738">
      <w:pPr>
        <w:pStyle w:val="BodyText"/>
      </w:pPr>
      <w:r w:rsidRPr="00D53738">
        <w:t>Not applicable.</w:t>
      </w:r>
    </w:p>
    <w:p w:rsidR="00000000" w:rsidRPr="00D53738" w:rsidP="00D53738">
      <w:pPr>
        <w:pStyle w:val="AllowPageBreak"/>
      </w:pPr>
    </w:p>
    <w:p w:rsidR="00000000" w:rsidRPr="00D53738" w:rsidP="00D53738">
      <w:pPr>
        <w:pStyle w:val="Heading1"/>
      </w:pPr>
      <w:bookmarkStart w:id="13" w:name="O_465098"/>
      <w:bookmarkEnd w:id="13"/>
      <w:r w:rsidRPr="00D53738">
        <w:t>Competency Field</w:t>
      </w:r>
    </w:p>
    <w:tbl>
      <w:tblPr>
        <w:tblW w:w="0" w:type="auto"/>
        <w:tblLayout w:type="fixed"/>
        <w:tblCellMar>
          <w:left w:w="62" w:type="dxa"/>
          <w:right w:w="62" w:type="dxa"/>
        </w:tblCellMar>
        <w:tblLook w:val="0000"/>
      </w:tblPr>
      <w:tblGrid>
        <w:gridCol w:w="2700"/>
        <w:gridCol w:w="5760"/>
      </w:tblGrid>
      <w:tr w:rsidTr="001B7E2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53738">
            <w:pPr>
              <w:pStyle w:val="BodyText"/>
              <w:rPr>
                <w:lang w:val="en-NZ"/>
              </w:rPr>
            </w:pPr>
            <w:r w:rsidRPr="00D53738">
              <w:rPr>
                <w:rStyle w:val="SpecialBold"/>
              </w:rPr>
              <w:t xml:space="preserve">11) </w:t>
            </w:r>
          </w:p>
        </w:tc>
      </w:tr>
      <w:tr w:rsidTr="001B7E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3738" w:rsidP="00D53738">
            <w:pPr>
              <w:pStyle w:val="BodyText"/>
            </w:pPr>
            <w:r w:rsidRPr="00D53738">
              <w:t>System Operation Units</w:t>
            </w:r>
          </w:p>
        </w:tc>
      </w:tr>
    </w:tbl>
    <w:p w:rsidR="00000000" w:rsidRPr="00D53738" w:rsidP="00D53738">
      <w:pPr>
        <w:pStyle w:val="BodyText"/>
      </w:pPr>
    </w:p>
    <w:p w:rsidR="00000000" w:rsidRPr="00D53738" w:rsidP="00D53738"/>
    <w:sectPr w:rsidSect="00D537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7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7E2E" w:rsidP="001B7E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7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E2E" w:rsidP="00D537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B7E2E" w:rsidP="00D537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B7E2E" w:rsidP="00D537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7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7E2E" w:rsidP="001B7E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7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E2E" w:rsidP="00D53738">
    <w:pPr>
      <w:pStyle w:val="Header"/>
      <w:framePr w:wrap="around"/>
    </w:pPr>
    <w:r>
      <w:fldChar w:fldCharType="begin"/>
    </w:r>
    <w:r>
      <w:instrText xml:space="preserve"> TITLE   \* MERGEFORMAT </w:instrText>
    </w:r>
    <w:r>
      <w:fldChar w:fldCharType="separate"/>
    </w:r>
    <w:r>
      <w:t>UETTDRSO44A Develop crisis power systems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B7E2E" w:rsidP="00D537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E4A6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B0E2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4C72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7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3738"/>
    <w:pPr>
      <w:spacing w:before="360" w:after="60"/>
      <w:outlineLvl w:val="0"/>
    </w:pPr>
    <w:rPr>
      <w:sz w:val="32"/>
    </w:rPr>
  </w:style>
  <w:style w:type="paragraph" w:styleId="Heading2">
    <w:name w:val="heading 2"/>
    <w:basedOn w:val="HeadingBase"/>
    <w:next w:val="BodyText"/>
    <w:link w:val="Heading2Char"/>
    <w:qFormat/>
    <w:rsid w:val="00D53738"/>
    <w:pPr>
      <w:keepLines/>
      <w:spacing w:before="240" w:after="120"/>
      <w:outlineLvl w:val="1"/>
    </w:pPr>
    <w:rPr>
      <w:sz w:val="28"/>
      <w:szCs w:val="40"/>
    </w:rPr>
  </w:style>
  <w:style w:type="paragraph" w:styleId="Heading3">
    <w:name w:val="heading 3"/>
    <w:basedOn w:val="HeadingBase"/>
    <w:next w:val="BodyText"/>
    <w:link w:val="Heading3Char"/>
    <w:qFormat/>
    <w:rsid w:val="00D53738"/>
    <w:pPr>
      <w:spacing w:before="180" w:after="120"/>
      <w:outlineLvl w:val="2"/>
    </w:pPr>
    <w:rPr>
      <w:spacing w:val="-10"/>
      <w:kern w:val="32"/>
    </w:rPr>
  </w:style>
  <w:style w:type="paragraph" w:styleId="Heading4">
    <w:name w:val="heading 4"/>
    <w:basedOn w:val="HeadingBase"/>
    <w:next w:val="BodyText"/>
    <w:link w:val="Heading4Char"/>
    <w:qFormat/>
    <w:rsid w:val="00D53738"/>
    <w:pPr>
      <w:spacing w:before="160" w:after="120"/>
      <w:outlineLvl w:val="3"/>
    </w:pPr>
    <w:rPr>
      <w:sz w:val="22"/>
    </w:rPr>
  </w:style>
  <w:style w:type="paragraph" w:styleId="Heading5">
    <w:name w:val="heading 5"/>
    <w:basedOn w:val="HeadingBase"/>
    <w:next w:val="Normal"/>
    <w:link w:val="Heading5Char"/>
    <w:qFormat/>
    <w:rsid w:val="00D53738"/>
    <w:pPr>
      <w:spacing w:before="80"/>
      <w:outlineLvl w:val="4"/>
    </w:pPr>
    <w:rPr>
      <w:color w:val="918585"/>
      <w:sz w:val="20"/>
    </w:rPr>
  </w:style>
  <w:style w:type="paragraph" w:styleId="Heading6">
    <w:name w:val="heading 6"/>
    <w:basedOn w:val="HeadingBase"/>
    <w:next w:val="Normal"/>
    <w:link w:val="Heading6Char"/>
    <w:qFormat/>
    <w:rsid w:val="00D53738"/>
    <w:pPr>
      <w:spacing w:before="60"/>
      <w:outlineLvl w:val="5"/>
    </w:pPr>
    <w:rPr>
      <w:color w:val="918585"/>
      <w:sz w:val="20"/>
    </w:rPr>
  </w:style>
  <w:style w:type="paragraph" w:styleId="Heading7">
    <w:name w:val="heading 7"/>
    <w:basedOn w:val="Normal"/>
    <w:next w:val="Normal"/>
    <w:link w:val="Heading7Char"/>
    <w:qFormat/>
    <w:rsid w:val="00D53738"/>
    <w:pPr>
      <w:ind w:left="720"/>
      <w:outlineLvl w:val="6"/>
    </w:pPr>
    <w:rPr>
      <w:i/>
    </w:rPr>
  </w:style>
  <w:style w:type="paragraph" w:styleId="Heading8">
    <w:name w:val="heading 8"/>
    <w:basedOn w:val="Normal"/>
    <w:next w:val="Normal"/>
    <w:link w:val="Heading8Char"/>
    <w:qFormat/>
    <w:rsid w:val="00D53738"/>
    <w:pPr>
      <w:ind w:left="720"/>
      <w:outlineLvl w:val="7"/>
    </w:pPr>
    <w:rPr>
      <w:i/>
    </w:rPr>
  </w:style>
  <w:style w:type="paragraph" w:styleId="Heading9">
    <w:name w:val="heading 9"/>
    <w:basedOn w:val="Normal"/>
    <w:next w:val="Normal"/>
    <w:link w:val="Heading9Char"/>
    <w:qFormat/>
    <w:rsid w:val="00D53738"/>
    <w:pPr>
      <w:ind w:left="720"/>
      <w:outlineLvl w:val="8"/>
    </w:pPr>
    <w:rPr>
      <w:i/>
    </w:rPr>
  </w:style>
  <w:style w:type="character" w:default="1" w:styleId="DefaultParagraphFont">
    <w:name w:val="Default Paragraph Font"/>
    <w:uiPriority w:val="1"/>
    <w:unhideWhenUsed/>
    <w:rsid w:val="00D537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3738"/>
  </w:style>
  <w:style w:type="character" w:customStyle="1" w:styleId="Heading1Char">
    <w:name w:val="Heading 1 Char"/>
    <w:basedOn w:val="DefaultParagraphFont"/>
    <w:link w:val="Heading1"/>
    <w:rsid w:val="00D53738"/>
    <w:rPr>
      <w:rFonts w:ascii="Times New Roman" w:eastAsia="Times New Roman" w:hAnsi="Times New Roman" w:cs="Times New Roman"/>
      <w:b/>
      <w:sz w:val="32"/>
      <w:szCs w:val="20"/>
      <w:lang w:eastAsia="en-US"/>
    </w:rPr>
  </w:style>
  <w:style w:type="paragraph" w:styleId="BodyText">
    <w:name w:val="Body Text"/>
    <w:basedOn w:val="Normal"/>
    <w:link w:val="BodyTextChar"/>
    <w:rsid w:val="00D537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3738"/>
    <w:rPr>
      <w:rFonts w:ascii="Times New Roman" w:eastAsia="Times New Roman" w:hAnsi="Times New Roman" w:cs="Times New Roman"/>
      <w:sz w:val="24"/>
      <w:lang w:val="en-US" w:eastAsia="en-US"/>
    </w:rPr>
  </w:style>
  <w:style w:type="paragraph" w:styleId="Footer">
    <w:name w:val="footer"/>
    <w:basedOn w:val="Normal"/>
    <w:link w:val="FooterChar"/>
    <w:rsid w:val="00D537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3738"/>
    <w:rPr>
      <w:rFonts w:ascii="Times New Roman" w:eastAsia="Times New Roman" w:hAnsi="Times New Roman" w:cs="Times New Roman"/>
      <w:sz w:val="16"/>
      <w:lang w:val="en-US" w:eastAsia="en-US"/>
    </w:rPr>
  </w:style>
  <w:style w:type="paragraph" w:styleId="ListBullet">
    <w:name w:val="List Bullet"/>
    <w:basedOn w:val="List"/>
    <w:rsid w:val="00D53738"/>
    <w:pPr>
      <w:numPr>
        <w:numId w:val="14"/>
      </w:numPr>
      <w:tabs>
        <w:tab w:val="clear" w:pos="340"/>
      </w:tabs>
      <w:spacing w:before="40" w:after="40"/>
    </w:pPr>
  </w:style>
  <w:style w:type="character" w:customStyle="1" w:styleId="SpecialBold">
    <w:name w:val="Special Bold"/>
    <w:basedOn w:val="DefaultParagraphFont"/>
    <w:rsid w:val="00D53738"/>
    <w:rPr>
      <w:b/>
      <w:spacing w:val="0"/>
    </w:rPr>
  </w:style>
  <w:style w:type="paragraph" w:styleId="ListBullet2">
    <w:name w:val="List Bullet 2"/>
    <w:basedOn w:val="List2"/>
    <w:rsid w:val="00D53738"/>
    <w:pPr>
      <w:numPr>
        <w:numId w:val="15"/>
      </w:numPr>
      <w:tabs>
        <w:tab w:val="clear" w:pos="680"/>
      </w:tabs>
    </w:pPr>
  </w:style>
  <w:style w:type="paragraph" w:styleId="Header">
    <w:name w:val="header"/>
    <w:basedOn w:val="Normal"/>
    <w:link w:val="HeaderChar"/>
    <w:rsid w:val="00D537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37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3738"/>
    <w:pPr>
      <w:spacing w:before="240" w:after="120"/>
      <w:outlineLvl w:val="0"/>
    </w:pPr>
    <w:rPr>
      <w:rFonts w:ascii="Times New Roman" w:hAnsi="Times New Roman"/>
      <w:b/>
      <w:sz w:val="28"/>
    </w:rPr>
  </w:style>
  <w:style w:type="paragraph" w:customStyle="1" w:styleId="AllowPageBreak">
    <w:name w:val="AllowPageBreak"/>
    <w:rsid w:val="00D5373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53738"/>
    <w:pPr>
      <w:numPr>
        <w:numId w:val="3"/>
      </w:numPr>
      <w:tabs>
        <w:tab w:val="clear" w:pos="1021"/>
      </w:tabs>
      <w:ind w:left="1037" w:hanging="357"/>
    </w:pPr>
  </w:style>
  <w:style w:type="character" w:customStyle="1" w:styleId="Heading2Char">
    <w:name w:val="Heading 2 Char"/>
    <w:basedOn w:val="DefaultParagraphFont"/>
    <w:link w:val="Heading2"/>
    <w:rsid w:val="00D537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37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37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37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37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37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37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3738"/>
    <w:rPr>
      <w:rFonts w:ascii="Courier New" w:eastAsia="Times New Roman" w:hAnsi="Courier New" w:cs="Times New Roman"/>
      <w:i/>
      <w:szCs w:val="20"/>
      <w:lang w:val="en-US" w:eastAsia="en-US"/>
    </w:rPr>
  </w:style>
  <w:style w:type="paragraph" w:customStyle="1" w:styleId="HeadingBase">
    <w:name w:val="Heading Base"/>
    <w:rsid w:val="00D537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3738"/>
    <w:pPr>
      <w:tabs>
        <w:tab w:val="right" w:leader="dot" w:pos="9072"/>
      </w:tabs>
      <w:ind w:left="567"/>
    </w:pPr>
    <w:rPr>
      <w:szCs w:val="22"/>
    </w:rPr>
  </w:style>
  <w:style w:type="paragraph" w:customStyle="1" w:styleId="TOCBase">
    <w:name w:val="TOC Base"/>
    <w:rsid w:val="00D537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3738"/>
    <w:pPr>
      <w:tabs>
        <w:tab w:val="right" w:leader="dot" w:pos="9072"/>
      </w:tabs>
      <w:spacing w:before="40" w:after="40"/>
      <w:ind w:left="284"/>
    </w:pPr>
    <w:rPr>
      <w:rFonts w:ascii="Times New Roman" w:hAnsi="Times New Roman"/>
    </w:rPr>
  </w:style>
  <w:style w:type="paragraph" w:styleId="TOC1">
    <w:name w:val="toc 1"/>
    <w:basedOn w:val="TOCBase"/>
    <w:next w:val="Normal"/>
    <w:rsid w:val="00D537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3738"/>
    <w:pPr>
      <w:spacing w:before="5040"/>
      <w:jc w:val="center"/>
    </w:pPr>
    <w:rPr>
      <w:sz w:val="48"/>
      <w:szCs w:val="72"/>
      <w:lang w:val="en-US"/>
    </w:rPr>
  </w:style>
  <w:style w:type="character" w:customStyle="1" w:styleId="TitleChar">
    <w:name w:val="Title Char"/>
    <w:basedOn w:val="DefaultParagraphFont"/>
    <w:link w:val="Title"/>
    <w:rsid w:val="00D537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3738"/>
    <w:pPr>
      <w:tabs>
        <w:tab w:val="left" w:pos="3600"/>
        <w:tab w:val="left" w:pos="3958"/>
      </w:tabs>
    </w:pPr>
  </w:style>
  <w:style w:type="paragraph" w:styleId="List">
    <w:name w:val="List"/>
    <w:basedOn w:val="BodyText"/>
    <w:next w:val="BodyText"/>
    <w:rsid w:val="00D53738"/>
    <w:pPr>
      <w:tabs>
        <w:tab w:val="left" w:pos="340"/>
      </w:tabs>
      <w:spacing w:before="60" w:after="60"/>
      <w:ind w:left="340" w:hanging="340"/>
    </w:pPr>
  </w:style>
  <w:style w:type="paragraph" w:customStyle="1" w:styleId="Note">
    <w:name w:val="Note"/>
    <w:basedOn w:val="BodyText"/>
    <w:rsid w:val="00D537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3738"/>
    <w:pPr>
      <w:framePr w:wrap="auto" w:hAnchor="text" w:y="6049"/>
    </w:pPr>
    <w:rPr>
      <w:color w:val="000000"/>
      <w:sz w:val="40"/>
    </w:rPr>
  </w:style>
  <w:style w:type="paragraph" w:customStyle="1" w:styleId="TOCTitle">
    <w:name w:val="TOCTitle"/>
    <w:basedOn w:val="Heading1"/>
    <w:rsid w:val="00D53738"/>
    <w:pPr>
      <w:spacing w:after="240"/>
      <w:jc w:val="center"/>
      <w:outlineLvl w:val="9"/>
    </w:pPr>
    <w:rPr>
      <w:caps/>
    </w:rPr>
  </w:style>
  <w:style w:type="paragraph" w:customStyle="1" w:styleId="Version">
    <w:name w:val="Version"/>
    <w:rsid w:val="00D537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3738"/>
    <w:pPr>
      <w:keepNext w:val="0"/>
      <w:tabs>
        <w:tab w:val="right" w:pos="4176"/>
      </w:tabs>
      <w:ind w:left="198" w:hanging="198"/>
    </w:pPr>
    <w:rPr>
      <w:rFonts w:ascii="Garamond" w:hAnsi="Garamond"/>
    </w:rPr>
  </w:style>
  <w:style w:type="paragraph" w:styleId="IndexHeading">
    <w:name w:val="index heading"/>
    <w:basedOn w:val="Normal"/>
    <w:next w:val="Index1"/>
    <w:semiHidden/>
    <w:rsid w:val="00D53738"/>
    <w:pPr>
      <w:spacing w:before="120" w:after="120"/>
    </w:pPr>
    <w:rPr>
      <w:rFonts w:ascii="Arial" w:hAnsi="Arial"/>
      <w:b/>
      <w:color w:val="918585"/>
      <w:sz w:val="24"/>
    </w:rPr>
  </w:style>
  <w:style w:type="paragraph" w:customStyle="1" w:styleId="Chapter">
    <w:name w:val="Chapter"/>
    <w:basedOn w:val="Normal"/>
    <w:rsid w:val="00D53738"/>
    <w:pPr>
      <w:spacing w:before="240"/>
    </w:pPr>
    <w:rPr>
      <w:rFonts w:ascii="Times New Roman" w:hAnsi="Times New Roman"/>
      <w:smallCaps/>
      <w:spacing w:val="80"/>
      <w:sz w:val="28"/>
    </w:rPr>
  </w:style>
  <w:style w:type="paragraph" w:customStyle="1" w:styleId="InChapter">
    <w:name w:val="InChapter"/>
    <w:basedOn w:val="Heading3"/>
    <w:rsid w:val="00D53738"/>
    <w:pPr>
      <w:spacing w:after="240"/>
      <w:outlineLvl w:val="9"/>
    </w:pPr>
    <w:rPr>
      <w:noProof/>
    </w:rPr>
  </w:style>
  <w:style w:type="paragraph" w:styleId="Index2">
    <w:name w:val="index 2"/>
    <w:basedOn w:val="Normal"/>
    <w:next w:val="Normal"/>
    <w:semiHidden/>
    <w:rsid w:val="00D53738"/>
    <w:pPr>
      <w:tabs>
        <w:tab w:val="right" w:pos="4176"/>
      </w:tabs>
      <w:ind w:left="568" w:hanging="284"/>
    </w:pPr>
    <w:rPr>
      <w:rFonts w:ascii="Garamond" w:hAnsi="Garamond"/>
    </w:rPr>
  </w:style>
  <w:style w:type="paragraph" w:customStyle="1" w:styleId="Byline">
    <w:name w:val="Byline"/>
    <w:rsid w:val="00D537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3738"/>
    <w:pPr>
      <w:tabs>
        <w:tab w:val="clear" w:pos="3600"/>
        <w:tab w:val="clear" w:pos="3958"/>
      </w:tabs>
      <w:jc w:val="right"/>
    </w:pPr>
  </w:style>
  <w:style w:type="character" w:styleId="Emphasis">
    <w:name w:val="Emphasis"/>
    <w:basedOn w:val="DefaultParagraphFont"/>
    <w:qFormat/>
    <w:rsid w:val="00D53738"/>
    <w:rPr>
      <w:i/>
    </w:rPr>
  </w:style>
  <w:style w:type="paragraph" w:styleId="Caption">
    <w:name w:val="caption"/>
    <w:basedOn w:val="BodyText"/>
    <w:next w:val="Normal"/>
    <w:qFormat/>
    <w:rsid w:val="00D53738"/>
    <w:pPr>
      <w:framePr w:w="2268" w:hSpace="181" w:vSpace="181" w:wrap="around" w:vAnchor="text" w:hAnchor="page" w:x="1135" w:y="285" w:anchorLock="1"/>
    </w:pPr>
    <w:rPr>
      <w:i/>
    </w:rPr>
  </w:style>
  <w:style w:type="paragraph" w:customStyle="1" w:styleId="MiniTOCTitle">
    <w:name w:val="MiniTOCTitle"/>
    <w:basedOn w:val="Heading4"/>
    <w:rsid w:val="00D53738"/>
    <w:pPr>
      <w:spacing w:before="240"/>
      <w:outlineLvl w:val="9"/>
    </w:pPr>
    <w:rPr>
      <w:noProof/>
      <w:sz w:val="24"/>
    </w:rPr>
  </w:style>
  <w:style w:type="paragraph" w:customStyle="1" w:styleId="MiniTOCItem">
    <w:name w:val="MiniTOCItem"/>
    <w:basedOn w:val="ListBullet"/>
    <w:rsid w:val="00D53738"/>
    <w:pPr>
      <w:numPr>
        <w:numId w:val="0"/>
      </w:numPr>
      <w:tabs>
        <w:tab w:val="right" w:leader="dot" w:pos="6521"/>
      </w:tabs>
      <w:spacing w:before="0" w:after="0"/>
    </w:pPr>
  </w:style>
  <w:style w:type="paragraph" w:customStyle="1" w:styleId="TOFTitle">
    <w:name w:val="TOFTitle"/>
    <w:basedOn w:val="TOCTitle"/>
    <w:rsid w:val="00D53738"/>
  </w:style>
  <w:style w:type="paragraph" w:styleId="TableofFigures">
    <w:name w:val="table of figures"/>
    <w:basedOn w:val="Normal"/>
    <w:next w:val="Normal"/>
    <w:semiHidden/>
    <w:rsid w:val="00D53738"/>
    <w:pPr>
      <w:tabs>
        <w:tab w:val="right" w:leader="dot" w:pos="9072"/>
      </w:tabs>
      <w:ind w:left="970" w:hanging="403"/>
    </w:pPr>
    <w:rPr>
      <w:rFonts w:ascii="Times New Roman" w:hAnsi="Times New Roman"/>
      <w:b/>
    </w:rPr>
  </w:style>
  <w:style w:type="paragraph" w:styleId="ListNumber">
    <w:name w:val="List Number"/>
    <w:basedOn w:val="List"/>
    <w:rsid w:val="00D53738"/>
    <w:pPr>
      <w:numPr>
        <w:numId w:val="12"/>
      </w:numPr>
    </w:pPr>
  </w:style>
  <w:style w:type="character" w:customStyle="1" w:styleId="WingdingSymbols">
    <w:name w:val="Wingding Symbols"/>
    <w:rsid w:val="00D53738"/>
    <w:rPr>
      <w:rFonts w:ascii="Wingdings" w:hAnsi="Wingdings"/>
    </w:rPr>
  </w:style>
  <w:style w:type="paragraph" w:customStyle="1" w:styleId="TableHeading">
    <w:name w:val="Table Heading"/>
    <w:basedOn w:val="HeadingBase"/>
    <w:rsid w:val="00D53738"/>
    <w:pPr>
      <w:keepLines/>
      <w:pBdr>
        <w:bottom w:val="single" w:sz="6" w:space="1" w:color="918585"/>
      </w:pBdr>
      <w:spacing w:before="240"/>
    </w:pPr>
  </w:style>
  <w:style w:type="character" w:customStyle="1" w:styleId="HotSpot">
    <w:name w:val="HotSpot"/>
    <w:rsid w:val="00D53738"/>
    <w:rPr>
      <w:color w:val="0033CC"/>
      <w:u w:val="none"/>
    </w:rPr>
  </w:style>
  <w:style w:type="paragraph" w:customStyle="1" w:styleId="BodyTextRight">
    <w:name w:val="Body Text Right"/>
    <w:basedOn w:val="BodyText"/>
    <w:rsid w:val="00D53738"/>
    <w:pPr>
      <w:spacing w:before="0" w:after="0"/>
      <w:jc w:val="right"/>
    </w:pPr>
  </w:style>
  <w:style w:type="paragraph" w:styleId="Index3">
    <w:name w:val="index 3"/>
    <w:basedOn w:val="ListNumber2"/>
    <w:next w:val="Normal"/>
    <w:semiHidden/>
    <w:rsid w:val="00D53738"/>
    <w:pPr>
      <w:numPr>
        <w:numId w:val="0"/>
      </w:numPr>
      <w:tabs>
        <w:tab w:val="right" w:leader="dot" w:pos="4176"/>
      </w:tabs>
    </w:pPr>
  </w:style>
  <w:style w:type="paragraph" w:styleId="ListNumber2">
    <w:name w:val="List Number 2"/>
    <w:basedOn w:val="List2"/>
    <w:rsid w:val="00D53738"/>
    <w:pPr>
      <w:numPr>
        <w:numId w:val="11"/>
      </w:numPr>
      <w:tabs>
        <w:tab w:val="clear" w:pos="1060"/>
      </w:tabs>
    </w:pPr>
  </w:style>
  <w:style w:type="paragraph" w:customStyle="1" w:styleId="MarginNote">
    <w:name w:val="Margin Note"/>
    <w:basedOn w:val="BodyText"/>
    <w:rsid w:val="00D537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37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37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3738"/>
    <w:rPr>
      <w:sz w:val="32"/>
    </w:rPr>
  </w:style>
  <w:style w:type="paragraph" w:customStyle="1" w:styleId="HeadingProcedure">
    <w:name w:val="Heading Procedure"/>
    <w:basedOn w:val="HeadingBase"/>
    <w:next w:val="Normal"/>
    <w:rsid w:val="00D53738"/>
    <w:pPr>
      <w:tabs>
        <w:tab w:val="left" w:pos="0"/>
      </w:tabs>
      <w:spacing w:before="120" w:after="60"/>
    </w:pPr>
    <w:rPr>
      <w:i/>
      <w:color w:val="918585"/>
      <w:sz w:val="22"/>
    </w:rPr>
  </w:style>
  <w:style w:type="paragraph" w:customStyle="1" w:styleId="TableBodyText">
    <w:name w:val="Table Body Text"/>
    <w:basedOn w:val="BodyText"/>
    <w:rsid w:val="00D53738"/>
    <w:pPr>
      <w:spacing w:before="60" w:after="60"/>
    </w:pPr>
  </w:style>
  <w:style w:type="paragraph" w:styleId="ListContinue">
    <w:name w:val="List Continue"/>
    <w:basedOn w:val="List"/>
    <w:rsid w:val="00D53738"/>
    <w:pPr>
      <w:ind w:firstLine="0"/>
    </w:pPr>
  </w:style>
  <w:style w:type="paragraph" w:customStyle="1" w:styleId="ListNote">
    <w:name w:val="List Note"/>
    <w:basedOn w:val="List"/>
    <w:rsid w:val="00D53738"/>
    <w:pPr>
      <w:pBdr>
        <w:top w:val="single" w:sz="6" w:space="2" w:color="918585"/>
        <w:bottom w:val="single" w:sz="6" w:space="2" w:color="918585"/>
      </w:pBdr>
      <w:tabs>
        <w:tab w:val="left" w:pos="1021"/>
      </w:tabs>
      <w:ind w:firstLine="0"/>
    </w:pPr>
  </w:style>
  <w:style w:type="paragraph" w:customStyle="1" w:styleId="Warning">
    <w:name w:val="Warning"/>
    <w:basedOn w:val="BodyText"/>
    <w:rsid w:val="00D53738"/>
    <w:pPr>
      <w:shd w:val="clear" w:color="auto" w:fill="D9D9D9"/>
      <w:tabs>
        <w:tab w:val="left" w:pos="992"/>
      </w:tabs>
      <w:ind w:left="119" w:right="119"/>
    </w:pPr>
    <w:rPr>
      <w:sz w:val="20"/>
    </w:rPr>
  </w:style>
  <w:style w:type="paragraph" w:customStyle="1" w:styleId="MarginIcons">
    <w:name w:val="Margin Icons"/>
    <w:basedOn w:val="BodyText"/>
    <w:rsid w:val="00D537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3738"/>
    <w:rPr>
      <w:rFonts w:ascii="Courier New" w:hAnsi="Courier New"/>
    </w:rPr>
  </w:style>
  <w:style w:type="paragraph" w:customStyle="1" w:styleId="NoteBullet">
    <w:name w:val="Note Bullet"/>
    <w:basedOn w:val="Note"/>
    <w:rsid w:val="00D53738"/>
    <w:pPr>
      <w:tabs>
        <w:tab w:val="clear" w:pos="680"/>
      </w:tabs>
      <w:spacing w:before="60" w:after="60"/>
    </w:pPr>
  </w:style>
  <w:style w:type="paragraph" w:customStyle="1" w:styleId="SubHeading2">
    <w:name w:val="SubHeading2"/>
    <w:basedOn w:val="HeadingBase"/>
    <w:rsid w:val="00D53738"/>
    <w:pPr>
      <w:spacing w:before="240" w:after="60"/>
    </w:pPr>
    <w:rPr>
      <w:sz w:val="20"/>
    </w:rPr>
  </w:style>
  <w:style w:type="paragraph" w:customStyle="1" w:styleId="SubHeading1">
    <w:name w:val="SubHeading1"/>
    <w:basedOn w:val="HeadingBase"/>
    <w:rsid w:val="00D53738"/>
    <w:pPr>
      <w:spacing w:before="240" w:after="60"/>
    </w:pPr>
    <w:rPr>
      <w:color w:val="918585"/>
      <w:sz w:val="22"/>
    </w:rPr>
  </w:style>
  <w:style w:type="paragraph" w:customStyle="1" w:styleId="SideHeading">
    <w:name w:val="Side Heading"/>
    <w:basedOn w:val="HeadingBase"/>
    <w:rsid w:val="00D537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3738"/>
    <w:pPr>
      <w:numPr>
        <w:numId w:val="13"/>
      </w:numPr>
    </w:pPr>
  </w:style>
  <w:style w:type="paragraph" w:styleId="PlainText">
    <w:name w:val="Plain Text"/>
    <w:basedOn w:val="Normal"/>
    <w:link w:val="PlainTextChar"/>
    <w:rsid w:val="00D53738"/>
    <w:rPr>
      <w:sz w:val="20"/>
    </w:rPr>
  </w:style>
  <w:style w:type="character" w:customStyle="1" w:styleId="PlainTextChar">
    <w:name w:val="Plain Text Char"/>
    <w:basedOn w:val="DefaultParagraphFont"/>
    <w:link w:val="PlainText"/>
    <w:rsid w:val="00D537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3738"/>
    <w:rPr>
      <w:b/>
      <w:smallCaps/>
    </w:rPr>
  </w:style>
  <w:style w:type="paragraph" w:customStyle="1" w:styleId="TableListNumber">
    <w:name w:val="Table List Number"/>
    <w:basedOn w:val="ListNumber"/>
    <w:rsid w:val="00D53738"/>
    <w:pPr>
      <w:numPr>
        <w:numId w:val="0"/>
      </w:numPr>
    </w:pPr>
  </w:style>
  <w:style w:type="paragraph" w:styleId="TOC4">
    <w:name w:val="toc 4"/>
    <w:basedOn w:val="TOCBase"/>
    <w:next w:val="Normal"/>
    <w:semiHidden/>
    <w:rsid w:val="00D53738"/>
    <w:pPr>
      <w:tabs>
        <w:tab w:val="right" w:leader="dot" w:pos="9071"/>
      </w:tabs>
      <w:ind w:left="1701"/>
    </w:pPr>
  </w:style>
  <w:style w:type="paragraph" w:customStyle="1" w:styleId="ListAlpha">
    <w:name w:val="List Alpha"/>
    <w:basedOn w:val="List"/>
    <w:rsid w:val="00D53738"/>
    <w:pPr>
      <w:numPr>
        <w:numId w:val="10"/>
      </w:numPr>
    </w:pPr>
  </w:style>
  <w:style w:type="paragraph" w:customStyle="1" w:styleId="ListAlpha2">
    <w:name w:val="List Alpha 2"/>
    <w:basedOn w:val="List2"/>
    <w:rsid w:val="00D53738"/>
    <w:pPr>
      <w:numPr>
        <w:numId w:val="9"/>
      </w:numPr>
    </w:pPr>
  </w:style>
  <w:style w:type="paragraph" w:styleId="List2">
    <w:name w:val="List 2"/>
    <w:basedOn w:val="BodyText"/>
    <w:rsid w:val="00D53738"/>
    <w:pPr>
      <w:tabs>
        <w:tab w:val="left" w:pos="680"/>
      </w:tabs>
      <w:spacing w:before="60" w:after="60"/>
      <w:ind w:left="680" w:hanging="340"/>
    </w:pPr>
  </w:style>
  <w:style w:type="paragraph" w:styleId="List3">
    <w:name w:val="List 3"/>
    <w:basedOn w:val="BodyText"/>
    <w:rsid w:val="00D53738"/>
    <w:pPr>
      <w:tabs>
        <w:tab w:val="left" w:pos="1021"/>
      </w:tabs>
      <w:spacing w:before="60" w:after="60"/>
      <w:ind w:left="1020" w:hanging="340"/>
    </w:pPr>
  </w:style>
  <w:style w:type="paragraph" w:styleId="List4">
    <w:name w:val="List 4"/>
    <w:basedOn w:val="BodyText"/>
    <w:rsid w:val="00D53738"/>
    <w:pPr>
      <w:tabs>
        <w:tab w:val="left" w:pos="1361"/>
      </w:tabs>
      <w:spacing w:before="60" w:after="60"/>
      <w:ind w:left="1361" w:hanging="340"/>
    </w:pPr>
  </w:style>
  <w:style w:type="paragraph" w:styleId="List5">
    <w:name w:val="List 5"/>
    <w:basedOn w:val="BodyText"/>
    <w:rsid w:val="00D53738"/>
    <w:pPr>
      <w:tabs>
        <w:tab w:val="left" w:pos="1701"/>
      </w:tabs>
      <w:spacing w:before="60" w:after="60"/>
      <w:ind w:left="1701" w:hanging="340"/>
    </w:pPr>
  </w:style>
  <w:style w:type="paragraph" w:styleId="ListBullet4">
    <w:name w:val="List Bullet 4"/>
    <w:basedOn w:val="List4"/>
    <w:rsid w:val="00D53738"/>
    <w:pPr>
      <w:numPr>
        <w:numId w:val="4"/>
      </w:numPr>
    </w:pPr>
  </w:style>
  <w:style w:type="paragraph" w:styleId="ListBullet5">
    <w:name w:val="List Bullet 5"/>
    <w:basedOn w:val="List5"/>
    <w:rsid w:val="00D53738"/>
    <w:pPr>
      <w:numPr>
        <w:numId w:val="5"/>
      </w:numPr>
    </w:pPr>
  </w:style>
  <w:style w:type="paragraph" w:styleId="ListContinue2">
    <w:name w:val="List Continue 2"/>
    <w:basedOn w:val="List2"/>
    <w:rsid w:val="00D53738"/>
    <w:pPr>
      <w:ind w:firstLine="0"/>
    </w:pPr>
  </w:style>
  <w:style w:type="paragraph" w:styleId="ListContinue3">
    <w:name w:val="List Continue 3"/>
    <w:basedOn w:val="List3"/>
    <w:rsid w:val="00D53738"/>
    <w:pPr>
      <w:ind w:left="1021" w:firstLine="0"/>
    </w:pPr>
  </w:style>
  <w:style w:type="paragraph" w:styleId="ListContinue4">
    <w:name w:val="List Continue 4"/>
    <w:basedOn w:val="List4"/>
    <w:rsid w:val="00D53738"/>
    <w:pPr>
      <w:ind w:firstLine="0"/>
    </w:pPr>
  </w:style>
  <w:style w:type="paragraph" w:styleId="ListContinue5">
    <w:name w:val="List Continue 5"/>
    <w:basedOn w:val="List5"/>
    <w:rsid w:val="00D53738"/>
    <w:pPr>
      <w:ind w:firstLine="0"/>
    </w:pPr>
  </w:style>
  <w:style w:type="paragraph" w:styleId="ListNumber3">
    <w:name w:val="List Number 3"/>
    <w:basedOn w:val="List3"/>
    <w:rsid w:val="00D53738"/>
    <w:pPr>
      <w:numPr>
        <w:numId w:val="6"/>
      </w:numPr>
    </w:pPr>
  </w:style>
  <w:style w:type="paragraph" w:styleId="ListNumber4">
    <w:name w:val="List Number 4"/>
    <w:basedOn w:val="List4"/>
    <w:rsid w:val="00D53738"/>
    <w:pPr>
      <w:numPr>
        <w:numId w:val="7"/>
      </w:numPr>
    </w:pPr>
  </w:style>
  <w:style w:type="paragraph" w:styleId="ListNumber5">
    <w:name w:val="List Number 5"/>
    <w:basedOn w:val="List5"/>
    <w:rsid w:val="00D53738"/>
    <w:pPr>
      <w:numPr>
        <w:numId w:val="8"/>
      </w:numPr>
    </w:pPr>
  </w:style>
  <w:style w:type="paragraph" w:styleId="BlockText">
    <w:name w:val="Block Text"/>
    <w:basedOn w:val="Normal"/>
    <w:rsid w:val="00D53738"/>
    <w:pPr>
      <w:spacing w:after="120"/>
      <w:ind w:left="1440" w:right="1440"/>
    </w:pPr>
  </w:style>
  <w:style w:type="character" w:customStyle="1" w:styleId="Subscript">
    <w:name w:val="Subscript"/>
    <w:basedOn w:val="DefaultParagraphFont"/>
    <w:rsid w:val="00D53738"/>
    <w:rPr>
      <w:sz w:val="16"/>
      <w:vertAlign w:val="subscript"/>
    </w:rPr>
  </w:style>
  <w:style w:type="character" w:customStyle="1" w:styleId="Superscript">
    <w:name w:val="Superscript"/>
    <w:basedOn w:val="DefaultParagraphFont"/>
    <w:rsid w:val="00D53738"/>
    <w:rPr>
      <w:sz w:val="16"/>
      <w:vertAlign w:val="superscript"/>
    </w:rPr>
  </w:style>
  <w:style w:type="character" w:customStyle="1" w:styleId="Symbols">
    <w:name w:val="Symbols"/>
    <w:basedOn w:val="DefaultParagraphFont"/>
    <w:rsid w:val="00D53738"/>
    <w:rPr>
      <w:rFonts w:ascii="Symbol" w:hAnsi="Symbol"/>
    </w:rPr>
  </w:style>
  <w:style w:type="character" w:customStyle="1" w:styleId="MenuOptions">
    <w:name w:val="Menu Options"/>
    <w:basedOn w:val="DefaultParagraphFont"/>
    <w:rsid w:val="00D53738"/>
    <w:rPr>
      <w:rFonts w:ascii="Arial Narrow" w:hAnsi="Arial Narrow"/>
      <w:smallCaps/>
    </w:rPr>
  </w:style>
  <w:style w:type="character" w:customStyle="1" w:styleId="Buttons">
    <w:name w:val="Buttons"/>
    <w:basedOn w:val="DefaultParagraphFont"/>
    <w:rsid w:val="00D53738"/>
    <w:rPr>
      <w:b/>
    </w:rPr>
  </w:style>
  <w:style w:type="character" w:customStyle="1" w:styleId="Underlined">
    <w:name w:val="Underlined"/>
    <w:basedOn w:val="DefaultParagraphFont"/>
    <w:rsid w:val="00D53738"/>
    <w:rPr>
      <w:u w:val="single"/>
    </w:rPr>
  </w:style>
  <w:style w:type="paragraph" w:customStyle="1" w:styleId="TableBodyTextRight">
    <w:name w:val="Table Body Text Right"/>
    <w:basedOn w:val="TableBodyText"/>
    <w:rsid w:val="00D53738"/>
    <w:pPr>
      <w:widowControl w:val="0"/>
      <w:autoSpaceDE w:val="0"/>
      <w:autoSpaceDN w:val="0"/>
      <w:adjustRightInd w:val="0"/>
      <w:jc w:val="right"/>
    </w:pPr>
    <w:rPr>
      <w:rFonts w:cs="Arial"/>
      <w:szCs w:val="18"/>
    </w:rPr>
  </w:style>
  <w:style w:type="paragraph" w:customStyle="1" w:styleId="CopyrightText">
    <w:name w:val="Copyright Text"/>
    <w:basedOn w:val="BodyText"/>
    <w:rsid w:val="00D53738"/>
    <w:rPr>
      <w:sz w:val="18"/>
    </w:rPr>
  </w:style>
  <w:style w:type="paragraph" w:customStyle="1" w:styleId="BodySmallRight">
    <w:name w:val="Body Small Right"/>
    <w:basedOn w:val="BodyTextRight"/>
    <w:rsid w:val="00D53738"/>
    <w:rPr>
      <w:sz w:val="18"/>
      <w:szCs w:val="18"/>
    </w:rPr>
  </w:style>
  <w:style w:type="paragraph" w:customStyle="1" w:styleId="MarginEdition">
    <w:name w:val="Margin Edition"/>
    <w:basedOn w:val="MarginNote"/>
    <w:rsid w:val="00D53738"/>
    <w:pPr>
      <w:spacing w:before="0" w:after="0"/>
    </w:pPr>
    <w:rPr>
      <w:rFonts w:ascii="Times New Roman" w:hAnsi="Times New Roman"/>
      <w:color w:val="999999"/>
    </w:rPr>
  </w:style>
  <w:style w:type="paragraph" w:customStyle="1" w:styleId="Spacer">
    <w:name w:val="Spacer"/>
    <w:basedOn w:val="Normal"/>
    <w:rsid w:val="00D53738"/>
    <w:rPr>
      <w:sz w:val="2"/>
      <w:szCs w:val="2"/>
    </w:rPr>
  </w:style>
  <w:style w:type="character" w:customStyle="1" w:styleId="Small">
    <w:name w:val="Small"/>
    <w:basedOn w:val="DefaultParagraphFont"/>
    <w:rsid w:val="00D53738"/>
    <w:rPr>
      <w:sz w:val="16"/>
    </w:rPr>
  </w:style>
  <w:style w:type="paragraph" w:customStyle="1" w:styleId="WideTable">
    <w:name w:val="Wide Table"/>
    <w:basedOn w:val="Normal"/>
    <w:rsid w:val="00D53738"/>
    <w:pPr>
      <w:ind w:left="-1418"/>
    </w:pPr>
    <w:rPr>
      <w:sz w:val="2"/>
      <w:szCs w:val="2"/>
    </w:rPr>
  </w:style>
  <w:style w:type="character" w:styleId="PageNumber">
    <w:name w:val="page number"/>
    <w:basedOn w:val="DefaultParagraphFont"/>
    <w:rsid w:val="00D53738"/>
  </w:style>
  <w:style w:type="paragraph" w:styleId="Quote">
    <w:name w:val="Quote"/>
    <w:basedOn w:val="Heading1"/>
    <w:link w:val="QuoteChar"/>
    <w:qFormat/>
    <w:rsid w:val="00D53738"/>
    <w:rPr>
      <w:b w:val="0"/>
      <w:sz w:val="72"/>
      <w:szCs w:val="72"/>
      <w:lang w:val="en-NZ"/>
    </w:rPr>
  </w:style>
  <w:style w:type="character" w:customStyle="1" w:styleId="QuoteChar">
    <w:name w:val="Quote Char"/>
    <w:basedOn w:val="DefaultParagraphFont"/>
    <w:link w:val="Quote"/>
    <w:rsid w:val="00D537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3738"/>
    <w:pPr>
      <w:pageBreakBefore/>
    </w:pPr>
  </w:style>
  <w:style w:type="paragraph" w:customStyle="1" w:styleId="Border">
    <w:name w:val="Border"/>
    <w:basedOn w:val="Normal"/>
    <w:qFormat/>
    <w:rsid w:val="00D537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3738"/>
    <w:rPr>
      <w:b/>
      <w:bCs/>
      <w:i/>
      <w:iCs/>
      <w:color w:val="auto"/>
    </w:rPr>
  </w:style>
  <w:style w:type="paragraph" w:styleId="IntenseQuote">
    <w:name w:val="Intense Quote"/>
    <w:basedOn w:val="Normal"/>
    <w:next w:val="Normal"/>
    <w:link w:val="IntenseQuoteChar"/>
    <w:uiPriority w:val="30"/>
    <w:qFormat/>
    <w:rsid w:val="00D537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37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3738"/>
    <w:rPr>
      <w:smallCaps/>
      <w:color w:val="auto"/>
      <w:u w:val="single"/>
    </w:rPr>
  </w:style>
  <w:style w:type="character" w:styleId="IntenseReference">
    <w:name w:val="Intense Reference"/>
    <w:basedOn w:val="DefaultParagraphFont"/>
    <w:uiPriority w:val="32"/>
    <w:qFormat/>
    <w:rsid w:val="00D53738"/>
    <w:rPr>
      <w:b/>
      <w:bCs/>
      <w:smallCaps/>
      <w:color w:val="auto"/>
      <w:spacing w:val="5"/>
      <w:u w:val="single"/>
    </w:rPr>
  </w:style>
  <w:style w:type="paragraph" w:customStyle="1" w:styleId="2ColumnHeading">
    <w:name w:val="2Column Heading"/>
    <w:basedOn w:val="BodyText"/>
    <w:qFormat/>
    <w:rsid w:val="00D53738"/>
    <w:pPr>
      <w:spacing w:after="60"/>
      <w:ind w:left="-2268"/>
    </w:pPr>
    <w:rPr>
      <w:b/>
    </w:rPr>
  </w:style>
  <w:style w:type="paragraph" w:customStyle="1" w:styleId="Heading1TOC">
    <w:name w:val="Heading1 TOC"/>
    <w:basedOn w:val="Normal"/>
    <w:qFormat/>
    <w:rsid w:val="00D53738"/>
    <w:pPr>
      <w:spacing w:before="240" w:after="120"/>
    </w:pPr>
    <w:rPr>
      <w:rFonts w:ascii="Times New Roman" w:hAnsi="Times New Roman"/>
      <w:b/>
      <w:sz w:val="32"/>
    </w:rPr>
  </w:style>
  <w:style w:type="paragraph" w:customStyle="1" w:styleId="Heading2TOC">
    <w:name w:val="Heading2 TOC"/>
    <w:basedOn w:val="Normal"/>
    <w:qFormat/>
    <w:rsid w:val="00D53738"/>
    <w:pPr>
      <w:spacing w:before="240" w:after="60"/>
    </w:pPr>
    <w:rPr>
      <w:rFonts w:ascii="Times New Roman" w:hAnsi="Times New Roman"/>
      <w:b/>
      <w:sz w:val="28"/>
    </w:rPr>
  </w:style>
  <w:style w:type="character" w:customStyle="1" w:styleId="Underline">
    <w:name w:val="Underline"/>
    <w:basedOn w:val="DefaultParagraphFont"/>
    <w:qFormat/>
    <w:rsid w:val="00D53738"/>
    <w:rPr>
      <w:u w:val="single"/>
    </w:rPr>
  </w:style>
  <w:style w:type="character" w:customStyle="1" w:styleId="BoldandItalics">
    <w:name w:val="Bold and Italics"/>
    <w:qFormat/>
    <w:rsid w:val="00D53738"/>
    <w:rPr>
      <w:b/>
      <w:i/>
      <w:u w:val="none"/>
    </w:rPr>
  </w:style>
  <w:style w:type="paragraph" w:styleId="BalloonText">
    <w:name w:val="Balloon Text"/>
    <w:basedOn w:val="Normal"/>
    <w:link w:val="BalloonTextChar"/>
    <w:rsid w:val="00D53738"/>
    <w:rPr>
      <w:rFonts w:ascii="Tahoma" w:hAnsi="Tahoma" w:cs="Tahoma"/>
      <w:sz w:val="16"/>
      <w:szCs w:val="16"/>
    </w:rPr>
  </w:style>
  <w:style w:type="character" w:customStyle="1" w:styleId="BalloonTextChar">
    <w:name w:val="Balloon Text Char"/>
    <w:basedOn w:val="DefaultParagraphFont"/>
    <w:link w:val="BalloonText"/>
    <w:rsid w:val="00D537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37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37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3009</Words>
  <Characters>19744</Characters>
  <Application>Microsoft Office Word</Application>
  <DocSecurity>0</DocSecurity>
  <Lines>757</Lines>
  <Paragraphs>295</Paragraphs>
  <ScaleCrop>false</ScaleCrop>
  <Company>Author-it Software Corporation Ltd.</Company>
  <LinksUpToDate>false</LinksUpToDate>
  <CharactersWithSpaces>22520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UETTDRSO44A Develop crisis power systems management plans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2012-05-26T12:22:00Z</dcterms:created>
  <dcterms:modified xsi:type="dcterms:W3CDTF">2012-05-26T12:22:00Z</dcterms:modified>
</cp:coreProperties>
</file>