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5662" w:rsidP="00285662">
      <w:pPr>
        <w:pStyle w:val="Title"/>
      </w:pPr>
      <w:r>
        <w:fldChar w:fldCharType="begin"/>
      </w:r>
      <w:r>
        <w:instrText xml:space="preserve"> TITLE   \* MERGEFORMAT </w:instrText>
      </w:r>
      <w:r>
        <w:fldChar w:fldCharType="separate"/>
      </w:r>
      <w:r>
        <w:t>UETTDRSO42A Manage power systems transmission network demand</w:t>
      </w:r>
      <w:r>
        <w:fldChar w:fldCharType="end"/>
      </w:r>
    </w:p>
    <w:p w:rsidR="00285662" w:rsidP="00285662">
      <w:pPr>
        <w:pStyle w:val="Version"/>
        <w:sectPr w:rsidSect="006879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794E" w:rsidP="0068794E">
      <w:pPr>
        <w:pStyle w:val="SuperHeading"/>
      </w:pPr>
      <w:r w:rsidRPr="0068794E">
        <w:t>UETTDRSO42A Manage power systems transmission network demand</w:t>
      </w:r>
    </w:p>
    <w:p w:rsidR="00000000" w:rsidRPr="0068794E" w:rsidP="0068794E">
      <w:pPr>
        <w:pStyle w:val="Heading1"/>
      </w:pPr>
      <w:bookmarkStart w:id="1" w:name="O_465069"/>
      <w:bookmarkEnd w:id="1"/>
      <w:r w:rsidRPr="0068794E">
        <w:t>Modification History</w:t>
      </w:r>
    </w:p>
    <w:p w:rsidR="00000000" w:rsidRPr="0068794E" w:rsidP="0068794E">
      <w:pPr>
        <w:pStyle w:val="BodyText"/>
      </w:pPr>
      <w:r w:rsidRPr="0068794E">
        <w:t>Not applicable.</w:t>
      </w:r>
    </w:p>
    <w:p w:rsidR="00000000" w:rsidRPr="0068794E" w:rsidP="0068794E">
      <w:pPr>
        <w:pStyle w:val="AllowPageBreak"/>
      </w:pPr>
    </w:p>
    <w:p w:rsidR="00000000" w:rsidRPr="0068794E" w:rsidP="0068794E">
      <w:pPr>
        <w:pStyle w:val="Heading1"/>
      </w:pPr>
      <w:bookmarkStart w:id="2" w:name="O_465067"/>
      <w:bookmarkEnd w:id="2"/>
      <w:r w:rsidRPr="0068794E">
        <w:t>Unit Descriptor</w:t>
      </w:r>
    </w:p>
    <w:tbl>
      <w:tblPr>
        <w:tblW w:w="0" w:type="auto"/>
        <w:tblLayout w:type="fixed"/>
        <w:tblCellMar>
          <w:left w:w="62" w:type="dxa"/>
          <w:right w:w="62" w:type="dxa"/>
        </w:tblCellMar>
        <w:tblLook w:val="0000"/>
      </w:tblPr>
      <w:tblGrid>
        <w:gridCol w:w="2700"/>
        <w:gridCol w:w="5760"/>
      </w:tblGrid>
      <w:tr w:rsidTr="0028566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8794E" w:rsidP="0068794E">
            <w:pPr>
              <w:pStyle w:val="BodyText"/>
            </w:pPr>
            <w:r w:rsidRPr="0068794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rPr>
                <w:rStyle w:val="SpecialBold"/>
              </w:rPr>
              <w:t>1)</w:t>
            </w:r>
            <w:r w:rsidRPr="0068794E">
              <w:t xml:space="preserve"> </w:t>
            </w:r>
            <w:r w:rsidRPr="0068794E">
              <w:rPr>
                <w:rStyle w:val="SpecialBold"/>
              </w:rPr>
              <w:t>Scope:</w:t>
            </w:r>
          </w:p>
        </w:tc>
      </w:tr>
      <w:tr w:rsidTr="002856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8794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rPr>
                <w:rStyle w:val="SpecialBold"/>
              </w:rPr>
              <w:t>1.1) Descriptor</w:t>
            </w:r>
          </w:p>
        </w:tc>
      </w:tr>
      <w:tr w:rsidTr="002856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8794E" w:rsidP="0068794E">
            <w:pPr>
              <w:pStyle w:val="BodyText"/>
            </w:pPr>
            <w:r w:rsidRPr="0068794E">
              <w:t>This Competency Standard Unit covers the management of the switching of transmission network components with due regard to the loadings and prevailing network constraints and may include scheduling of generators, VAR compensators, load shedding and non-ess</w:t>
            </w:r>
            <w:r w:rsidRPr="0068794E">
              <w:t>ential loads in response to NEMMCO or network requirements. It also includes voltage and frequency controls.</w:t>
            </w:r>
          </w:p>
        </w:tc>
      </w:tr>
    </w:tbl>
    <w:p w:rsidR="00000000" w:rsidRPr="0068794E" w:rsidP="0068794E">
      <w:pPr>
        <w:pStyle w:val="BodyText"/>
      </w:pPr>
    </w:p>
    <w:p w:rsidR="00000000" w:rsidRPr="0068794E" w:rsidP="0068794E">
      <w:pPr>
        <w:pStyle w:val="AllowPageBreak"/>
      </w:pPr>
    </w:p>
    <w:p w:rsidR="00000000" w:rsidRPr="0068794E" w:rsidP="0068794E">
      <w:pPr>
        <w:pStyle w:val="Heading1"/>
      </w:pPr>
      <w:bookmarkStart w:id="3" w:name="O_465056"/>
      <w:bookmarkEnd w:id="3"/>
      <w:r w:rsidRPr="0068794E">
        <w:t>Application of the Unit</w:t>
      </w:r>
    </w:p>
    <w:tbl>
      <w:tblPr>
        <w:tblW w:w="0" w:type="auto"/>
        <w:tblLayout w:type="fixed"/>
        <w:tblCellMar>
          <w:left w:w="62" w:type="dxa"/>
          <w:right w:w="62" w:type="dxa"/>
        </w:tblCellMar>
        <w:tblLook w:val="0000"/>
      </w:tblPr>
      <w:tblGrid>
        <w:gridCol w:w="2672"/>
        <w:gridCol w:w="5699"/>
      </w:tblGrid>
      <w:tr w:rsidTr="0028566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68794E" w:rsidP="0068794E">
            <w:pPr>
              <w:pStyle w:val="BodyText"/>
            </w:pPr>
            <w:r w:rsidRPr="0068794E">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rPr>
                <w:rStyle w:val="SpecialBold"/>
              </w:rPr>
              <w:t>2)</w:t>
            </w:r>
          </w:p>
        </w:tc>
      </w:tr>
      <w:tr w:rsidTr="0028566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68794E" w:rsidP="0068794E">
            <w:pPr>
              <w:pStyle w:val="BodyText"/>
            </w:pPr>
            <w:r w:rsidRPr="0068794E">
              <w:t>This Competency Standard Unit is intended to augment formally acquired competencies. It is suitable for employment-based programs under an approved contract of training.</w:t>
            </w:r>
          </w:p>
        </w:tc>
      </w:tr>
    </w:tbl>
    <w:p w:rsidR="00000000" w:rsidRPr="0068794E" w:rsidP="0068794E">
      <w:pPr>
        <w:pStyle w:val="BodyText"/>
      </w:pPr>
    </w:p>
    <w:p w:rsidR="00000000" w:rsidRPr="0068794E" w:rsidP="0068794E">
      <w:pPr>
        <w:pStyle w:val="AllowPageBreak"/>
      </w:pPr>
    </w:p>
    <w:p w:rsidR="00000000" w:rsidRPr="0068794E" w:rsidP="0068794E">
      <w:pPr>
        <w:pStyle w:val="Heading1"/>
      </w:pPr>
      <w:bookmarkStart w:id="4" w:name="O_465063"/>
      <w:bookmarkEnd w:id="4"/>
      <w:r w:rsidRPr="0068794E">
        <w:t>Licensing/Regulatory Information</w:t>
      </w:r>
    </w:p>
    <w:tbl>
      <w:tblPr>
        <w:tblW w:w="0" w:type="auto"/>
        <w:tblLayout w:type="fixed"/>
        <w:tblCellMar>
          <w:left w:w="62" w:type="dxa"/>
          <w:right w:w="62" w:type="dxa"/>
        </w:tblCellMar>
        <w:tblLook w:val="0000"/>
      </w:tblPr>
      <w:tblGrid>
        <w:gridCol w:w="2700"/>
        <w:gridCol w:w="5760"/>
      </w:tblGrid>
      <w:tr w:rsidTr="0028566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8794E" w:rsidP="0068794E">
            <w:pPr>
              <w:pStyle w:val="BodyText"/>
            </w:pPr>
            <w:r w:rsidRPr="0068794E">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rPr>
                <w:rStyle w:val="SpecialBold"/>
              </w:rPr>
              <w:t xml:space="preserve">3) </w:t>
            </w:r>
          </w:p>
        </w:tc>
      </w:tr>
      <w:tr w:rsidTr="002856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8794E" w:rsidP="0068794E">
            <w:pPr>
              <w:pStyle w:val="BodyText"/>
            </w:pPr>
            <w:r w:rsidRPr="0068794E">
              <w:t>The skil</w:t>
            </w:r>
            <w:r w:rsidRPr="0068794E">
              <w:t>ls and knowledge described in this unit may require a licence/registration to practice in the work place subject to regulations for undertaking of electrical work. Practice in workplace and during training is also subject to regulations directly related to</w:t>
            </w:r>
            <w:r w:rsidRPr="0068794E">
              <w:t xml:space="preserve"> Occupational Health and Safety, electricity/telecommunications/gas/water industry safety and compliance, industrial relations, environmental protection, anti discrimination and training. </w:t>
            </w:r>
            <w:r w:rsidRPr="0068794E">
              <w:t>Commonwealth, State/Territory or Local Government legislation and re</w:t>
            </w:r>
            <w:r w:rsidRPr="0068794E">
              <w:t>gulations may exist that limits the age of operating certain equipment.</w:t>
            </w:r>
          </w:p>
        </w:tc>
      </w:tr>
    </w:tbl>
    <w:p w:rsidR="00000000" w:rsidRPr="0068794E" w:rsidP="0068794E">
      <w:pPr>
        <w:pStyle w:val="BodyText"/>
      </w:pPr>
    </w:p>
    <w:p w:rsidR="00000000" w:rsidRPr="0068794E" w:rsidP="0068794E">
      <w:pPr>
        <w:pStyle w:val="AllowPageBreak"/>
      </w:pPr>
    </w:p>
    <w:p w:rsidR="00000000" w:rsidRPr="0068794E" w:rsidP="0068794E">
      <w:pPr>
        <w:pStyle w:val="Heading1"/>
      </w:pPr>
      <w:bookmarkStart w:id="5" w:name="O_465064"/>
      <w:bookmarkEnd w:id="5"/>
      <w:r w:rsidRPr="0068794E">
        <w:t>Pre-Requisites</w:t>
      </w:r>
    </w:p>
    <w:tbl>
      <w:tblPr>
        <w:tblW w:w="0" w:type="auto"/>
        <w:tblLayout w:type="fixed"/>
        <w:tblCellMar>
          <w:left w:w="62" w:type="dxa"/>
          <w:right w:w="62" w:type="dxa"/>
        </w:tblCellMar>
        <w:tblLook w:val="0000"/>
      </w:tblPr>
      <w:tblGrid>
        <w:gridCol w:w="2700"/>
        <w:gridCol w:w="1980"/>
        <w:gridCol w:w="3780"/>
      </w:tblGrid>
      <w:tr w:rsidTr="0028566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8794E" w:rsidP="0068794E">
            <w:pPr>
              <w:pStyle w:val="BodyText"/>
            </w:pPr>
            <w:r w:rsidRPr="0068794E">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rPr>
                <w:rStyle w:val="SpecialBold"/>
              </w:rPr>
              <w:t xml:space="preserve">4) </w:t>
            </w:r>
          </w:p>
        </w:tc>
      </w:tr>
      <w:tr w:rsidTr="002856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8794E" w:rsidP="0068794E">
            <w:pPr>
              <w:pStyle w:val="BodyText"/>
            </w:pPr>
            <w:r w:rsidRPr="0068794E">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rPr>
                <w:rStyle w:val="SpecialBold"/>
              </w:rPr>
              <w:t>4.1)</w:t>
            </w:r>
          </w:p>
        </w:tc>
      </w:tr>
      <w:tr w:rsidTr="002856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68794E" w:rsidP="0068794E">
            <w:pPr>
              <w:pStyle w:val="BodyText"/>
            </w:pPr>
            <w:r w:rsidRPr="0068794E">
              <w:t>Granting of competency in this unit shall be made only after competency in the following unit(s) has/have been confirmed.</w:t>
            </w:r>
          </w:p>
          <w:p w:rsidR="00000000" w:rsidRPr="0068794E" w:rsidP="0068794E">
            <w:pPr>
              <w:pStyle w:val="BodyText"/>
            </w:pPr>
            <w:r w:rsidRPr="0068794E">
              <w:t xml:space="preserve">Where pre-requisite pathways have been identified. All competencies in the Common Unit Group must be have been completed plus all the </w:t>
            </w:r>
            <w:r w:rsidRPr="0068794E">
              <w:t>competencies in one (1) of the identified Pathway Unit Group(s):</w:t>
            </w:r>
          </w:p>
          <w:p w:rsidR="00000000" w:rsidP="0068794E">
            <w:pPr>
              <w:pStyle w:val="BodyText"/>
              <w:rPr>
                <w:lang w:val="en-NZ"/>
              </w:rPr>
            </w:pPr>
            <w:r w:rsidRPr="0068794E">
              <w:t>Common Unit Group</w:t>
            </w:r>
          </w:p>
        </w:tc>
      </w:tr>
      <w:tr w:rsidTr="002856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68794E">
            <w:pPr>
              <w:pStyle w:val="BodyText"/>
              <w:rPr>
                <w:lang w:val="en-NZ"/>
              </w:rPr>
            </w:pPr>
            <w:r w:rsidRPr="0068794E">
              <w:t>Unit Code</w:t>
            </w:r>
            <w:r w:rsidRPr="0068794E">
              <w:tab/>
            </w:r>
          </w:p>
        </w:tc>
        <w:tc>
          <w:tcPr>
            <w:tcW w:w="3780" w:type="dxa"/>
            <w:tcBorders>
              <w:top w:val="nil"/>
              <w:left w:val="nil"/>
              <w:bottom w:val="nil"/>
              <w:right w:val="nil"/>
            </w:tcBorders>
            <w:tcMar>
              <w:top w:w="0" w:type="dxa"/>
              <w:left w:w="62" w:type="dxa"/>
              <w:bottom w:w="0" w:type="dxa"/>
              <w:right w:w="62" w:type="dxa"/>
            </w:tcMar>
            <w:vAlign w:val="bottom"/>
          </w:tcPr>
          <w:p w:rsidR="00000000" w:rsidP="0068794E">
            <w:pPr>
              <w:pStyle w:val="BodyText"/>
              <w:rPr>
                <w:lang w:val="en-NZ"/>
              </w:rPr>
            </w:pPr>
            <w:r w:rsidRPr="0068794E">
              <w:t>Unit Title</w:t>
            </w:r>
          </w:p>
        </w:tc>
      </w:tr>
      <w:tr w:rsidTr="002856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68794E">
            <w:pPr>
              <w:pStyle w:val="BodyText"/>
              <w:rPr>
                <w:lang w:val="en-NZ"/>
              </w:rPr>
            </w:pPr>
            <w:r w:rsidRPr="0068794E">
              <w:t>UEENEED104A</w:t>
            </w:r>
          </w:p>
        </w:tc>
        <w:tc>
          <w:tcPr>
            <w:tcW w:w="3780" w:type="dxa"/>
            <w:tcBorders>
              <w:top w:val="nil"/>
              <w:left w:val="nil"/>
              <w:bottom w:val="nil"/>
              <w:right w:val="nil"/>
            </w:tcBorders>
            <w:tcMar>
              <w:top w:w="0" w:type="dxa"/>
              <w:left w:w="62" w:type="dxa"/>
              <w:bottom w:w="0" w:type="dxa"/>
              <w:right w:w="62" w:type="dxa"/>
            </w:tcMar>
            <w:vAlign w:val="bottom"/>
          </w:tcPr>
          <w:p w:rsidR="00000000" w:rsidP="0068794E">
            <w:pPr>
              <w:pStyle w:val="BodyText"/>
              <w:rPr>
                <w:lang w:val="en-NZ"/>
              </w:rPr>
            </w:pPr>
            <w:r w:rsidRPr="0068794E">
              <w:t>Use engineering applications software on personal computers</w:t>
            </w:r>
          </w:p>
        </w:tc>
      </w:tr>
      <w:tr w:rsidTr="002856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68794E">
            <w:pPr>
              <w:pStyle w:val="BodyText"/>
              <w:rPr>
                <w:lang w:val="en-NZ"/>
              </w:rPr>
            </w:pPr>
            <w:r w:rsidRPr="0068794E">
              <w:t>UEENEEE101A</w:t>
            </w:r>
          </w:p>
        </w:tc>
        <w:tc>
          <w:tcPr>
            <w:tcW w:w="3780" w:type="dxa"/>
            <w:tcBorders>
              <w:top w:val="nil"/>
              <w:left w:val="nil"/>
              <w:bottom w:val="nil"/>
              <w:right w:val="nil"/>
            </w:tcBorders>
            <w:tcMar>
              <w:top w:w="0" w:type="dxa"/>
              <w:left w:w="62" w:type="dxa"/>
              <w:bottom w:w="0" w:type="dxa"/>
              <w:right w:w="62" w:type="dxa"/>
            </w:tcMar>
            <w:vAlign w:val="center"/>
          </w:tcPr>
          <w:p w:rsidR="00000000" w:rsidP="0068794E">
            <w:pPr>
              <w:pStyle w:val="BodyText"/>
              <w:rPr>
                <w:lang w:val="en-NZ"/>
              </w:rPr>
            </w:pPr>
            <w:r w:rsidRPr="0068794E">
              <w:t>Apply Occupational Health and Safety regulations, codes and practices in the workplace</w:t>
            </w:r>
          </w:p>
        </w:tc>
      </w:tr>
      <w:tr w:rsidTr="002856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68794E">
            <w:pPr>
              <w:pStyle w:val="BodyText"/>
              <w:rPr>
                <w:lang w:val="en-NZ"/>
              </w:rPr>
            </w:pPr>
            <w:r w:rsidRPr="0068794E">
              <w:t>UEENEEE102A</w:t>
            </w:r>
          </w:p>
        </w:tc>
        <w:tc>
          <w:tcPr>
            <w:tcW w:w="3780" w:type="dxa"/>
            <w:tcBorders>
              <w:top w:val="nil"/>
              <w:left w:val="nil"/>
              <w:bottom w:val="nil"/>
              <w:right w:val="nil"/>
            </w:tcBorders>
            <w:tcMar>
              <w:top w:w="0" w:type="dxa"/>
              <w:left w:w="62" w:type="dxa"/>
              <w:bottom w:w="0" w:type="dxa"/>
              <w:right w:w="62" w:type="dxa"/>
            </w:tcMar>
            <w:vAlign w:val="center"/>
          </w:tcPr>
          <w:p w:rsidR="00000000" w:rsidP="0068794E">
            <w:pPr>
              <w:pStyle w:val="BodyText"/>
              <w:rPr>
                <w:lang w:val="en-NZ"/>
              </w:rPr>
            </w:pPr>
            <w:r w:rsidRPr="0068794E">
              <w:t>Fabricate, assemble and dismantle utilities industry components</w:t>
            </w:r>
          </w:p>
        </w:tc>
      </w:tr>
      <w:tr w:rsidTr="002856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68794E">
            <w:pPr>
              <w:pStyle w:val="BodyText"/>
              <w:rPr>
                <w:lang w:val="en-NZ"/>
              </w:rPr>
            </w:pPr>
            <w:r w:rsidRPr="0068794E">
              <w:t>UEENEEE104A</w:t>
            </w:r>
          </w:p>
        </w:tc>
        <w:tc>
          <w:tcPr>
            <w:tcW w:w="3780" w:type="dxa"/>
            <w:tcBorders>
              <w:top w:val="nil"/>
              <w:left w:val="nil"/>
              <w:bottom w:val="nil"/>
              <w:right w:val="nil"/>
            </w:tcBorders>
            <w:tcMar>
              <w:top w:w="0" w:type="dxa"/>
              <w:left w:w="62" w:type="dxa"/>
              <w:bottom w:w="0" w:type="dxa"/>
              <w:right w:w="62" w:type="dxa"/>
            </w:tcMar>
            <w:vAlign w:val="center"/>
          </w:tcPr>
          <w:p w:rsidR="00000000" w:rsidP="0068794E">
            <w:pPr>
              <w:pStyle w:val="BodyText"/>
              <w:rPr>
                <w:lang w:val="en-NZ"/>
              </w:rPr>
            </w:pPr>
            <w:r w:rsidRPr="0068794E">
              <w:t>Solve problems in d.c. Circuits</w:t>
            </w:r>
          </w:p>
        </w:tc>
      </w:tr>
      <w:tr w:rsidTr="002856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68794E">
            <w:pPr>
              <w:pStyle w:val="BodyText"/>
              <w:rPr>
                <w:lang w:val="en-NZ"/>
              </w:rPr>
            </w:pPr>
            <w:r w:rsidRPr="0068794E">
              <w:t>UEENEEE107A</w:t>
            </w:r>
          </w:p>
        </w:tc>
        <w:tc>
          <w:tcPr>
            <w:tcW w:w="3780" w:type="dxa"/>
            <w:tcBorders>
              <w:top w:val="nil"/>
              <w:left w:val="nil"/>
              <w:bottom w:val="nil"/>
              <w:right w:val="nil"/>
            </w:tcBorders>
            <w:tcMar>
              <w:top w:w="0" w:type="dxa"/>
              <w:left w:w="62" w:type="dxa"/>
              <w:bottom w:w="0" w:type="dxa"/>
              <w:right w:w="62" w:type="dxa"/>
            </w:tcMar>
            <w:vAlign w:val="center"/>
          </w:tcPr>
          <w:p w:rsidR="00000000" w:rsidP="0068794E">
            <w:pPr>
              <w:pStyle w:val="BodyText"/>
              <w:rPr>
                <w:lang w:val="en-NZ"/>
              </w:rPr>
            </w:pPr>
            <w:r w:rsidRPr="0068794E">
              <w:t>Use drawings, diagrams, schedules, standards, codes and specifications</w:t>
            </w:r>
          </w:p>
        </w:tc>
      </w:tr>
      <w:tr w:rsidTr="002856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t>UEENEEE124A</w:t>
            </w:r>
          </w:p>
        </w:tc>
        <w:tc>
          <w:tcPr>
            <w:tcW w:w="3780"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t>Compile and produce an energy sector detailed report</w:t>
            </w:r>
          </w:p>
        </w:tc>
      </w:tr>
      <w:tr w:rsidTr="002856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68794E">
            <w:pPr>
              <w:pStyle w:val="BodyText"/>
              <w:rPr>
                <w:lang w:val="en-NZ"/>
              </w:rPr>
            </w:pPr>
            <w:r w:rsidRPr="0068794E">
              <w:t>UEENEEE125A</w:t>
            </w:r>
          </w:p>
        </w:tc>
        <w:tc>
          <w:tcPr>
            <w:tcW w:w="3780" w:type="dxa"/>
            <w:tcBorders>
              <w:top w:val="nil"/>
              <w:left w:val="nil"/>
              <w:bottom w:val="nil"/>
              <w:right w:val="nil"/>
            </w:tcBorders>
            <w:tcMar>
              <w:top w:w="0" w:type="dxa"/>
              <w:left w:w="62" w:type="dxa"/>
              <w:bottom w:w="0" w:type="dxa"/>
              <w:right w:w="62" w:type="dxa"/>
            </w:tcMar>
            <w:vAlign w:val="center"/>
          </w:tcPr>
          <w:p w:rsidR="00000000" w:rsidP="0068794E">
            <w:pPr>
              <w:pStyle w:val="BodyText"/>
              <w:rPr>
                <w:lang w:val="en-NZ"/>
              </w:rPr>
            </w:pPr>
            <w:r w:rsidRPr="0068794E">
              <w:t>Provide engineering solutions for problems in complex multiple path circuits problems</w:t>
            </w:r>
          </w:p>
        </w:tc>
      </w:tr>
      <w:tr w:rsidTr="002856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68794E">
            <w:pPr>
              <w:pStyle w:val="BodyText"/>
              <w:rPr>
                <w:lang w:val="en-NZ"/>
              </w:rPr>
            </w:pPr>
            <w:r w:rsidRPr="0068794E">
              <w:t>UEENEEE126A</w:t>
            </w:r>
          </w:p>
        </w:tc>
        <w:tc>
          <w:tcPr>
            <w:tcW w:w="3780" w:type="dxa"/>
            <w:tcBorders>
              <w:top w:val="nil"/>
              <w:left w:val="nil"/>
              <w:bottom w:val="nil"/>
              <w:right w:val="nil"/>
            </w:tcBorders>
            <w:tcMar>
              <w:top w:w="0" w:type="dxa"/>
              <w:left w:w="62" w:type="dxa"/>
              <w:bottom w:w="0" w:type="dxa"/>
              <w:right w:w="62" w:type="dxa"/>
            </w:tcMar>
            <w:vAlign w:val="center"/>
          </w:tcPr>
          <w:p w:rsidR="00000000" w:rsidP="0068794E">
            <w:pPr>
              <w:pStyle w:val="BodyText"/>
              <w:rPr>
                <w:lang w:val="en-NZ"/>
              </w:rPr>
            </w:pPr>
            <w:r w:rsidRPr="0068794E">
              <w:t>Prov</w:t>
            </w:r>
            <w:r w:rsidRPr="0068794E">
              <w:t>ide solutions to basic engineering computational problems</w:t>
            </w:r>
          </w:p>
        </w:tc>
      </w:tr>
      <w:tr w:rsidTr="002856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68794E">
            <w:pPr>
              <w:pStyle w:val="BodyText"/>
              <w:rPr>
                <w:lang w:val="en-NZ"/>
              </w:rPr>
            </w:pPr>
            <w:r w:rsidRPr="0068794E">
              <w:t>UEENEEG101A</w:t>
            </w:r>
          </w:p>
        </w:tc>
        <w:tc>
          <w:tcPr>
            <w:tcW w:w="3780" w:type="dxa"/>
            <w:tcBorders>
              <w:top w:val="nil"/>
              <w:left w:val="nil"/>
              <w:bottom w:val="nil"/>
              <w:right w:val="nil"/>
            </w:tcBorders>
            <w:tcMar>
              <w:top w:w="0" w:type="dxa"/>
              <w:left w:w="62" w:type="dxa"/>
              <w:bottom w:w="0" w:type="dxa"/>
              <w:right w:w="62" w:type="dxa"/>
            </w:tcMar>
            <w:vAlign w:val="center"/>
          </w:tcPr>
          <w:p w:rsidR="00000000" w:rsidP="0068794E">
            <w:pPr>
              <w:pStyle w:val="BodyText"/>
              <w:rPr>
                <w:lang w:val="en-NZ"/>
              </w:rPr>
            </w:pPr>
            <w:r w:rsidRPr="0068794E">
              <w:t>Solve problems in electromagnetic devices and related circuits</w:t>
            </w:r>
          </w:p>
        </w:tc>
      </w:tr>
      <w:tr w:rsidTr="002856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68794E">
            <w:pPr>
              <w:pStyle w:val="BodyText"/>
              <w:rPr>
                <w:lang w:val="en-NZ"/>
              </w:rPr>
            </w:pPr>
            <w:r w:rsidRPr="0068794E">
              <w:t>UEENEEG102A</w:t>
            </w:r>
          </w:p>
        </w:tc>
        <w:tc>
          <w:tcPr>
            <w:tcW w:w="3780" w:type="dxa"/>
            <w:tcBorders>
              <w:top w:val="nil"/>
              <w:left w:val="nil"/>
              <w:bottom w:val="nil"/>
              <w:right w:val="nil"/>
            </w:tcBorders>
            <w:tcMar>
              <w:top w:w="0" w:type="dxa"/>
              <w:left w:w="62" w:type="dxa"/>
              <w:bottom w:w="0" w:type="dxa"/>
              <w:right w:w="62" w:type="dxa"/>
            </w:tcMar>
            <w:vAlign w:val="center"/>
          </w:tcPr>
          <w:p w:rsidR="00000000" w:rsidP="0068794E">
            <w:pPr>
              <w:pStyle w:val="BodyText"/>
              <w:rPr>
                <w:lang w:val="en-NZ"/>
              </w:rPr>
            </w:pPr>
            <w:r w:rsidRPr="0068794E">
              <w:t>Solve problems in electromagnetic devices and related circuits</w:t>
            </w:r>
          </w:p>
        </w:tc>
      </w:tr>
      <w:tr w:rsidTr="002856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68794E">
            <w:pPr>
              <w:pStyle w:val="BodyText"/>
              <w:rPr>
                <w:lang w:val="en-NZ"/>
              </w:rPr>
            </w:pPr>
            <w:r w:rsidRPr="0068794E">
              <w:t>UEENEEG149A</w:t>
            </w:r>
          </w:p>
        </w:tc>
        <w:tc>
          <w:tcPr>
            <w:tcW w:w="3780" w:type="dxa"/>
            <w:tcBorders>
              <w:top w:val="nil"/>
              <w:left w:val="nil"/>
              <w:bottom w:val="nil"/>
              <w:right w:val="nil"/>
            </w:tcBorders>
            <w:tcMar>
              <w:top w:w="0" w:type="dxa"/>
              <w:left w:w="62" w:type="dxa"/>
              <w:bottom w:w="0" w:type="dxa"/>
              <w:right w:w="62" w:type="dxa"/>
            </w:tcMar>
            <w:vAlign w:val="center"/>
          </w:tcPr>
          <w:p w:rsidR="00000000" w:rsidP="0068794E">
            <w:pPr>
              <w:pStyle w:val="BodyText"/>
              <w:rPr>
                <w:lang w:val="en-NZ"/>
              </w:rPr>
            </w:pPr>
            <w:r w:rsidRPr="0068794E">
              <w:t>Provide engineering solutions to problems in complex polyphase power circuits</w:t>
            </w:r>
          </w:p>
        </w:tc>
      </w:tr>
      <w:tr w:rsidTr="002856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68794E">
            <w:pPr>
              <w:pStyle w:val="BodyText"/>
              <w:rPr>
                <w:lang w:val="en-NZ"/>
              </w:rPr>
            </w:pPr>
            <w:r w:rsidRPr="0068794E">
              <w:t>UETTDREL11A</w:t>
            </w:r>
          </w:p>
        </w:tc>
        <w:tc>
          <w:tcPr>
            <w:tcW w:w="3780" w:type="dxa"/>
            <w:tcBorders>
              <w:top w:val="nil"/>
              <w:left w:val="nil"/>
              <w:bottom w:val="nil"/>
              <w:right w:val="nil"/>
            </w:tcBorders>
            <w:tcMar>
              <w:top w:w="0" w:type="dxa"/>
              <w:left w:w="62" w:type="dxa"/>
              <w:bottom w:w="0" w:type="dxa"/>
              <w:right w:w="62" w:type="dxa"/>
            </w:tcMar>
            <w:vAlign w:val="center"/>
          </w:tcPr>
          <w:p w:rsidR="00000000" w:rsidP="0068794E">
            <w:pPr>
              <w:pStyle w:val="BodyText"/>
              <w:rPr>
                <w:lang w:val="en-NZ"/>
              </w:rPr>
            </w:pPr>
            <w:r w:rsidRPr="0068794E">
              <w:t>Apply sustainable energy and environmental procedures</w:t>
            </w:r>
          </w:p>
        </w:tc>
      </w:tr>
      <w:tr w:rsidTr="002856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68794E">
            <w:pPr>
              <w:pStyle w:val="BodyText"/>
              <w:rPr>
                <w:lang w:val="en-NZ"/>
              </w:rPr>
            </w:pPr>
            <w:r w:rsidRPr="0068794E">
              <w:t>UETTDREL16A</w:t>
            </w:r>
          </w:p>
        </w:tc>
        <w:tc>
          <w:tcPr>
            <w:tcW w:w="3780" w:type="dxa"/>
            <w:tcBorders>
              <w:top w:val="nil"/>
              <w:left w:val="nil"/>
              <w:bottom w:val="nil"/>
              <w:right w:val="nil"/>
            </w:tcBorders>
            <w:tcMar>
              <w:top w:w="0" w:type="dxa"/>
              <w:left w:w="62" w:type="dxa"/>
              <w:bottom w:w="0" w:type="dxa"/>
              <w:right w:w="62" w:type="dxa"/>
            </w:tcMar>
            <w:vAlign w:val="center"/>
          </w:tcPr>
          <w:p w:rsidR="00000000" w:rsidP="0068794E">
            <w:pPr>
              <w:pStyle w:val="BodyText"/>
              <w:rPr>
                <w:lang w:val="en-NZ"/>
              </w:rPr>
            </w:pPr>
            <w:r w:rsidRPr="0068794E">
              <w:t xml:space="preserve">Working safely near live electrical apparatus </w:t>
            </w:r>
          </w:p>
        </w:tc>
      </w:tr>
      <w:tr w:rsidTr="002856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68794E">
            <w:pPr>
              <w:pStyle w:val="BodyText"/>
              <w:rPr>
                <w:lang w:val="en-NZ"/>
              </w:rPr>
            </w:pPr>
            <w:r w:rsidRPr="0068794E">
              <w:t>UETTDRIS62A</w:t>
            </w:r>
          </w:p>
        </w:tc>
        <w:tc>
          <w:tcPr>
            <w:tcW w:w="3780" w:type="dxa"/>
            <w:tcBorders>
              <w:top w:val="nil"/>
              <w:left w:val="nil"/>
              <w:bottom w:val="nil"/>
              <w:right w:val="nil"/>
            </w:tcBorders>
            <w:tcMar>
              <w:top w:w="0" w:type="dxa"/>
              <w:left w:w="62" w:type="dxa"/>
              <w:bottom w:w="0" w:type="dxa"/>
              <w:right w:w="62" w:type="dxa"/>
            </w:tcMar>
            <w:vAlign w:val="center"/>
          </w:tcPr>
          <w:p w:rsidR="00000000" w:rsidP="0068794E">
            <w:pPr>
              <w:pStyle w:val="BodyText"/>
              <w:rPr>
                <w:lang w:val="en-NZ"/>
              </w:rPr>
            </w:pPr>
            <w:r w:rsidRPr="0068794E">
              <w:t>Implement and monitor the power sys</w:t>
            </w:r>
            <w:r w:rsidRPr="0068794E">
              <w:t>tem organisational OHS policies, procedures and programs</w:t>
            </w:r>
          </w:p>
        </w:tc>
      </w:tr>
      <w:tr w:rsidTr="002856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68794E">
            <w:pPr>
              <w:pStyle w:val="BodyText"/>
              <w:rPr>
                <w:lang w:val="en-NZ"/>
              </w:rPr>
            </w:pPr>
            <w:r w:rsidRPr="0068794E">
              <w:t>UETTDRIS63A</w:t>
            </w:r>
          </w:p>
        </w:tc>
        <w:tc>
          <w:tcPr>
            <w:tcW w:w="3780" w:type="dxa"/>
            <w:tcBorders>
              <w:top w:val="nil"/>
              <w:left w:val="nil"/>
              <w:bottom w:val="nil"/>
              <w:right w:val="nil"/>
            </w:tcBorders>
            <w:tcMar>
              <w:top w:w="0" w:type="dxa"/>
              <w:left w:w="62" w:type="dxa"/>
              <w:bottom w:w="0" w:type="dxa"/>
              <w:right w:w="62" w:type="dxa"/>
            </w:tcMar>
            <w:vAlign w:val="center"/>
          </w:tcPr>
          <w:p w:rsidR="00000000" w:rsidP="0068794E">
            <w:pPr>
              <w:pStyle w:val="BodyText"/>
              <w:rPr>
                <w:lang w:val="en-NZ"/>
              </w:rPr>
            </w:pPr>
            <w:r w:rsidRPr="0068794E">
              <w:t>Implement and monitor the power system environmental and sustainable energy management policies and procedures</w:t>
            </w:r>
          </w:p>
        </w:tc>
      </w:tr>
      <w:tr w:rsidTr="002856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t>UETTDRSO41A</w:t>
            </w:r>
          </w:p>
        </w:tc>
        <w:tc>
          <w:tcPr>
            <w:tcW w:w="3780"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t>Manage power systems transmission networks</w:t>
            </w:r>
          </w:p>
        </w:tc>
      </w:tr>
      <w:tr w:rsidTr="002856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68794E">
            <w:pPr>
              <w:pStyle w:val="BodyText"/>
              <w:rPr>
                <w:lang w:val="en-NZ"/>
              </w:rPr>
            </w:pPr>
            <w:r w:rsidRPr="0068794E">
              <w:t>UETTDRSO48A</w:t>
            </w:r>
          </w:p>
        </w:tc>
        <w:tc>
          <w:tcPr>
            <w:tcW w:w="3780" w:type="dxa"/>
            <w:tcBorders>
              <w:top w:val="nil"/>
              <w:left w:val="nil"/>
              <w:bottom w:val="nil"/>
              <w:right w:val="nil"/>
            </w:tcBorders>
            <w:tcMar>
              <w:top w:w="0" w:type="dxa"/>
              <w:left w:w="62" w:type="dxa"/>
              <w:bottom w:w="0" w:type="dxa"/>
              <w:right w:w="62" w:type="dxa"/>
            </w:tcMar>
            <w:vAlign w:val="center"/>
          </w:tcPr>
          <w:p w:rsidR="00000000" w:rsidP="0068794E">
            <w:pPr>
              <w:pStyle w:val="BodyText"/>
              <w:rPr>
                <w:lang w:val="en-NZ"/>
              </w:rPr>
            </w:pPr>
            <w:r w:rsidRPr="0068794E">
              <w:t>Respond to discrete and interdependent protection operations</w:t>
            </w:r>
          </w:p>
        </w:tc>
      </w:tr>
      <w:tr w:rsidTr="002856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68794E">
            <w:pPr>
              <w:pStyle w:val="BodyText"/>
              <w:rPr>
                <w:lang w:val="en-NZ"/>
              </w:rPr>
            </w:pPr>
            <w:r w:rsidRPr="0068794E">
              <w:t>UETTDRSO49A</w:t>
            </w:r>
          </w:p>
        </w:tc>
        <w:tc>
          <w:tcPr>
            <w:tcW w:w="3780" w:type="dxa"/>
            <w:tcBorders>
              <w:top w:val="nil"/>
              <w:left w:val="nil"/>
              <w:bottom w:val="nil"/>
              <w:right w:val="nil"/>
            </w:tcBorders>
            <w:tcMar>
              <w:top w:w="0" w:type="dxa"/>
              <w:left w:w="62" w:type="dxa"/>
              <w:bottom w:w="0" w:type="dxa"/>
              <w:right w:w="62" w:type="dxa"/>
            </w:tcMar>
            <w:vAlign w:val="center"/>
          </w:tcPr>
          <w:p w:rsidR="00000000" w:rsidP="0068794E">
            <w:pPr>
              <w:pStyle w:val="BodyText"/>
              <w:rPr>
                <w:lang w:val="en-NZ"/>
              </w:rPr>
            </w:pPr>
            <w:r w:rsidRPr="0068794E">
              <w:t>Coordinate power system operations in a regulated energy market</w:t>
            </w:r>
          </w:p>
        </w:tc>
      </w:tr>
      <w:tr w:rsidTr="002856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vAlign w:val="center"/>
          </w:tcPr>
          <w:p w:rsidR="00000000" w:rsidP="0068794E">
            <w:pPr>
              <w:pStyle w:val="BodyText"/>
              <w:rPr>
                <w:lang w:val="en-NZ"/>
              </w:rPr>
            </w:pPr>
            <w:r w:rsidRPr="0068794E">
              <w:t>Distribution and Subtransmission Pathway Unit Group</w:t>
            </w:r>
          </w:p>
        </w:tc>
      </w:tr>
      <w:tr w:rsidTr="002856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68794E">
            <w:pPr>
              <w:pStyle w:val="BodyText"/>
              <w:rPr>
                <w:lang w:val="en-NZ"/>
              </w:rPr>
            </w:pPr>
            <w:r w:rsidRPr="0068794E">
              <w:t>UETTDRSO37A</w:t>
            </w:r>
          </w:p>
        </w:tc>
        <w:tc>
          <w:tcPr>
            <w:tcW w:w="3780" w:type="dxa"/>
            <w:tcBorders>
              <w:top w:val="nil"/>
              <w:left w:val="nil"/>
              <w:bottom w:val="nil"/>
              <w:right w:val="nil"/>
            </w:tcBorders>
            <w:tcMar>
              <w:top w:w="0" w:type="dxa"/>
              <w:left w:w="62" w:type="dxa"/>
              <w:bottom w:w="0" w:type="dxa"/>
              <w:right w:w="62" w:type="dxa"/>
            </w:tcMar>
            <w:vAlign w:val="center"/>
          </w:tcPr>
          <w:p w:rsidR="00000000" w:rsidP="0068794E">
            <w:pPr>
              <w:pStyle w:val="BodyText"/>
              <w:rPr>
                <w:lang w:val="en-NZ"/>
              </w:rPr>
            </w:pPr>
            <w:r w:rsidRPr="0068794E">
              <w:t>Develop high voltage distribution and subtransmission switching programs</w:t>
            </w:r>
          </w:p>
        </w:tc>
      </w:tr>
      <w:tr w:rsidTr="002856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t>UETTDRSO40A</w:t>
            </w:r>
          </w:p>
        </w:tc>
        <w:tc>
          <w:tcPr>
            <w:tcW w:w="3780"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t>Coordinate high voltage distribution and subtransmission networks</w:t>
            </w:r>
          </w:p>
        </w:tc>
      </w:tr>
      <w:tr w:rsidTr="002856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vAlign w:val="center"/>
          </w:tcPr>
          <w:p w:rsidR="00000000" w:rsidP="0068794E">
            <w:pPr>
              <w:pStyle w:val="BodyText"/>
              <w:rPr>
                <w:lang w:val="en-NZ"/>
              </w:rPr>
            </w:pPr>
            <w:r w:rsidRPr="0068794E">
              <w:t>Transmission Pathway Unit Group</w:t>
            </w:r>
          </w:p>
        </w:tc>
      </w:tr>
      <w:tr w:rsidTr="002856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t>UETTDRSO38A</w:t>
            </w:r>
          </w:p>
        </w:tc>
        <w:tc>
          <w:tcPr>
            <w:tcW w:w="3780"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t>Develop and evaluate power systems transmission switching programs</w:t>
            </w:r>
          </w:p>
        </w:tc>
      </w:tr>
      <w:tr w:rsidTr="002856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t>UETTDRSO47A</w:t>
            </w:r>
          </w:p>
        </w:tc>
        <w:tc>
          <w:tcPr>
            <w:tcW w:w="3780" w:type="dxa"/>
            <w:tcBorders>
              <w:top w:val="nil"/>
              <w:left w:val="nil"/>
              <w:bottom w:val="nil"/>
              <w:right w:val="nil"/>
            </w:tcBorders>
            <w:tcMar>
              <w:top w:w="0" w:type="dxa"/>
              <w:left w:w="62" w:type="dxa"/>
              <w:bottom w:w="0" w:type="dxa"/>
              <w:right w:w="62" w:type="dxa"/>
            </w:tcMar>
          </w:tcPr>
          <w:p w:rsidR="00000000" w:rsidRPr="0068794E" w:rsidP="0068794E">
            <w:pPr>
              <w:pStyle w:val="BodyText"/>
            </w:pPr>
            <w:r w:rsidRPr="0068794E">
              <w:t>Coordinate high voltage transmission network</w:t>
            </w:r>
          </w:p>
        </w:tc>
      </w:tr>
    </w:tbl>
    <w:p w:rsidR="00000000" w:rsidRPr="0068794E" w:rsidP="0068794E">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285662">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68794E" w:rsidP="0068794E">
            <w:pPr>
              <w:pStyle w:val="BodyText"/>
            </w:pPr>
            <w:r w:rsidRPr="0068794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rPr>
                <w:rStyle w:val="SpecialBold"/>
              </w:rPr>
              <w:t xml:space="preserve">4.2) </w:t>
            </w:r>
          </w:p>
        </w:tc>
      </w:tr>
      <w:tr w:rsidTr="002856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t>Participants are best equipped to achieve this unit if they have reading, writing and numeracy skills indicated by the following scales. Description of each scale is given in Volume 2, Part 3 “Literacy and Numeracy”</w:t>
            </w:r>
          </w:p>
        </w:tc>
      </w:tr>
      <w:tr w:rsidTr="002856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t>Reading</w:t>
            </w:r>
          </w:p>
        </w:tc>
        <w:tc>
          <w:tcPr>
            <w:tcW w:w="810"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t>5</w:t>
            </w:r>
          </w:p>
        </w:tc>
        <w:tc>
          <w:tcPr>
            <w:tcW w:w="990"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t>Writing</w:t>
            </w:r>
          </w:p>
        </w:tc>
        <w:tc>
          <w:tcPr>
            <w:tcW w:w="900"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t>5</w:t>
            </w:r>
          </w:p>
        </w:tc>
        <w:tc>
          <w:tcPr>
            <w:tcW w:w="1260"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t>Numeracy</w:t>
            </w:r>
          </w:p>
        </w:tc>
        <w:tc>
          <w:tcPr>
            <w:tcW w:w="720" w:type="dxa"/>
            <w:tcBorders>
              <w:top w:val="nil"/>
              <w:left w:val="nil"/>
              <w:bottom w:val="nil"/>
              <w:right w:val="nil"/>
            </w:tcBorders>
            <w:tcMar>
              <w:top w:w="0" w:type="dxa"/>
              <w:left w:w="62" w:type="dxa"/>
              <w:bottom w:w="0" w:type="dxa"/>
              <w:right w:w="62" w:type="dxa"/>
            </w:tcMar>
          </w:tcPr>
          <w:p w:rsidR="00000000" w:rsidRPr="0068794E" w:rsidP="0068794E">
            <w:pPr>
              <w:pStyle w:val="BodyText"/>
            </w:pPr>
            <w:r w:rsidRPr="0068794E">
              <w:t>5</w:t>
            </w:r>
          </w:p>
        </w:tc>
      </w:tr>
    </w:tbl>
    <w:p w:rsidR="00000000" w:rsidRPr="0068794E" w:rsidP="0068794E">
      <w:pPr>
        <w:pStyle w:val="BodyText"/>
      </w:pPr>
    </w:p>
    <w:p w:rsidR="00000000" w:rsidRPr="0068794E" w:rsidP="0068794E">
      <w:pPr>
        <w:pStyle w:val="AllowPageBreak"/>
      </w:pPr>
    </w:p>
    <w:p w:rsidR="00000000" w:rsidRPr="0068794E" w:rsidP="0068794E">
      <w:pPr>
        <w:pStyle w:val="Heading1"/>
      </w:pPr>
      <w:bookmarkStart w:id="6" w:name="O_465060"/>
      <w:bookmarkEnd w:id="6"/>
      <w:r w:rsidRPr="0068794E">
        <w:t>Employability Skills Information</w:t>
      </w:r>
    </w:p>
    <w:tbl>
      <w:tblPr>
        <w:tblW w:w="0" w:type="auto"/>
        <w:tblLayout w:type="fixed"/>
        <w:tblCellMar>
          <w:left w:w="62" w:type="dxa"/>
          <w:right w:w="62" w:type="dxa"/>
        </w:tblCellMar>
        <w:tblLook w:val="0000"/>
      </w:tblPr>
      <w:tblGrid>
        <w:gridCol w:w="2700"/>
        <w:gridCol w:w="5760"/>
      </w:tblGrid>
      <w:tr w:rsidTr="0028566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8794E" w:rsidP="0068794E">
            <w:pPr>
              <w:pStyle w:val="BodyText"/>
            </w:pPr>
            <w:r w:rsidRPr="0068794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rPr>
                <w:rStyle w:val="SpecialBold"/>
              </w:rPr>
              <w:t xml:space="preserve">5) </w:t>
            </w:r>
          </w:p>
        </w:tc>
      </w:tr>
      <w:tr w:rsidTr="002856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8794E" w:rsidP="0068794E">
            <w:pPr>
              <w:pStyle w:val="BodyText"/>
            </w:pPr>
            <w:r w:rsidRPr="0068794E">
              <w:t>The required outcomes described in this unit of competency contain applicable facets of Employability Skills. The Employability Skills Summary of the qualification in which this u</w:t>
            </w:r>
            <w:r w:rsidRPr="0068794E">
              <w:t>nit of competency is packaged will assist in identifying Employability Skill requirements.</w:t>
            </w:r>
          </w:p>
        </w:tc>
      </w:tr>
    </w:tbl>
    <w:p w:rsidR="00000000" w:rsidRPr="0068794E" w:rsidP="0068794E">
      <w:pPr>
        <w:pStyle w:val="BodyText"/>
      </w:pPr>
    </w:p>
    <w:p w:rsidR="00000000" w:rsidRPr="0068794E" w:rsidP="0068794E">
      <w:pPr>
        <w:pStyle w:val="AllowPageBreak"/>
      </w:pPr>
    </w:p>
    <w:p w:rsidR="00000000" w:rsidRPr="0068794E" w:rsidP="0068794E">
      <w:pPr>
        <w:pStyle w:val="Heading1"/>
      </w:pPr>
      <w:bookmarkStart w:id="7" w:name="O_465059"/>
      <w:bookmarkEnd w:id="7"/>
      <w:r w:rsidRPr="0068794E">
        <w:t>Elements and Performance Criteria Pre-Content</w:t>
      </w:r>
    </w:p>
    <w:tbl>
      <w:tblPr>
        <w:tblW w:w="0" w:type="auto"/>
        <w:tblLayout w:type="fixed"/>
        <w:tblCellMar>
          <w:left w:w="62" w:type="dxa"/>
          <w:right w:w="62" w:type="dxa"/>
        </w:tblCellMar>
        <w:tblLook w:val="0000"/>
      </w:tblPr>
      <w:tblGrid>
        <w:gridCol w:w="2700"/>
        <w:gridCol w:w="5760"/>
      </w:tblGrid>
      <w:tr w:rsidTr="002856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rPr>
                <w:rStyle w:val="SpecialBold"/>
              </w:rPr>
              <w:t>6)</w:t>
            </w:r>
            <w:r w:rsidRPr="0068794E">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68794E" w:rsidP="0068794E">
            <w:pPr>
              <w:pStyle w:val="BodyText"/>
            </w:pPr>
            <w:r w:rsidRPr="0068794E">
              <w:t>Performance Criteria describe the required performance needed to demonstrate achievement of the element. Assessment of performance is to be consistent with the Evidence Guide.</w:t>
            </w:r>
          </w:p>
        </w:tc>
      </w:tr>
    </w:tbl>
    <w:p w:rsidR="00000000" w:rsidRPr="0068794E" w:rsidP="0068794E">
      <w:pPr>
        <w:pStyle w:val="BodyText"/>
      </w:pPr>
    </w:p>
    <w:p w:rsidR="00000000" w:rsidRPr="0068794E" w:rsidP="0068794E">
      <w:pPr>
        <w:pStyle w:val="AllowPageBreak"/>
      </w:pPr>
    </w:p>
    <w:p w:rsidR="00000000" w:rsidRPr="0068794E" w:rsidP="0068794E">
      <w:pPr>
        <w:pStyle w:val="Heading1"/>
      </w:pPr>
      <w:bookmarkStart w:id="8" w:name="O_465058"/>
      <w:bookmarkEnd w:id="8"/>
      <w:r w:rsidRPr="0068794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8566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8794E" w:rsidP="0068794E">
            <w:pPr>
              <w:pStyle w:val="BodyText"/>
            </w:pPr>
            <w:r w:rsidRPr="0068794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rPr>
                <w:rStyle w:val="SpecialBold"/>
              </w:rPr>
              <w:t>PERFORMANCE CRITER</w:t>
            </w:r>
            <w:r w:rsidRPr="0068794E">
              <w:rPr>
                <w:rStyle w:val="SpecialBold"/>
              </w:rPr>
              <w:t>IA</w:t>
            </w:r>
          </w:p>
        </w:tc>
      </w:tr>
      <w:tr w:rsidTr="002856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t>1</w:t>
            </w:r>
          </w:p>
        </w:tc>
        <w:tc>
          <w:tcPr>
            <w:tcW w:w="2296"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t>Plan for the management of transmission network demand</w:t>
            </w:r>
          </w:p>
        </w:tc>
        <w:tc>
          <w:tcPr>
            <w:tcW w:w="900"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t>1.1</w:t>
            </w:r>
          </w:p>
        </w:tc>
        <w:tc>
          <w:tcPr>
            <w:tcW w:w="4860"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t>OHS practices/procedures and environmental and sustainable energy procedures, which may influence the management of transmission network demand systems, are reviewed and determined.</w:t>
            </w:r>
          </w:p>
        </w:tc>
      </w:tr>
      <w:tr w:rsidTr="002856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t>1.2</w:t>
            </w:r>
          </w:p>
        </w:tc>
        <w:tc>
          <w:tcPr>
            <w:tcW w:w="4860"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t>Purpose of the management of transmission network demand is established after data is analysed and expected outcomes of the work are confirmed with the appropriate personnel.</w:t>
            </w:r>
          </w:p>
        </w:tc>
      </w:tr>
      <w:tr w:rsidTr="002856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t>1.3</w:t>
            </w:r>
          </w:p>
        </w:tc>
        <w:tc>
          <w:tcPr>
            <w:tcW w:w="4860"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t>Organisational established procedures on policies and specifications for t</w:t>
            </w:r>
            <w:r w:rsidRPr="0068794E">
              <w:t>he management of transmission network demand are obtained or established with the appropriate personnel.</w:t>
            </w:r>
          </w:p>
        </w:tc>
      </w:tr>
      <w:tr w:rsidTr="002856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t>1.4</w:t>
            </w:r>
          </w:p>
        </w:tc>
        <w:tc>
          <w:tcPr>
            <w:tcW w:w="4860"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t>Testing procedures are discussed with/directed to the appropriate personnel in order to ascertain the project brief.</w:t>
            </w:r>
          </w:p>
        </w:tc>
      </w:tr>
      <w:tr w:rsidTr="002856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t>1.5</w:t>
            </w:r>
          </w:p>
        </w:tc>
        <w:tc>
          <w:tcPr>
            <w:tcW w:w="4860"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t>Testing parameters are established from organisational established procedures on policies and specifications.</w:t>
            </w:r>
          </w:p>
        </w:tc>
      </w:tr>
      <w:tr w:rsidTr="002856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t>1.6</w:t>
            </w:r>
          </w:p>
        </w:tc>
        <w:tc>
          <w:tcPr>
            <w:tcW w:w="4860"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t>Equipment/tools and personal protective equipment are selected based on specified Performance Criteria and established procedures.</w:t>
            </w:r>
          </w:p>
        </w:tc>
      </w:tr>
      <w:tr w:rsidTr="002856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t>1.7</w:t>
            </w:r>
          </w:p>
        </w:tc>
        <w:tc>
          <w:tcPr>
            <w:tcW w:w="4860"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t>W</w:t>
            </w:r>
            <w:r w:rsidRPr="0068794E">
              <w:t>ork roles and tasks are allocated according to requirements and individuals’ competencies.</w:t>
            </w:r>
          </w:p>
        </w:tc>
      </w:tr>
      <w:tr w:rsidTr="002856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t>1.8</w:t>
            </w:r>
          </w:p>
        </w:tc>
        <w:tc>
          <w:tcPr>
            <w:tcW w:w="4860"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t xml:space="preserve">Work is prioritised and sequenced for the most efficient/effective outcome, completed within an acceptable timeframe to a quality standard </w:t>
            </w:r>
            <w:r w:rsidRPr="0068794E">
              <w:t>and in accordance with established procedures.</w:t>
            </w:r>
          </w:p>
        </w:tc>
      </w:tr>
      <w:tr w:rsidTr="002856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t>1.9</w:t>
            </w:r>
          </w:p>
        </w:tc>
        <w:tc>
          <w:tcPr>
            <w:tcW w:w="4860"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t>Liaison and communication issues with other/authorised personnel, authorities, clients and land owners are resolved and activities coordinated to carry out work.</w:t>
            </w:r>
          </w:p>
        </w:tc>
      </w:tr>
      <w:tr w:rsidTr="002856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t>1.10</w:t>
            </w:r>
          </w:p>
        </w:tc>
        <w:tc>
          <w:tcPr>
            <w:tcW w:w="4860"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t>Risk control measures are identi</w:t>
            </w:r>
            <w:r w:rsidRPr="0068794E">
              <w:t>fied, prioritised and evaluated against the work schedule.</w:t>
            </w:r>
          </w:p>
        </w:tc>
      </w:tr>
      <w:tr w:rsidTr="002856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t>1.11</w:t>
            </w:r>
          </w:p>
        </w:tc>
        <w:tc>
          <w:tcPr>
            <w:tcW w:w="4860"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t>Relevant work permits are secured to coordinate the performance of work according to requirements and/or established procedures.</w:t>
            </w:r>
          </w:p>
        </w:tc>
      </w:tr>
      <w:tr w:rsidTr="002856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t>2</w:t>
            </w:r>
          </w:p>
        </w:tc>
        <w:tc>
          <w:tcPr>
            <w:tcW w:w="2296" w:type="dxa"/>
            <w:vMerge w:val="restart"/>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t>Carry out the management of transmission network demand</w:t>
            </w:r>
          </w:p>
        </w:tc>
        <w:tc>
          <w:tcPr>
            <w:tcW w:w="900"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t>2</w:t>
            </w:r>
            <w:r w:rsidRPr="0068794E">
              <w:t>.1</w:t>
            </w:r>
          </w:p>
        </w:tc>
        <w:tc>
          <w:tcPr>
            <w:tcW w:w="4860"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t>Circuit/systems modelling is used to evaluate alternative proposals as per established procedures.</w:t>
            </w:r>
          </w:p>
        </w:tc>
      </w:tr>
      <w:tr w:rsidTr="002856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t>2.2</w:t>
            </w:r>
          </w:p>
        </w:tc>
        <w:tc>
          <w:tcPr>
            <w:tcW w:w="4860"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t>OHS and sustainable energy principles, functionality and practices to reduce the incidents of accidents and minimise waste are incorporated int</w:t>
            </w:r>
            <w:r w:rsidRPr="0068794E">
              <w:t>o the project in accordance with requirements and/or established procedures.</w:t>
            </w:r>
          </w:p>
        </w:tc>
      </w:tr>
      <w:tr w:rsidTr="002856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t>2.3</w:t>
            </w:r>
          </w:p>
        </w:tc>
        <w:tc>
          <w:tcPr>
            <w:tcW w:w="4860"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t>Management decisions are made on the basis of safety and effective outcomes according to requirements and/or established procedures.</w:t>
            </w:r>
          </w:p>
        </w:tc>
      </w:tr>
      <w:tr w:rsidTr="002856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t>2.4</w:t>
            </w:r>
          </w:p>
        </w:tc>
        <w:tc>
          <w:tcPr>
            <w:tcW w:w="4860"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t>Mathematical and/or engineering models of the transmission network demand are used to analyse the effectiveness of the finished project as per requirements and established procedures.</w:t>
            </w:r>
          </w:p>
        </w:tc>
      </w:tr>
      <w:tr w:rsidTr="002856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t>2.5</w:t>
            </w:r>
          </w:p>
        </w:tc>
        <w:tc>
          <w:tcPr>
            <w:tcW w:w="4860"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t>Technical advice is given regarding potential hazards, safety ris</w:t>
            </w:r>
            <w:r w:rsidRPr="0068794E">
              <w:t>ks and control measures so that monitoring and preventative action can be undertaken and/or appropriate authorities consulted, where necessary, in accordance with requirements and established procedures.</w:t>
            </w:r>
          </w:p>
        </w:tc>
      </w:tr>
      <w:tr w:rsidTr="002856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t>2.6</w:t>
            </w:r>
          </w:p>
        </w:tc>
        <w:tc>
          <w:tcPr>
            <w:tcW w:w="4860"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t>Essential knowledge and associated skills are</w:t>
            </w:r>
            <w:r w:rsidRPr="0068794E">
              <w:t xml:space="preserve"> applied to analyse specific data and compare it with compliance specifications to ensure completion of the project within an agreed timeframe according to requirements.</w:t>
            </w:r>
          </w:p>
        </w:tc>
      </w:tr>
      <w:tr w:rsidTr="002856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t>2.7</w:t>
            </w:r>
          </w:p>
        </w:tc>
        <w:tc>
          <w:tcPr>
            <w:tcW w:w="4860"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t>Testing of management process is undertaken according to requirements and estab</w:t>
            </w:r>
            <w:r w:rsidRPr="0068794E">
              <w:t>lished procedures.</w:t>
            </w:r>
          </w:p>
        </w:tc>
      </w:tr>
      <w:tr w:rsidTr="002856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t>2.8</w:t>
            </w:r>
          </w:p>
        </w:tc>
        <w:tc>
          <w:tcPr>
            <w:tcW w:w="4860"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t>Work teams/groups are arranged/coordinated/evaluated to ensure planned goals are met according to established procedures.</w:t>
            </w:r>
          </w:p>
        </w:tc>
      </w:tr>
      <w:tr w:rsidTr="002856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t>2.9</w:t>
            </w:r>
          </w:p>
        </w:tc>
        <w:tc>
          <w:tcPr>
            <w:tcW w:w="4860"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t>Solutions to non-routine problems are identified and actioned, using acquired essential knowledge and associated skills, according to requirements.</w:t>
            </w:r>
          </w:p>
        </w:tc>
      </w:tr>
      <w:tr w:rsidTr="002856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t>2.10</w:t>
            </w:r>
          </w:p>
        </w:tc>
        <w:tc>
          <w:tcPr>
            <w:tcW w:w="4860"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t>Quality of work is monitored against personal performance agreement and/or established organisationa</w:t>
            </w:r>
            <w:r w:rsidRPr="0068794E">
              <w:t>l and professional standards.</w:t>
            </w:r>
          </w:p>
        </w:tc>
      </w:tr>
      <w:tr w:rsidTr="002856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t>2.11</w:t>
            </w:r>
          </w:p>
        </w:tc>
        <w:tc>
          <w:tcPr>
            <w:tcW w:w="4860"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t>Strategic plans are developed incorporating organisation initiatives as per established procedures.</w:t>
            </w:r>
          </w:p>
        </w:tc>
      </w:tr>
      <w:tr w:rsidTr="002856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t>3</w:t>
            </w:r>
          </w:p>
        </w:tc>
        <w:tc>
          <w:tcPr>
            <w:tcW w:w="2296"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t>Complete the management of transmission network demand</w:t>
            </w:r>
          </w:p>
        </w:tc>
        <w:tc>
          <w:tcPr>
            <w:tcW w:w="900"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t>3.1</w:t>
            </w:r>
          </w:p>
        </w:tc>
        <w:tc>
          <w:tcPr>
            <w:tcW w:w="4860"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t>Final review of management process is undertaken to ensu</w:t>
            </w:r>
            <w:r w:rsidRPr="0068794E">
              <w:t>re they comply with all requirements and include all specifications and documentations needed to complete the project.</w:t>
            </w:r>
          </w:p>
        </w:tc>
      </w:tr>
      <w:tr w:rsidTr="002856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t>3.2</w:t>
            </w:r>
          </w:p>
        </w:tc>
        <w:tc>
          <w:tcPr>
            <w:tcW w:w="4860"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t>Appropriate personnel are notified of completion and reports and/or completion documents are finalised/commissioned.</w:t>
            </w:r>
          </w:p>
        </w:tc>
      </w:tr>
      <w:tr w:rsidTr="002856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t>3.3</w:t>
            </w:r>
          </w:p>
        </w:tc>
        <w:tc>
          <w:tcPr>
            <w:tcW w:w="4860"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t>Reports and/or completion documents are submitted to relevant personnel/organisations for approval and, where applicable, statutory or regulatory approval.</w:t>
            </w:r>
          </w:p>
        </w:tc>
      </w:tr>
      <w:tr w:rsidTr="002856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t>3.4</w:t>
            </w:r>
          </w:p>
        </w:tc>
        <w:tc>
          <w:tcPr>
            <w:tcW w:w="4860" w:type="dxa"/>
            <w:tcBorders>
              <w:top w:val="nil"/>
              <w:left w:val="nil"/>
              <w:bottom w:val="nil"/>
              <w:right w:val="nil"/>
            </w:tcBorders>
            <w:tcMar>
              <w:top w:w="0" w:type="dxa"/>
              <w:left w:w="62" w:type="dxa"/>
              <w:bottom w:w="0" w:type="dxa"/>
              <w:right w:w="62" w:type="dxa"/>
            </w:tcMar>
          </w:tcPr>
          <w:p w:rsidR="00000000" w:rsidRPr="0068794E" w:rsidP="0068794E">
            <w:pPr>
              <w:pStyle w:val="BodyText"/>
            </w:pPr>
            <w:r w:rsidRPr="0068794E">
              <w:t>Approved copies of the managed transmission network demand documents are issues and records a</w:t>
            </w:r>
            <w:r w:rsidRPr="0068794E">
              <w:t>re updated in accordance with established procedures.</w:t>
            </w:r>
          </w:p>
        </w:tc>
      </w:tr>
    </w:tbl>
    <w:p w:rsidR="00000000" w:rsidRPr="0068794E" w:rsidP="0068794E">
      <w:pPr>
        <w:pStyle w:val="BodyText"/>
      </w:pPr>
    </w:p>
    <w:p w:rsidR="00000000" w:rsidRPr="0068794E" w:rsidP="0068794E">
      <w:pPr>
        <w:pStyle w:val="AllowPageBreak"/>
      </w:pPr>
    </w:p>
    <w:p w:rsidR="00000000" w:rsidRPr="0068794E" w:rsidP="0068794E">
      <w:pPr>
        <w:pStyle w:val="Heading1"/>
      </w:pPr>
      <w:bookmarkStart w:id="9" w:name="O_465066"/>
      <w:bookmarkEnd w:id="9"/>
      <w:r w:rsidRPr="0068794E">
        <w:t>Required Skills and Knowledge</w:t>
      </w:r>
    </w:p>
    <w:tbl>
      <w:tblPr>
        <w:tblW w:w="0" w:type="auto"/>
        <w:tblLayout w:type="fixed"/>
        <w:tblCellMar>
          <w:left w:w="62" w:type="dxa"/>
          <w:right w:w="62" w:type="dxa"/>
        </w:tblCellMar>
        <w:tblLook w:val="0000"/>
      </w:tblPr>
      <w:tblGrid>
        <w:gridCol w:w="8460"/>
      </w:tblGrid>
      <w:tr w:rsidTr="0028566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rPr>
                <w:rStyle w:val="SpecialBold"/>
              </w:rPr>
              <w:t>REQUIRED SKILLS AND KNOWLEDGE</w:t>
            </w:r>
          </w:p>
        </w:tc>
      </w:tr>
      <w:tr w:rsidTr="00285662">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68794E" w:rsidP="0068794E">
            <w:pPr>
              <w:pStyle w:val="BodyText"/>
            </w:pPr>
            <w:r w:rsidRPr="0068794E">
              <w:rPr>
                <w:rStyle w:val="SpecialBold"/>
              </w:rPr>
              <w:t>8)</w:t>
            </w:r>
            <w:r w:rsidRPr="0068794E">
              <w:t xml:space="preserve"> Essential Knowledge and Associated Skills (EKAS): This describes the essential skills and knowledge </w:t>
            </w:r>
            <w:r w:rsidRPr="0068794E">
              <w:t>and their level, required for this unit.</w:t>
            </w:r>
          </w:p>
          <w:p w:rsidR="00000000" w:rsidRPr="0068794E" w:rsidP="0068794E">
            <w:pPr>
              <w:pStyle w:val="BodyText"/>
            </w:pPr>
            <w:r w:rsidRPr="0068794E">
              <w:t xml:space="preserve">Evidence shall show that knowledge has been acquired of managing transmission network demand. </w:t>
            </w:r>
          </w:p>
          <w:p w:rsidR="00000000" w:rsidRPr="0068794E" w:rsidP="0068794E">
            <w:pPr>
              <w:pStyle w:val="BodyText"/>
            </w:pPr>
            <w:r w:rsidRPr="0068794E">
              <w:t>All knowledge and skills detailed in this unit should be contextualised to current industry practices and technologies.</w:t>
            </w:r>
          </w:p>
          <w:p w:rsidR="00000000" w:rsidRPr="0068794E" w:rsidP="0068794E">
            <w:pPr>
              <w:pStyle w:val="BodyText"/>
            </w:pPr>
            <w:r w:rsidRPr="0068794E">
              <w:t>KS01-TSO42A</w:t>
            </w:r>
            <w:r w:rsidRPr="0068794E">
              <w:tab/>
              <w:t>Power systems transmission network demand - management</w:t>
            </w:r>
          </w:p>
          <w:p w:rsidR="00000000" w:rsidRPr="0068794E" w:rsidP="0068794E">
            <w:pPr>
              <w:pStyle w:val="BodyText"/>
            </w:pPr>
            <w:r w:rsidRPr="0068794E">
              <w:t xml:space="preserve">Evidence shall show an understanding of power systems transmission network demand - management to an extent indicated by the following aspects: </w:t>
            </w:r>
          </w:p>
          <w:p w:rsidR="00000000" w:rsidRPr="0068794E" w:rsidP="0068794E">
            <w:pPr>
              <w:pStyle w:val="BodyText"/>
            </w:pPr>
            <w:r w:rsidRPr="0068794E">
              <w:t>T1</w:t>
            </w:r>
            <w:r w:rsidRPr="0068794E">
              <w:tab/>
              <w:t>Enterprise specific procedures and work p</w:t>
            </w:r>
            <w:r w:rsidRPr="0068794E">
              <w:t>ractices relating to managing network demand encompassing:</w:t>
            </w:r>
          </w:p>
          <w:p w:rsidR="00000000" w:rsidRPr="0068794E" w:rsidP="0068794E">
            <w:pPr>
              <w:pStyle w:val="ListBullet"/>
            </w:pPr>
            <w:r w:rsidRPr="0068794E">
              <w:t>Commonwealth, State/Territory and local government legislation, supply authority regulations Standards, codes, and or enterprise requirements applicable to the procedures and work practices relati</w:t>
            </w:r>
            <w:r w:rsidRPr="0068794E">
              <w:t>ng to managing network demand</w:t>
            </w:r>
          </w:p>
          <w:p w:rsidR="00000000" w:rsidRPr="0068794E" w:rsidP="0068794E">
            <w:pPr>
              <w:pStyle w:val="ListBullet"/>
            </w:pPr>
            <w:r w:rsidRPr="0068794E">
              <w:t>Requirements for the use of demand management manuals, system diagrams/plans and drawings</w:t>
            </w:r>
          </w:p>
          <w:p w:rsidR="00000000" w:rsidRPr="0068794E" w:rsidP="0068794E">
            <w:pPr>
              <w:pStyle w:val="ListBullet"/>
            </w:pPr>
            <w:r w:rsidRPr="0068794E">
              <w:t>Identify and interpret enterprise demand management procedures</w:t>
            </w:r>
          </w:p>
          <w:p w:rsidR="00000000" w:rsidRPr="0068794E" w:rsidP="0068794E">
            <w:pPr>
              <w:pStyle w:val="ListBullet"/>
            </w:pPr>
            <w:r w:rsidRPr="0068794E">
              <w:t>Techniques in the applying enterprise demand management procedures</w:t>
            </w:r>
          </w:p>
          <w:p w:rsidR="00000000" w:rsidRPr="0068794E" w:rsidP="0068794E">
            <w:pPr>
              <w:pStyle w:val="BodyText"/>
            </w:pPr>
            <w:r w:rsidRPr="0068794E">
              <w:t>T2</w:t>
            </w:r>
            <w:r w:rsidRPr="0068794E">
              <w:tab/>
              <w:t>Eff</w:t>
            </w:r>
            <w:r w:rsidRPr="0068794E">
              <w:t>ective management and communication encompassing:</w:t>
            </w:r>
          </w:p>
          <w:p w:rsidR="00000000" w:rsidRPr="0068794E" w:rsidP="0068794E">
            <w:pPr>
              <w:pStyle w:val="ListBullet"/>
            </w:pPr>
            <w:r w:rsidRPr="0068794E">
              <w:t>Commonwealth, State/Territory and local government legislation, Standards, codes, supply authority regulations and or enterprise requirements applicable to assisting in effective management and communicati</w:t>
            </w:r>
            <w:r w:rsidRPr="0068794E">
              <w:t>on</w:t>
            </w:r>
          </w:p>
          <w:p w:rsidR="00000000" w:rsidRPr="0068794E" w:rsidP="0068794E">
            <w:pPr>
              <w:pStyle w:val="ListBullet"/>
            </w:pPr>
            <w:r w:rsidRPr="0068794E">
              <w:t>Enterprise operational principles - workplace OHS enterprise plan, environmental enterprise policies and procedures, industrial relations policies and procedures, anti-discrimination policies and procedures.</w:t>
            </w:r>
          </w:p>
          <w:p w:rsidR="00000000" w:rsidRPr="0068794E" w:rsidP="0068794E">
            <w:pPr>
              <w:pStyle w:val="ListBullet"/>
            </w:pPr>
            <w:r w:rsidRPr="0068794E">
              <w:t>Relationship between the management and emplo</w:t>
            </w:r>
            <w:r w:rsidRPr="0068794E">
              <w:t xml:space="preserve">yees - methods used to collate and distribute/disseminate information, responsibilities of each member of the work team, staff development activities and legislation requirements with regard to OHS training, methods of addressing barriers such as literacy </w:t>
            </w:r>
            <w:r w:rsidRPr="0068794E">
              <w:t>and cultural differences and provisions relating to OHS issue resolution</w:t>
            </w:r>
          </w:p>
          <w:p w:rsidR="00000000" w:rsidRPr="0068794E" w:rsidP="0068794E">
            <w:pPr>
              <w:pStyle w:val="ListBullet"/>
            </w:pPr>
            <w:r w:rsidRPr="0068794E">
              <w:t xml:space="preserve">Techniques associated with organisational policies </w:t>
            </w:r>
            <w:r w:rsidRPr="0068794E">
              <w:t>and procedures related to human resources - relevant awards and certified agreements, legislation impacting on people management, range of support services and expertise available.</w:t>
            </w:r>
          </w:p>
          <w:p w:rsidR="00000000" w:rsidRPr="0068794E" w:rsidP="0068794E">
            <w:pPr>
              <w:pStyle w:val="ListBullet"/>
            </w:pPr>
            <w:r w:rsidRPr="0068794E">
              <w:t>Techniques in managing relationships - identifying problems, methods of con</w:t>
            </w:r>
            <w:r w:rsidRPr="0068794E">
              <w:t>flict resolution, methods of consultation, communication, negotiation and mentoring, strategies for positive feedback.</w:t>
            </w:r>
          </w:p>
          <w:p w:rsidR="00000000" w:rsidRPr="0068794E" w:rsidP="0068794E">
            <w:pPr>
              <w:pStyle w:val="ListBullet"/>
            </w:pPr>
            <w:r w:rsidRPr="0068794E">
              <w:t>Techniques in leadership in achieving enterprise strategic and operational plans</w:t>
            </w:r>
          </w:p>
          <w:p w:rsidR="00000000" w:rsidRPr="0068794E" w:rsidP="0068794E">
            <w:pPr>
              <w:pStyle w:val="ListBullet"/>
            </w:pPr>
            <w:r w:rsidRPr="0068794E">
              <w:t>Techniques in managing relationships under stress - stre</w:t>
            </w:r>
            <w:r w:rsidRPr="0068794E">
              <w:t>ss management.</w:t>
            </w:r>
          </w:p>
          <w:p w:rsidR="00000000" w:rsidRPr="0068794E" w:rsidP="0068794E">
            <w:pPr>
              <w:pStyle w:val="BodyText"/>
            </w:pPr>
            <w:r w:rsidRPr="0068794E">
              <w:t>T3</w:t>
            </w:r>
            <w:r w:rsidRPr="0068794E">
              <w:tab/>
              <w:t>Methodology used in writing enterprise specific management reports encompassing:</w:t>
            </w:r>
          </w:p>
          <w:p w:rsidR="00000000" w:rsidRPr="0068794E" w:rsidP="0068794E">
            <w:pPr>
              <w:pStyle w:val="ListBullet"/>
            </w:pPr>
            <w:r w:rsidRPr="0068794E">
              <w:t xml:space="preserve">Commonwealth, State/Territory and local government legislation, supply authority regulations Standards, codes, and or enterprise requirements applicable to </w:t>
            </w:r>
            <w:r w:rsidRPr="0068794E">
              <w:t>the writing enterprise specific management reports</w:t>
            </w:r>
          </w:p>
          <w:p w:rsidR="00000000" w:rsidRPr="0068794E" w:rsidP="0068794E">
            <w:pPr>
              <w:pStyle w:val="ListBullet"/>
            </w:pPr>
            <w:r w:rsidRPr="0068794E">
              <w:t>Techniques in researching, collating and analysing information for the report - recording, filing, retrieving systems, storing and retrieving data from computer systems.</w:t>
            </w:r>
          </w:p>
          <w:p w:rsidR="00000000" w:rsidRPr="0068794E" w:rsidP="0068794E">
            <w:pPr>
              <w:pStyle w:val="ListBullet"/>
            </w:pPr>
            <w:r w:rsidRPr="0068794E">
              <w:t xml:space="preserve">Relationship of management reports </w:t>
            </w:r>
            <w:r w:rsidRPr="0068794E">
              <w:t>to enterprise policies and procedures - enterprise structure and resources, workplace OHS and risk management enterprise data, financial and operational data, environmental enterprise policies and procedures, industrial relations policies and procedures, a</w:t>
            </w:r>
            <w:r w:rsidRPr="0068794E">
              <w:t>nti-discrimination policies and procedures.</w:t>
            </w:r>
          </w:p>
          <w:p w:rsidR="00000000" w:rsidRPr="0068794E" w:rsidP="0068794E">
            <w:pPr>
              <w:pStyle w:val="ListBullet"/>
            </w:pPr>
            <w:r w:rsidRPr="0068794E">
              <w:t>Techniques in writing enterprise specific management reports - methods used to disseminate information and facilitate enterprise requirements, document proformas and compliance and legislative requirements to pro</w:t>
            </w:r>
            <w:r w:rsidRPr="0068794E">
              <w:t>duce effective reports in the appropriate format.</w:t>
            </w:r>
          </w:p>
        </w:tc>
      </w:tr>
    </w:tbl>
    <w:p w:rsidR="00000000" w:rsidRPr="0068794E" w:rsidP="0068794E">
      <w:pPr>
        <w:pStyle w:val="BodyText"/>
      </w:pPr>
    </w:p>
    <w:p w:rsidR="00000000" w:rsidRPr="0068794E" w:rsidP="0068794E">
      <w:pPr>
        <w:pStyle w:val="AllowPageBreak"/>
      </w:pPr>
    </w:p>
    <w:p w:rsidR="00000000" w:rsidRPr="0068794E" w:rsidP="0068794E">
      <w:pPr>
        <w:pStyle w:val="Heading1"/>
      </w:pPr>
      <w:bookmarkStart w:id="10" w:name="O_465061"/>
      <w:bookmarkEnd w:id="10"/>
      <w:r w:rsidRPr="0068794E">
        <w:t>Evidence Guide</w:t>
      </w:r>
    </w:p>
    <w:tbl>
      <w:tblPr>
        <w:tblW w:w="0" w:type="auto"/>
        <w:tblLayout w:type="fixed"/>
        <w:tblCellMar>
          <w:left w:w="62" w:type="dxa"/>
          <w:right w:w="62" w:type="dxa"/>
        </w:tblCellMar>
        <w:tblLook w:val="0000"/>
      </w:tblPr>
      <w:tblGrid>
        <w:gridCol w:w="8460"/>
      </w:tblGrid>
      <w:tr w:rsidTr="0028566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rPr>
                <w:rStyle w:val="SpecialBold"/>
              </w:rPr>
              <w:t>EVIDENCE GUIDE</w:t>
            </w:r>
          </w:p>
        </w:tc>
      </w:tr>
      <w:tr w:rsidTr="0028566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8794E" w:rsidP="0068794E">
            <w:pPr>
              <w:pStyle w:val="BodyText"/>
            </w:pPr>
            <w:r w:rsidRPr="0068794E">
              <w:rPr>
                <w:rStyle w:val="SpecialBold"/>
              </w:rPr>
              <w:t>9)</w:t>
            </w:r>
            <w:r w:rsidRPr="0068794E">
              <w:t xml:space="preserve"> This provides essential advice for assessment of the competency standard unit and must be read </w:t>
            </w:r>
            <w:r w:rsidRPr="0068794E">
              <w:t>in conjunction with the Performance Criteria and the Range Statement of the competency standard unit and the Training Package Assessment Guidelines.</w:t>
            </w:r>
          </w:p>
          <w:p w:rsidR="00000000" w:rsidRPr="0068794E" w:rsidP="0068794E">
            <w:pPr>
              <w:pStyle w:val="BodyText"/>
            </w:pPr>
            <w:r w:rsidRPr="0068794E">
              <w:t>The Evidence Guide forms an integral part of this Competency Standard Unit and shall be used in conjunction</w:t>
            </w:r>
            <w:r w:rsidRPr="0068794E">
              <w:t xml:space="preserve"> with all component parts of this unit and, performed in accordance with the Assessment Guidelines of this Training Package.</w:t>
            </w:r>
          </w:p>
        </w:tc>
      </w:tr>
    </w:tbl>
    <w:p w:rsidR="00000000" w:rsidRPr="0068794E" w:rsidP="0068794E">
      <w:pPr>
        <w:pStyle w:val="BodyText"/>
      </w:pPr>
    </w:p>
    <w:tbl>
      <w:tblPr>
        <w:tblW w:w="0" w:type="auto"/>
        <w:tblLayout w:type="fixed"/>
        <w:tblCellMar>
          <w:left w:w="62" w:type="dxa"/>
          <w:right w:w="62" w:type="dxa"/>
        </w:tblCellMar>
        <w:tblLook w:val="0000"/>
      </w:tblPr>
      <w:tblGrid>
        <w:gridCol w:w="1890"/>
        <w:gridCol w:w="6570"/>
      </w:tblGrid>
      <w:tr w:rsidTr="002856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8794E" w:rsidP="0068794E">
            <w:pPr>
              <w:pStyle w:val="BodyText"/>
            </w:pPr>
            <w:r w:rsidRPr="0068794E">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rPr>
                <w:rStyle w:val="SpecialBold"/>
              </w:rPr>
              <w:t>9.1)</w:t>
            </w:r>
          </w:p>
        </w:tc>
      </w:tr>
      <w:tr w:rsidTr="002856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8794E" w:rsidP="0068794E">
            <w:pPr>
              <w:pStyle w:val="BodyText"/>
            </w:pPr>
            <w:r w:rsidRPr="0068794E">
              <w:t>Longitudinal competency development approaches to assessment, such as Profiling, require data to be</w:t>
            </w:r>
            <w:r w:rsidRPr="0068794E">
              <w:t xml:space="preserve"> reliably gathered in a form that can be consistently interpreted over time. This approach is best utilised in Apprenticeship programs and reduces assessment intervention. It is the Industry’s preferred model for apprenticeships. However, where summative (</w:t>
            </w:r>
            <w:r w:rsidRPr="0068794E">
              <w:t xml:space="preserve">or final) assessment is used it is to include the application of the competency in the normal work environment or, at a minimum, the application of the competency in a realistically simulated work environment. It is recognised that, in some circumstances, </w:t>
            </w:r>
            <w:r w:rsidRPr="0068794E">
              <w:t>assessment in part or full can occur outside the workplace. However, it must be in accord with Industry and, Regulatory policy in this regard.</w:t>
            </w:r>
          </w:p>
          <w:p w:rsidR="00000000" w:rsidRPr="0068794E" w:rsidP="0068794E">
            <w:pPr>
              <w:pStyle w:val="BodyText"/>
            </w:pPr>
            <w:r w:rsidRPr="0068794E">
              <w:t>Methods chosen for a particular assessment will be influenced by various factors. These include the extent of the assessment, the most effective locations for the assessment activities to take place, access to physical resources, additional safety measures</w:t>
            </w:r>
            <w:r w:rsidRPr="0068794E">
              <w:t xml:space="preserve"> that may be required and the critical nature of the competencies being assessed.</w:t>
            </w:r>
          </w:p>
          <w:p w:rsidR="00000000" w:rsidRPr="0068794E" w:rsidP="0068794E">
            <w:pPr>
              <w:pStyle w:val="BodyText"/>
            </w:pPr>
            <w:r w:rsidRPr="0068794E">
              <w:t>The critical safety nature of working with electricity, electrical equipment, gas or any other hazardous substance/material carries risk in deeming a person competent. Hence,</w:t>
            </w:r>
            <w:r w:rsidRPr="0068794E">
              <w:t xml:space="preserve"> sources of evidence need to be ‘rich’ in nature so as to minimise error in judgment.</w:t>
            </w:r>
          </w:p>
          <w:p w:rsidR="00000000" w:rsidRPr="0068794E" w:rsidP="0068794E">
            <w:pPr>
              <w:pStyle w:val="BodyText"/>
            </w:pPr>
            <w:r w:rsidRPr="0068794E">
              <w:t xml:space="preserve">Activities associated with normal every day work have a bearing on the decision as to how much and how detailed the data gathered will contribute to its ‘richness’. Some </w:t>
            </w:r>
            <w:r w:rsidRPr="0068794E">
              <w:t xml:space="preserve">skills are more critical to safety and operational requirements while the same skills may be more or less frequently practiced. These points are raised for the assessors to consider when choosing an assessment method and developing assessment instruments. </w:t>
            </w:r>
            <w:r w:rsidRPr="0068794E">
              <w:t>Sample assessment instruments are included for Assessors in the Assessment Guidelines of this Training Package.</w:t>
            </w:r>
          </w:p>
        </w:tc>
      </w:tr>
    </w:tbl>
    <w:p w:rsidR="00000000" w:rsidRPr="0068794E" w:rsidP="0068794E">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2856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8794E" w:rsidP="0068794E">
            <w:pPr>
              <w:pStyle w:val="BodyText"/>
            </w:pPr>
            <w:r w:rsidRPr="0068794E">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rPr>
                <w:rStyle w:val="SpecialBold"/>
              </w:rPr>
              <w:t>9.2)</w:t>
            </w:r>
          </w:p>
        </w:tc>
      </w:tr>
      <w:tr w:rsidTr="002856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68794E" w:rsidP="0068794E">
            <w:pPr>
              <w:pStyle w:val="BodyText"/>
            </w:pPr>
            <w:r w:rsidRPr="0068794E">
              <w:t xml:space="preserve">Before the critical aspects of evidence are considered </w:t>
            </w:r>
            <w:r w:rsidRPr="0068794E">
              <w:t>all prerequisites shall be met.</w:t>
            </w:r>
          </w:p>
          <w:p w:rsidR="00000000" w:rsidRPr="0068794E" w:rsidP="0068794E">
            <w:pPr>
              <w:pStyle w:val="BodyText"/>
            </w:pPr>
            <w:r w:rsidRPr="0068794E">
              <w:t xml:space="preserve">Evidence for competence in this unit shall be considered holistically. Each Element and associated Performance Criteria shall be demonstrated on at least two occasions in accordance with the “Assessment Guidelines – UET12”. </w:t>
            </w:r>
            <w:r w:rsidRPr="0068794E">
              <w:t>Evidence shall also comprise:</w:t>
            </w:r>
          </w:p>
          <w:p w:rsidR="00000000" w:rsidRPr="0068794E" w:rsidP="0068794E">
            <w:pPr>
              <w:pStyle w:val="ListBullet"/>
            </w:pPr>
            <w:r w:rsidRPr="0068794E">
              <w:t>A representative body of Performance Criteria demonstrated within the timeframes typically expected of the discipline, work function and industrial environment. In particular this shall incorporate evidence that shows a candi</w:t>
            </w:r>
            <w:r w:rsidRPr="0068794E">
              <w:t>date is able to:</w:t>
            </w:r>
          </w:p>
          <w:p w:rsidR="00000000" w:rsidRPr="0068794E" w:rsidP="0068794E">
            <w:pPr>
              <w:pStyle w:val="ListBullet2"/>
            </w:pPr>
            <w:r w:rsidRPr="0068794E">
              <w:t>Implement Occupational Health and Safety workplace procedures and practices including the use of risk control measures as specified in the Performance Criteria and range; and</w:t>
            </w:r>
          </w:p>
          <w:p w:rsidR="00000000" w:rsidRPr="0068794E" w:rsidP="0068794E">
            <w:pPr>
              <w:pStyle w:val="ListBullet2"/>
            </w:pPr>
            <w:r w:rsidRPr="0068794E">
              <w:t>Apply sustainable energy principles and practices as specified in the Performance Criteria and range; and</w:t>
            </w:r>
          </w:p>
          <w:p w:rsidR="00000000" w:rsidRPr="0068794E" w:rsidP="0068794E">
            <w:pPr>
              <w:pStyle w:val="ListBullet2"/>
            </w:pPr>
            <w:r w:rsidRPr="0068794E">
              <w:t xml:space="preserve">Demonstrate an understanding of the essential knowledge and associated skills described in this unit to such an extent that the learner’s performance </w:t>
            </w:r>
            <w:r w:rsidRPr="0068794E">
              <w:t>outcome is reported in accordance with the preferred approach; namely a percentile graded result, where required by the regulated environment; and</w:t>
            </w:r>
          </w:p>
          <w:p w:rsidR="00000000" w:rsidRPr="0068794E" w:rsidP="0068794E">
            <w:pPr>
              <w:pStyle w:val="ListBullet2"/>
            </w:pPr>
            <w:r w:rsidRPr="0068794E">
              <w:t>Demonstrate an appropriate level of employability skills; and</w:t>
            </w:r>
          </w:p>
          <w:p w:rsidR="00000000" w:rsidRPr="0068794E" w:rsidP="0068794E">
            <w:pPr>
              <w:pStyle w:val="ListBullet"/>
            </w:pPr>
            <w:r w:rsidRPr="0068794E">
              <w:t>Conduct work observing the relevant Anti Discr</w:t>
            </w:r>
            <w:r w:rsidRPr="0068794E">
              <w:t>imination legislation, regulations, policies and workplace procedures; and</w:t>
            </w:r>
          </w:p>
          <w:p w:rsidR="00000000" w:rsidP="0068794E">
            <w:pPr>
              <w:pStyle w:val="ListBullet2"/>
              <w:rPr>
                <w:lang w:val="en-NZ"/>
              </w:rPr>
            </w:pPr>
            <w:r w:rsidRPr="0068794E">
              <w:t>Demonstrated performance across a representative range of contexts from the prescribed items below:</w:t>
            </w:r>
          </w:p>
        </w:tc>
      </w:tr>
      <w:tr w:rsidTr="002856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68794E">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794E">
            <w:pPr>
              <w:pStyle w:val="BodyText"/>
              <w:rPr>
                <w:lang w:val="en-NZ"/>
              </w:rPr>
            </w:pPr>
            <w:r w:rsidRPr="0068794E">
              <w:rPr>
                <w:rStyle w:val="SpecialBold"/>
              </w:rPr>
              <w:t>Range of tools/equipment/materials/procedures/workplaces/other variables</w:t>
            </w:r>
          </w:p>
        </w:tc>
      </w:tr>
      <w:tr w:rsidTr="002856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68794E">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794E" w:rsidP="0068794E">
            <w:pPr>
              <w:pStyle w:val="BodyText"/>
            </w:pPr>
            <w:r w:rsidRPr="0068794E">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794E" w:rsidP="0068794E">
            <w:pPr>
              <w:pStyle w:val="BodyText"/>
            </w:pPr>
            <w:r w:rsidRPr="0068794E">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794E">
            <w:pPr>
              <w:pStyle w:val="BodyText"/>
              <w:rPr>
                <w:lang w:val="en-NZ"/>
              </w:rPr>
            </w:pPr>
            <w:r w:rsidRPr="0068794E">
              <w:rPr>
                <w:rStyle w:val="SpecialBold"/>
              </w:rPr>
              <w:t>Item List</w:t>
            </w:r>
          </w:p>
        </w:tc>
      </w:tr>
      <w:tr w:rsidTr="002856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794E">
            <w:pPr>
              <w:pStyle w:val="BodyText"/>
              <w:rPr>
                <w:lang w:val="en-NZ"/>
              </w:rPr>
            </w:pPr>
            <w:r w:rsidRPr="0068794E">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794E">
            <w:pPr>
              <w:pStyle w:val="BodyText"/>
              <w:rPr>
                <w:lang w:val="en-NZ"/>
              </w:rPr>
            </w:pPr>
            <w:r w:rsidRPr="0068794E">
              <w:t>Demonstrate at least three (3) system manipulations that encompass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794E" w:rsidP="0068794E">
            <w:pPr>
              <w:pStyle w:val="BodyText"/>
            </w:pPr>
            <w:r w:rsidRPr="0068794E">
              <w:t>EHV transmission network</w:t>
            </w:r>
          </w:p>
          <w:p w:rsidR="00000000" w:rsidRPr="0068794E" w:rsidP="0068794E">
            <w:pPr>
              <w:pStyle w:val="BodyText"/>
            </w:pPr>
            <w:r w:rsidRPr="0068794E">
              <w:t>Transmission network manipulation to control loading on equipment</w:t>
            </w:r>
          </w:p>
          <w:p w:rsidR="00000000" w:rsidRPr="0068794E" w:rsidP="0068794E">
            <w:pPr>
              <w:pStyle w:val="BodyText"/>
            </w:pPr>
            <w:r w:rsidRPr="0068794E">
              <w:t>Transformers with EHV windings</w:t>
            </w:r>
          </w:p>
          <w:p w:rsidR="00000000" w:rsidRPr="0068794E" w:rsidP="0068794E">
            <w:pPr>
              <w:pStyle w:val="BodyText"/>
            </w:pPr>
            <w:r w:rsidRPr="0068794E">
              <w:t>EHV busbars</w:t>
            </w:r>
          </w:p>
          <w:p w:rsidR="00000000" w:rsidRPr="0068794E" w:rsidP="0068794E">
            <w:pPr>
              <w:pStyle w:val="BodyText"/>
            </w:pPr>
            <w:r w:rsidRPr="0068794E">
              <w:t>EHV isolators</w:t>
            </w:r>
          </w:p>
          <w:p w:rsidR="00000000" w:rsidRPr="0068794E" w:rsidP="0068794E">
            <w:pPr>
              <w:pStyle w:val="BodyText"/>
            </w:pPr>
            <w:r w:rsidRPr="0068794E">
              <w:t>EHV switchgear (applicable to enterprise equipment)</w:t>
            </w:r>
          </w:p>
          <w:p w:rsidR="00000000" w:rsidRPr="0068794E" w:rsidP="0068794E">
            <w:pPr>
              <w:pStyle w:val="BodyText"/>
            </w:pPr>
            <w:r w:rsidRPr="0068794E">
              <w:t>Dispatch of Static/Synchronous VAR compensation (if applicable to enterprise)</w:t>
            </w:r>
          </w:p>
          <w:p w:rsidR="00000000" w:rsidP="0068794E">
            <w:pPr>
              <w:pStyle w:val="BodyText"/>
              <w:rPr>
                <w:lang w:val="en-NZ"/>
              </w:rPr>
            </w:pPr>
            <w:r w:rsidRPr="0068794E">
              <w:t>Dis</w:t>
            </w:r>
            <w:r w:rsidRPr="0068794E">
              <w:t>patch of generation (if applicable to enterprise).</w:t>
            </w:r>
          </w:p>
        </w:tc>
      </w:tr>
      <w:tr w:rsidTr="002856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794E">
            <w:pPr>
              <w:pStyle w:val="BodyText"/>
              <w:rPr>
                <w:lang w:val="en-NZ"/>
              </w:rPr>
            </w:pPr>
            <w:r w:rsidRPr="0068794E">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794E">
            <w:pPr>
              <w:pStyle w:val="BodyText"/>
              <w:rPr>
                <w:lang w:val="en-NZ"/>
              </w:rPr>
            </w:pPr>
            <w:r w:rsidRPr="0068794E">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794E" w:rsidP="0068794E">
            <w:pPr>
              <w:pStyle w:val="BodyText"/>
            </w:pPr>
            <w:r w:rsidRPr="0068794E">
              <w:t>Writing switching instructions</w:t>
            </w:r>
          </w:p>
          <w:p w:rsidR="00000000" w:rsidRPr="0068794E" w:rsidP="0068794E">
            <w:pPr>
              <w:pStyle w:val="BodyText"/>
            </w:pPr>
            <w:r w:rsidRPr="0068794E">
              <w:t>Analysis and review switching instructions</w:t>
            </w:r>
          </w:p>
          <w:p w:rsidR="00000000" w:rsidRPr="0068794E" w:rsidP="0068794E">
            <w:pPr>
              <w:pStyle w:val="BodyText"/>
            </w:pPr>
            <w:r w:rsidRPr="0068794E">
              <w:t>Manage multiple switching instructions</w:t>
            </w:r>
          </w:p>
          <w:p w:rsidR="00000000" w:rsidRPr="0068794E" w:rsidP="0068794E">
            <w:pPr>
              <w:pStyle w:val="BodyText"/>
            </w:pPr>
            <w:r w:rsidRPr="0068794E">
              <w:t>Calculating line loading</w:t>
            </w:r>
          </w:p>
          <w:p w:rsidR="00000000" w:rsidRPr="0068794E" w:rsidP="0068794E">
            <w:pPr>
              <w:pStyle w:val="BodyText"/>
            </w:pPr>
            <w:r w:rsidRPr="0068794E">
              <w:t>Preparing and authorising EHV transmission switching programs</w:t>
            </w:r>
          </w:p>
          <w:p w:rsidR="00000000" w:rsidRPr="0068794E" w:rsidP="0068794E">
            <w:pPr>
              <w:pStyle w:val="BodyText"/>
            </w:pPr>
            <w:r w:rsidRPr="0068794E">
              <w:t>Demonstrate application and administration of SCADA or equivalent.</w:t>
            </w:r>
          </w:p>
          <w:p w:rsidR="00000000" w:rsidRPr="0068794E" w:rsidP="0068794E">
            <w:pPr>
              <w:pStyle w:val="BodyText"/>
            </w:pPr>
            <w:r w:rsidRPr="0068794E">
              <w:t>Analysis and diagnosis of system failure</w:t>
            </w:r>
          </w:p>
          <w:p w:rsidR="00000000" w:rsidP="0068794E">
            <w:pPr>
              <w:pStyle w:val="BodyText"/>
              <w:rPr>
                <w:lang w:val="en-NZ"/>
              </w:rPr>
            </w:pPr>
            <w:r w:rsidRPr="0068794E">
              <w:t>Calculate and analyse transmission line conditions on the interconnected EHV system.</w:t>
            </w:r>
          </w:p>
        </w:tc>
      </w:tr>
      <w:tr w:rsidTr="002856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794E">
            <w:pPr>
              <w:pStyle w:val="BodyText"/>
              <w:rPr>
                <w:lang w:val="en-NZ"/>
              </w:rPr>
            </w:pPr>
            <w:r w:rsidRPr="0068794E">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794E">
            <w:pPr>
              <w:pStyle w:val="BodyText"/>
              <w:rPr>
                <w:lang w:val="en-NZ"/>
              </w:rPr>
            </w:pPr>
            <w:r w:rsidRPr="0068794E">
              <w:t>Prepare, write and check switching sheets to:</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794E" w:rsidP="0068794E">
            <w:pPr>
              <w:pStyle w:val="BodyText"/>
            </w:pPr>
            <w:r w:rsidRPr="0068794E">
              <w:t>Manage load</w:t>
            </w:r>
          </w:p>
          <w:p w:rsidR="00000000" w:rsidRPr="0068794E" w:rsidP="0068794E">
            <w:pPr>
              <w:pStyle w:val="BodyText"/>
            </w:pPr>
            <w:r w:rsidRPr="0068794E">
              <w:t>Manage voltage</w:t>
            </w:r>
          </w:p>
          <w:p w:rsidR="00000000" w:rsidRPr="0068794E" w:rsidP="0068794E">
            <w:pPr>
              <w:pStyle w:val="BodyText"/>
            </w:pPr>
            <w:r w:rsidRPr="0068794E">
              <w:t>Minimise loss</w:t>
            </w:r>
          </w:p>
          <w:p w:rsidR="00000000" w:rsidRPr="0068794E" w:rsidP="0068794E">
            <w:pPr>
              <w:pStyle w:val="BodyText"/>
            </w:pPr>
            <w:r w:rsidRPr="0068794E">
              <w:t>Maximise system reliability</w:t>
            </w:r>
          </w:p>
          <w:p w:rsidR="00000000" w:rsidRPr="0068794E" w:rsidP="0068794E">
            <w:pPr>
              <w:pStyle w:val="BodyText"/>
            </w:pPr>
            <w:r w:rsidRPr="0068794E">
              <w:t>Allow safe network access for maintenance activities</w:t>
            </w:r>
          </w:p>
          <w:p w:rsidR="00000000" w:rsidRPr="0068794E" w:rsidP="0068794E">
            <w:pPr>
              <w:pStyle w:val="BodyText"/>
            </w:pPr>
            <w:r w:rsidRPr="0068794E">
              <w:t>Allow safe network access for construction activities</w:t>
            </w:r>
          </w:p>
          <w:p w:rsidR="00000000" w:rsidRPr="0068794E" w:rsidP="0068794E">
            <w:pPr>
              <w:pStyle w:val="BodyText"/>
            </w:pPr>
            <w:r w:rsidRPr="0068794E">
              <w:t>Validating fault reports arisi</w:t>
            </w:r>
            <w:r w:rsidRPr="0068794E">
              <w:t>ng from system disturbances</w:t>
            </w:r>
          </w:p>
          <w:p w:rsidR="00000000" w:rsidRPr="0068794E" w:rsidP="0068794E">
            <w:pPr>
              <w:pStyle w:val="BodyText"/>
            </w:pPr>
            <w:r w:rsidRPr="0068794E">
              <w:t>Dispatch static/synchronous VAR compensation (if applicable to enterprise)</w:t>
            </w:r>
          </w:p>
          <w:p w:rsidR="00000000" w:rsidP="0068794E">
            <w:pPr>
              <w:pStyle w:val="BodyText"/>
              <w:rPr>
                <w:lang w:val="en-NZ"/>
              </w:rPr>
            </w:pPr>
            <w:r w:rsidRPr="0068794E">
              <w:t>Dispatch generation (if applicable to enterprise)</w:t>
            </w:r>
          </w:p>
        </w:tc>
      </w:tr>
      <w:tr w:rsidTr="002856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794E">
            <w:pPr>
              <w:pStyle w:val="BodyText"/>
              <w:rPr>
                <w:lang w:val="en-NZ"/>
              </w:rPr>
            </w:pPr>
            <w:r w:rsidRPr="0068794E">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794E">
            <w:pPr>
              <w:pStyle w:val="BodyText"/>
              <w:rPr>
                <w:lang w:val="en-NZ"/>
              </w:rPr>
            </w:pPr>
            <w:r w:rsidRPr="0068794E">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794E" w:rsidP="0068794E">
            <w:pPr>
              <w:pStyle w:val="BodyText"/>
            </w:pPr>
            <w:r w:rsidRPr="0068794E">
              <w:t>Dealing with an unplanned event by drawing on essential knowledge and associated skills to provide appropriate solutions incorporated in the holistic assessment with the above listed items.</w:t>
            </w:r>
          </w:p>
        </w:tc>
      </w:tr>
    </w:tbl>
    <w:p w:rsidR="00000000" w:rsidRPr="0068794E" w:rsidP="0068794E">
      <w:pPr>
        <w:pStyle w:val="BodyText"/>
      </w:pPr>
    </w:p>
    <w:tbl>
      <w:tblPr>
        <w:tblW w:w="0" w:type="auto"/>
        <w:tblLayout w:type="fixed"/>
        <w:tblCellMar>
          <w:left w:w="62" w:type="dxa"/>
          <w:right w:w="62" w:type="dxa"/>
        </w:tblCellMar>
        <w:tblLook w:val="0000"/>
      </w:tblPr>
      <w:tblGrid>
        <w:gridCol w:w="1890"/>
        <w:gridCol w:w="6570"/>
      </w:tblGrid>
      <w:tr w:rsidTr="00285662">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68794E" w:rsidP="0068794E">
            <w:pPr>
              <w:pStyle w:val="BodyText"/>
            </w:pPr>
            <w:r w:rsidRPr="0068794E">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rPr>
                <w:rStyle w:val="SpecialBold"/>
              </w:rPr>
              <w:t>9.3)</w:t>
            </w:r>
          </w:p>
        </w:tc>
      </w:tr>
      <w:tr w:rsidTr="00285662">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8794E" w:rsidP="0068794E">
            <w:pPr>
              <w:pStyle w:val="BodyText"/>
            </w:pPr>
            <w:r w:rsidRPr="0068794E">
              <w:t>This unit should be assessed as it relates to normal work practice using procedures, information and resources typical of a workplace. This should include:</w:t>
            </w:r>
          </w:p>
          <w:p w:rsidR="00000000" w:rsidRPr="0068794E" w:rsidP="0068794E">
            <w:pPr>
              <w:pStyle w:val="ListBullet"/>
            </w:pPr>
            <w:r w:rsidRPr="0068794E">
              <w:t>OHS policy and work procedures and instructions.</w:t>
            </w:r>
          </w:p>
          <w:p w:rsidR="00000000" w:rsidRPr="0068794E" w:rsidP="0068794E">
            <w:pPr>
              <w:pStyle w:val="ListBullet"/>
            </w:pPr>
            <w:r w:rsidRPr="0068794E">
              <w:t>Suitable work environment, facilities, equipment a</w:t>
            </w:r>
            <w:r w:rsidRPr="0068794E">
              <w:t>nd materials to undertake actual management of transmission network demand.</w:t>
            </w:r>
          </w:p>
          <w:p w:rsidR="00000000" w:rsidRPr="0068794E" w:rsidP="0068794E">
            <w:pPr>
              <w:pStyle w:val="BodyText"/>
            </w:pPr>
            <w:r w:rsidRPr="0068794E">
              <w:t>Note:</w:t>
            </w:r>
          </w:p>
          <w:p w:rsidR="00000000" w:rsidRPr="0068794E" w:rsidP="0068794E">
            <w:pPr>
              <w:pStyle w:val="BodyText"/>
            </w:pPr>
            <w:r w:rsidRPr="0068794E">
              <w:t>Access will be needed to: relevant network modelling tools, drawings, computerised electrical plant control and monitoring facilities, operational event data and enterprise o</w:t>
            </w:r>
            <w:r w:rsidRPr="0068794E">
              <w:t>perational policies, procedures and work practices</w:t>
            </w:r>
          </w:p>
          <w:p w:rsidR="00000000" w:rsidRPr="0068794E" w:rsidP="0068794E">
            <w:pPr>
              <w:pStyle w:val="BodyText"/>
            </w:pPr>
            <w:r w:rsidRPr="0068794E">
              <w:t xml:space="preserve">In addition to the resources listed above, in Context of and specific resources for assessment, evidence should show demonstrated competency working in realistic environment and a variety of conditions. </w:t>
            </w:r>
          </w:p>
        </w:tc>
      </w:tr>
    </w:tbl>
    <w:p w:rsidR="00000000" w:rsidRPr="0068794E" w:rsidP="0068794E">
      <w:pPr>
        <w:pStyle w:val="BodyText"/>
      </w:pPr>
    </w:p>
    <w:tbl>
      <w:tblPr>
        <w:tblW w:w="0" w:type="auto"/>
        <w:tblLayout w:type="fixed"/>
        <w:tblCellMar>
          <w:left w:w="62" w:type="dxa"/>
          <w:right w:w="62" w:type="dxa"/>
        </w:tblCellMar>
        <w:tblLook w:val="0000"/>
      </w:tblPr>
      <w:tblGrid>
        <w:gridCol w:w="1890"/>
        <w:gridCol w:w="6570"/>
      </w:tblGrid>
      <w:tr w:rsidTr="002856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8794E" w:rsidP="0068794E">
            <w:pPr>
              <w:pStyle w:val="BodyText"/>
            </w:pPr>
            <w:r w:rsidRPr="0068794E">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rPr>
                <w:rStyle w:val="SpecialBold"/>
              </w:rPr>
              <w:t>9.4)</w:t>
            </w:r>
          </w:p>
        </w:tc>
      </w:tr>
      <w:tr w:rsidTr="002856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8794E" w:rsidP="0068794E">
            <w:pPr>
              <w:pStyle w:val="BodyText"/>
            </w:pPr>
            <w:r w:rsidRPr="0068794E">
              <w:t>This Competency Standard Unit shall be assessed by methods given in Volume 1, Part 3 “Assessment Guidelines”.</w:t>
            </w:r>
          </w:p>
          <w:p w:rsidR="00000000" w:rsidRPr="0068794E" w:rsidP="0068794E">
            <w:pPr>
              <w:pStyle w:val="BodyText"/>
            </w:pPr>
            <w:r w:rsidRPr="0068794E">
              <w:t>Note:</w:t>
            </w:r>
          </w:p>
          <w:p w:rsidR="00000000" w:rsidRPr="0068794E" w:rsidP="0068794E">
            <w:pPr>
              <w:pStyle w:val="BodyText"/>
            </w:pPr>
            <w:r w:rsidRPr="0068794E">
              <w:t>Competent performance with inherent safe working practices is expected in the Transmission, Distribution and Rail Traction Industry. This requires that the specified essential knowledge and associated skills are assessed in a structured environment which i</w:t>
            </w:r>
            <w:r w:rsidRPr="0068794E">
              <w:t>s primarily intended for learning/assessment and incorporates all necessary equipment and facilities for learners to develop and demonstrate the essential knowledge and associated skills described in this unit.</w:t>
            </w:r>
          </w:p>
        </w:tc>
      </w:tr>
    </w:tbl>
    <w:p w:rsidR="00000000" w:rsidRPr="0068794E" w:rsidP="0068794E">
      <w:pPr>
        <w:pStyle w:val="BodyText"/>
      </w:pPr>
    </w:p>
    <w:tbl>
      <w:tblPr>
        <w:tblW w:w="0" w:type="auto"/>
        <w:tblLayout w:type="fixed"/>
        <w:tblCellMar>
          <w:left w:w="62" w:type="dxa"/>
          <w:right w:w="62" w:type="dxa"/>
        </w:tblCellMar>
        <w:tblLook w:val="0000"/>
      </w:tblPr>
      <w:tblGrid>
        <w:gridCol w:w="1890"/>
        <w:gridCol w:w="6570"/>
      </w:tblGrid>
      <w:tr w:rsidTr="002856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8794E" w:rsidP="0068794E">
            <w:pPr>
              <w:pStyle w:val="BodyText"/>
            </w:pPr>
            <w:r w:rsidRPr="0068794E">
              <w:rPr>
                <w:rStyle w:val="SpecialBold"/>
              </w:rPr>
              <w:t>Concurrent assessment and relationship with</w:t>
            </w:r>
            <w:r w:rsidRPr="0068794E">
              <w:rPr>
                <w:rStyle w:val="SpecialBold"/>
              </w:rPr>
              <w:t xml:space="preserve"> other units</w:t>
            </w:r>
          </w:p>
        </w:tc>
        <w:tc>
          <w:tcPr>
            <w:tcW w:w="6570"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rPr>
                <w:rStyle w:val="SpecialBold"/>
              </w:rPr>
              <w:t>9.5)</w:t>
            </w:r>
          </w:p>
        </w:tc>
      </w:tr>
      <w:tr w:rsidTr="002856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8794E" w:rsidP="0068794E">
            <w:pPr>
              <w:pStyle w:val="BodyText"/>
            </w:pPr>
            <w:r w:rsidRPr="0068794E">
              <w:t>There are no concurrent assessment recommendations for this unit.</w:t>
            </w:r>
          </w:p>
        </w:tc>
      </w:tr>
    </w:tbl>
    <w:p w:rsidR="00000000" w:rsidRPr="0068794E" w:rsidP="0068794E">
      <w:pPr>
        <w:pStyle w:val="BodyText"/>
      </w:pPr>
    </w:p>
    <w:p w:rsidR="00000000" w:rsidRPr="0068794E" w:rsidP="0068794E">
      <w:pPr>
        <w:pStyle w:val="AllowPageBreak"/>
      </w:pPr>
    </w:p>
    <w:p w:rsidR="00000000" w:rsidRPr="0068794E" w:rsidP="0068794E">
      <w:pPr>
        <w:pStyle w:val="Heading1"/>
      </w:pPr>
      <w:bookmarkStart w:id="11" w:name="O_465065"/>
      <w:bookmarkEnd w:id="11"/>
      <w:r w:rsidRPr="0068794E">
        <w:t>Range Statement</w:t>
      </w:r>
    </w:p>
    <w:tbl>
      <w:tblPr>
        <w:tblW w:w="0" w:type="auto"/>
        <w:tblLayout w:type="fixed"/>
        <w:tblCellMar>
          <w:left w:w="62" w:type="dxa"/>
          <w:right w:w="62" w:type="dxa"/>
        </w:tblCellMar>
        <w:tblLook w:val="0000"/>
      </w:tblPr>
      <w:tblGrid>
        <w:gridCol w:w="8460"/>
      </w:tblGrid>
      <w:tr w:rsidTr="0028566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rPr>
                <w:rStyle w:val="SpecialBold"/>
              </w:rPr>
              <w:t>RANGE STATEMENT</w:t>
            </w:r>
          </w:p>
        </w:tc>
      </w:tr>
      <w:tr w:rsidTr="0028566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8794E" w:rsidP="0068794E">
            <w:pPr>
              <w:pStyle w:val="BodyText"/>
            </w:pPr>
            <w:r w:rsidRPr="0068794E">
              <w:rPr>
                <w:rStyle w:val="SpecialBold"/>
              </w:rPr>
              <w:t>10)</w:t>
            </w:r>
            <w:r w:rsidRPr="0068794E">
              <w:t xml:space="preserve"> This relates to the competency standard unit as a whole providing the range of contexts and </w:t>
            </w:r>
            <w:r w:rsidRPr="0068794E">
              <w:t>conditions to which the Performance Criteria apply. It allows for different work environments and situations that will affect performance.</w:t>
            </w:r>
          </w:p>
          <w:p w:rsidR="00000000" w:rsidRPr="0068794E" w:rsidP="0068794E">
            <w:pPr>
              <w:pStyle w:val="BodyText"/>
            </w:pPr>
            <w:r w:rsidRPr="0068794E">
              <w:t>This Competency Standard Unit shall be demonstrated in relation to the management of the switching of transmission ne</w:t>
            </w:r>
            <w:r w:rsidRPr="0068794E">
              <w:t>twork components with due regard to the loadings and prevailing network constraints and shall be demonstrated using the following equipment:</w:t>
            </w:r>
          </w:p>
          <w:p w:rsidR="00000000" w:rsidRPr="0068794E" w:rsidP="0068794E">
            <w:pPr>
              <w:pStyle w:val="BodyText"/>
            </w:pPr>
            <w:r w:rsidRPr="0068794E">
              <w:t>EHV distribution feeders/distribution network; transformers or regulators with EHV windings; EHV busbars; EHV isola</w:t>
            </w:r>
            <w:r w:rsidRPr="0068794E">
              <w:t>tors; EHV switchgear (applicable to enterprise equipment); generators, VAR compensators, load shedding and non-essential loads; switching instructions (applicable to enterprise equipment); computers (applicable to enterprise equipment); network diagrams (a</w:t>
            </w:r>
            <w:r w:rsidRPr="0068794E">
              <w:t>pplicable to enterprise equipment).</w:t>
            </w:r>
          </w:p>
          <w:p w:rsidR="00000000" w:rsidRPr="0068794E" w:rsidP="0068794E">
            <w:pPr>
              <w:pStyle w:val="BodyText"/>
            </w:pPr>
            <w:r w:rsidRPr="0068794E">
              <w:t>The following constants and variables included in the Element/Performance Criteria in this unit are fully described in the Definitions Section 1 of this volume and form an integral part of the Range Statement of this uni</w:t>
            </w:r>
            <w:r w:rsidRPr="0068794E">
              <w:t>t:</w:t>
            </w:r>
          </w:p>
          <w:p w:rsidR="00000000" w:rsidRPr="0068794E" w:rsidP="0068794E">
            <w:pPr>
              <w:pStyle w:val="ListBullet3"/>
            </w:pPr>
            <w:r w:rsidRPr="0068794E">
              <w:t>Appropriate and relevant persons (see Personnel)</w:t>
            </w:r>
          </w:p>
          <w:p w:rsidR="00000000" w:rsidRPr="0068794E" w:rsidP="0068794E">
            <w:pPr>
              <w:pStyle w:val="ListBullet3"/>
            </w:pPr>
            <w:r w:rsidRPr="0068794E">
              <w:t>Appropriate authorities</w:t>
            </w:r>
          </w:p>
          <w:p w:rsidR="00000000" w:rsidRPr="0068794E" w:rsidP="0068794E">
            <w:pPr>
              <w:pStyle w:val="ListBullet3"/>
            </w:pPr>
            <w:r w:rsidRPr="0068794E">
              <w:t>Appropriate work platform</w:t>
            </w:r>
          </w:p>
          <w:p w:rsidR="00000000" w:rsidRPr="0068794E" w:rsidP="0068794E">
            <w:pPr>
              <w:pStyle w:val="ListBullet3"/>
            </w:pPr>
            <w:r w:rsidRPr="0068794E">
              <w:t>Assessing risk</w:t>
            </w:r>
          </w:p>
          <w:p w:rsidR="00000000" w:rsidRPr="0068794E" w:rsidP="0068794E">
            <w:pPr>
              <w:pStyle w:val="ListBullet3"/>
            </w:pPr>
            <w:r w:rsidRPr="0068794E">
              <w:t>Assessment</w:t>
            </w:r>
          </w:p>
          <w:p w:rsidR="00000000" w:rsidRPr="0068794E" w:rsidP="0068794E">
            <w:pPr>
              <w:pStyle w:val="ListBullet3"/>
            </w:pPr>
            <w:r w:rsidRPr="0068794E">
              <w:t>Authorisation</w:t>
            </w:r>
          </w:p>
          <w:p w:rsidR="00000000" w:rsidRPr="0068794E" w:rsidP="0068794E">
            <w:pPr>
              <w:pStyle w:val="ListBullet3"/>
            </w:pPr>
            <w:r w:rsidRPr="0068794E">
              <w:t>Confined space</w:t>
            </w:r>
          </w:p>
          <w:p w:rsidR="00000000" w:rsidRPr="0068794E" w:rsidP="0068794E">
            <w:pPr>
              <w:pStyle w:val="ListBullet3"/>
            </w:pPr>
            <w:r w:rsidRPr="0068794E">
              <w:t>Diagnostic, testing and restoration</w:t>
            </w:r>
          </w:p>
          <w:p w:rsidR="00000000" w:rsidRPr="0068794E" w:rsidP="0068794E">
            <w:pPr>
              <w:pStyle w:val="ListBullet3"/>
            </w:pPr>
            <w:r w:rsidRPr="0068794E">
              <w:t xml:space="preserve">Documenting detail work events, record keeping and or storage </w:t>
            </w:r>
            <w:r w:rsidRPr="0068794E">
              <w:t>of information</w:t>
            </w:r>
          </w:p>
          <w:p w:rsidR="00000000" w:rsidRPr="0068794E" w:rsidP="0068794E">
            <w:pPr>
              <w:pStyle w:val="ListBullet3"/>
            </w:pPr>
            <w:r w:rsidRPr="0068794E">
              <w:t>Drawings and specifications</w:t>
            </w:r>
          </w:p>
          <w:p w:rsidR="00000000" w:rsidRPr="0068794E" w:rsidP="0068794E">
            <w:pPr>
              <w:pStyle w:val="ListBullet3"/>
            </w:pPr>
            <w:r w:rsidRPr="0068794E">
              <w:t>Emergency</w:t>
            </w:r>
          </w:p>
          <w:p w:rsidR="00000000" w:rsidRPr="0068794E" w:rsidP="0068794E">
            <w:pPr>
              <w:pStyle w:val="ListBullet3"/>
            </w:pPr>
            <w:r w:rsidRPr="0068794E">
              <w:t>Environmental and sustainable energy procedures</w:t>
            </w:r>
          </w:p>
          <w:p w:rsidR="00000000" w:rsidRPr="0068794E" w:rsidP="0068794E">
            <w:pPr>
              <w:pStyle w:val="ListBullet3"/>
            </w:pPr>
            <w:r w:rsidRPr="0068794E">
              <w:t>Environmental legislation</w:t>
            </w:r>
          </w:p>
          <w:p w:rsidR="00000000" w:rsidRPr="0068794E" w:rsidP="0068794E">
            <w:pPr>
              <w:pStyle w:val="ListBullet3"/>
            </w:pPr>
            <w:r w:rsidRPr="0068794E">
              <w:t>Environmental management documentation</w:t>
            </w:r>
          </w:p>
          <w:p w:rsidR="00000000" w:rsidRPr="0068794E" w:rsidP="0068794E">
            <w:pPr>
              <w:pStyle w:val="ListBullet3"/>
            </w:pPr>
            <w:r w:rsidRPr="0068794E">
              <w:t>Established procedures</w:t>
            </w:r>
          </w:p>
          <w:p w:rsidR="00000000" w:rsidRPr="0068794E" w:rsidP="0068794E">
            <w:pPr>
              <w:pStyle w:val="ListBullet3"/>
            </w:pPr>
            <w:r w:rsidRPr="0068794E">
              <w:t>Fall prevention</w:t>
            </w:r>
          </w:p>
          <w:p w:rsidR="00000000" w:rsidRPr="0068794E" w:rsidP="0068794E">
            <w:pPr>
              <w:pStyle w:val="ListBullet3"/>
            </w:pPr>
            <w:r w:rsidRPr="0068794E">
              <w:t>Hazards</w:t>
            </w:r>
          </w:p>
          <w:p w:rsidR="00000000" w:rsidRPr="0068794E" w:rsidP="0068794E">
            <w:pPr>
              <w:pStyle w:val="ListBullet3"/>
            </w:pPr>
            <w:r w:rsidRPr="0068794E">
              <w:t>Identifying hazards</w:t>
            </w:r>
          </w:p>
          <w:p w:rsidR="00000000" w:rsidRPr="0068794E" w:rsidP="0068794E">
            <w:pPr>
              <w:pStyle w:val="ListBullet3"/>
            </w:pPr>
            <w:r w:rsidRPr="0068794E">
              <w:t>Inspect</w:t>
            </w:r>
          </w:p>
          <w:p w:rsidR="00000000" w:rsidRPr="0068794E" w:rsidP="0068794E">
            <w:pPr>
              <w:pStyle w:val="ListBullet3"/>
            </w:pPr>
            <w:r w:rsidRPr="0068794E">
              <w:t>Legislation</w:t>
            </w:r>
          </w:p>
          <w:p w:rsidR="00000000" w:rsidRPr="0068794E" w:rsidP="0068794E">
            <w:pPr>
              <w:pStyle w:val="ListBullet3"/>
            </w:pPr>
            <w:r w:rsidRPr="0068794E">
              <w:t>MSDS</w:t>
            </w:r>
          </w:p>
          <w:p w:rsidR="00000000" w:rsidRPr="0068794E" w:rsidP="0068794E">
            <w:pPr>
              <w:pStyle w:val="ListBullet3"/>
            </w:pPr>
            <w:r w:rsidRPr="0068794E">
              <w:t>Notification</w:t>
            </w:r>
          </w:p>
          <w:p w:rsidR="00000000" w:rsidRPr="0068794E" w:rsidP="0068794E">
            <w:pPr>
              <w:pStyle w:val="ListBullet3"/>
            </w:pPr>
            <w:r w:rsidRPr="0068794E">
              <w:t>OHS practices</w:t>
            </w:r>
          </w:p>
          <w:p w:rsidR="00000000" w:rsidRPr="0068794E" w:rsidP="0068794E">
            <w:pPr>
              <w:pStyle w:val="ListBullet3"/>
            </w:pPr>
            <w:r w:rsidRPr="0068794E">
              <w:t>OHS issues</w:t>
            </w:r>
          </w:p>
          <w:p w:rsidR="00000000" w:rsidRPr="0068794E" w:rsidP="0068794E">
            <w:pPr>
              <w:pStyle w:val="ListBullet3"/>
            </w:pPr>
            <w:r w:rsidRPr="0068794E">
              <w:t>Permits and/or permits to work</w:t>
            </w:r>
          </w:p>
          <w:p w:rsidR="00000000" w:rsidRPr="0068794E" w:rsidP="0068794E">
            <w:pPr>
              <w:pStyle w:val="ListBullet3"/>
            </w:pPr>
            <w:r w:rsidRPr="0068794E">
              <w:t>Personnel</w:t>
            </w:r>
          </w:p>
          <w:p w:rsidR="00000000" w:rsidRPr="0068794E" w:rsidP="0068794E">
            <w:pPr>
              <w:pStyle w:val="ListBullet3"/>
            </w:pPr>
            <w:r w:rsidRPr="0068794E">
              <w:t>Quality assurance systems</w:t>
            </w:r>
          </w:p>
          <w:p w:rsidR="00000000" w:rsidRPr="0068794E" w:rsidP="0068794E">
            <w:pPr>
              <w:pStyle w:val="ListBullet3"/>
            </w:pPr>
            <w:r w:rsidRPr="0068794E">
              <w:t>Requirements</w:t>
            </w:r>
          </w:p>
          <w:p w:rsidR="00000000" w:rsidRPr="0068794E" w:rsidP="0068794E">
            <w:pPr>
              <w:pStyle w:val="ListBullet3"/>
            </w:pPr>
            <w:r w:rsidRPr="0068794E">
              <w:t>Testing procedures</w:t>
            </w:r>
          </w:p>
          <w:p w:rsidR="00000000" w:rsidRPr="0068794E" w:rsidP="0068794E">
            <w:pPr>
              <w:pStyle w:val="ListBullet3"/>
            </w:pPr>
            <w:r w:rsidRPr="0068794E">
              <w:t>Work clearance systems</w:t>
            </w:r>
          </w:p>
        </w:tc>
      </w:tr>
    </w:tbl>
    <w:p w:rsidR="00000000" w:rsidRPr="0068794E" w:rsidP="0068794E">
      <w:pPr>
        <w:pStyle w:val="BodyText"/>
      </w:pPr>
    </w:p>
    <w:p w:rsidR="00000000" w:rsidRPr="0068794E" w:rsidP="0068794E">
      <w:pPr>
        <w:pStyle w:val="AllowPageBreak"/>
      </w:pPr>
    </w:p>
    <w:p w:rsidR="00000000" w:rsidRPr="0068794E" w:rsidP="0068794E">
      <w:pPr>
        <w:pStyle w:val="Heading1"/>
      </w:pPr>
      <w:bookmarkStart w:id="12" w:name="O_465068"/>
      <w:bookmarkEnd w:id="12"/>
      <w:r w:rsidRPr="0068794E">
        <w:t>Unit Sector(s)</w:t>
      </w:r>
    </w:p>
    <w:p w:rsidR="00000000" w:rsidRPr="0068794E" w:rsidP="0068794E">
      <w:pPr>
        <w:pStyle w:val="BodyText"/>
      </w:pPr>
      <w:r w:rsidRPr="0068794E">
        <w:t>Not applicable.</w:t>
      </w:r>
    </w:p>
    <w:p w:rsidR="00000000" w:rsidRPr="0068794E" w:rsidP="0068794E">
      <w:pPr>
        <w:pStyle w:val="AllowPageBreak"/>
      </w:pPr>
    </w:p>
    <w:p w:rsidR="00000000" w:rsidRPr="0068794E" w:rsidP="0068794E">
      <w:pPr>
        <w:pStyle w:val="Heading1"/>
      </w:pPr>
      <w:bookmarkStart w:id="13" w:name="O_465057"/>
      <w:bookmarkEnd w:id="13"/>
      <w:r w:rsidRPr="0068794E">
        <w:t>Competency Field</w:t>
      </w:r>
    </w:p>
    <w:tbl>
      <w:tblPr>
        <w:tblW w:w="0" w:type="auto"/>
        <w:tblLayout w:type="fixed"/>
        <w:tblCellMar>
          <w:left w:w="62" w:type="dxa"/>
          <w:right w:w="62" w:type="dxa"/>
        </w:tblCellMar>
        <w:tblLook w:val="0000"/>
      </w:tblPr>
      <w:tblGrid>
        <w:gridCol w:w="2700"/>
        <w:gridCol w:w="5760"/>
      </w:tblGrid>
      <w:tr w:rsidTr="0028566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8794E" w:rsidP="0068794E">
            <w:pPr>
              <w:pStyle w:val="BodyText"/>
            </w:pPr>
            <w:r w:rsidRPr="0068794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8794E">
            <w:pPr>
              <w:pStyle w:val="BodyText"/>
              <w:rPr>
                <w:lang w:val="en-NZ"/>
              </w:rPr>
            </w:pPr>
            <w:r w:rsidRPr="0068794E">
              <w:rPr>
                <w:rStyle w:val="SpecialBold"/>
              </w:rPr>
              <w:t xml:space="preserve">11) </w:t>
            </w:r>
          </w:p>
        </w:tc>
      </w:tr>
      <w:tr w:rsidTr="002856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8794E" w:rsidP="0068794E">
            <w:pPr>
              <w:pStyle w:val="BodyText"/>
            </w:pPr>
            <w:r w:rsidRPr="0068794E">
              <w:t>System Operation Units</w:t>
            </w:r>
          </w:p>
        </w:tc>
      </w:tr>
    </w:tbl>
    <w:p w:rsidR="00000000" w:rsidRPr="0068794E" w:rsidP="0068794E">
      <w:pPr>
        <w:pStyle w:val="BodyText"/>
      </w:pPr>
    </w:p>
    <w:p w:rsidR="00000000" w:rsidRPr="0068794E" w:rsidP="0068794E"/>
    <w:sectPr w:rsidSect="006879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9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5662" w:rsidP="002856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9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662" w:rsidP="006879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285662" w:rsidP="006879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85662" w:rsidP="006879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9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5662" w:rsidP="0028566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9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662" w:rsidP="0068794E">
    <w:pPr>
      <w:pStyle w:val="Header"/>
      <w:framePr w:wrap="around"/>
    </w:pPr>
    <w:r>
      <w:fldChar w:fldCharType="begin"/>
    </w:r>
    <w:r>
      <w:instrText xml:space="preserve"> TITLE   \* MERGEFORMAT </w:instrText>
    </w:r>
    <w:r>
      <w:fldChar w:fldCharType="separate"/>
    </w:r>
    <w:r>
      <w:t>UETTDRSO42A Manage power systems transmission network demand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85662" w:rsidP="0068794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C6EA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FABC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2ED1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794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8794E"/>
    <w:pPr>
      <w:spacing w:before="360" w:after="60"/>
      <w:outlineLvl w:val="0"/>
    </w:pPr>
    <w:rPr>
      <w:sz w:val="32"/>
    </w:rPr>
  </w:style>
  <w:style w:type="paragraph" w:styleId="Heading2">
    <w:name w:val="heading 2"/>
    <w:basedOn w:val="HeadingBase"/>
    <w:next w:val="BodyText"/>
    <w:link w:val="Heading2Char"/>
    <w:qFormat/>
    <w:rsid w:val="0068794E"/>
    <w:pPr>
      <w:keepLines/>
      <w:spacing w:before="240" w:after="120"/>
      <w:outlineLvl w:val="1"/>
    </w:pPr>
    <w:rPr>
      <w:sz w:val="28"/>
      <w:szCs w:val="40"/>
    </w:rPr>
  </w:style>
  <w:style w:type="paragraph" w:styleId="Heading3">
    <w:name w:val="heading 3"/>
    <w:basedOn w:val="HeadingBase"/>
    <w:next w:val="BodyText"/>
    <w:link w:val="Heading3Char"/>
    <w:qFormat/>
    <w:rsid w:val="0068794E"/>
    <w:pPr>
      <w:spacing w:before="180" w:after="120"/>
      <w:outlineLvl w:val="2"/>
    </w:pPr>
    <w:rPr>
      <w:spacing w:val="-10"/>
      <w:kern w:val="32"/>
    </w:rPr>
  </w:style>
  <w:style w:type="paragraph" w:styleId="Heading4">
    <w:name w:val="heading 4"/>
    <w:basedOn w:val="HeadingBase"/>
    <w:next w:val="BodyText"/>
    <w:link w:val="Heading4Char"/>
    <w:qFormat/>
    <w:rsid w:val="0068794E"/>
    <w:pPr>
      <w:spacing w:before="160" w:after="120"/>
      <w:outlineLvl w:val="3"/>
    </w:pPr>
    <w:rPr>
      <w:sz w:val="22"/>
    </w:rPr>
  </w:style>
  <w:style w:type="paragraph" w:styleId="Heading5">
    <w:name w:val="heading 5"/>
    <w:basedOn w:val="HeadingBase"/>
    <w:next w:val="Normal"/>
    <w:link w:val="Heading5Char"/>
    <w:qFormat/>
    <w:rsid w:val="0068794E"/>
    <w:pPr>
      <w:spacing w:before="80"/>
      <w:outlineLvl w:val="4"/>
    </w:pPr>
    <w:rPr>
      <w:color w:val="918585"/>
      <w:sz w:val="20"/>
    </w:rPr>
  </w:style>
  <w:style w:type="paragraph" w:styleId="Heading6">
    <w:name w:val="heading 6"/>
    <w:basedOn w:val="HeadingBase"/>
    <w:next w:val="Normal"/>
    <w:link w:val="Heading6Char"/>
    <w:qFormat/>
    <w:rsid w:val="0068794E"/>
    <w:pPr>
      <w:spacing w:before="60"/>
      <w:outlineLvl w:val="5"/>
    </w:pPr>
    <w:rPr>
      <w:color w:val="918585"/>
      <w:sz w:val="20"/>
    </w:rPr>
  </w:style>
  <w:style w:type="paragraph" w:styleId="Heading7">
    <w:name w:val="heading 7"/>
    <w:basedOn w:val="Normal"/>
    <w:next w:val="Normal"/>
    <w:link w:val="Heading7Char"/>
    <w:qFormat/>
    <w:rsid w:val="0068794E"/>
    <w:pPr>
      <w:ind w:left="720"/>
      <w:outlineLvl w:val="6"/>
    </w:pPr>
    <w:rPr>
      <w:i/>
    </w:rPr>
  </w:style>
  <w:style w:type="paragraph" w:styleId="Heading8">
    <w:name w:val="heading 8"/>
    <w:basedOn w:val="Normal"/>
    <w:next w:val="Normal"/>
    <w:link w:val="Heading8Char"/>
    <w:qFormat/>
    <w:rsid w:val="0068794E"/>
    <w:pPr>
      <w:ind w:left="720"/>
      <w:outlineLvl w:val="7"/>
    </w:pPr>
    <w:rPr>
      <w:i/>
    </w:rPr>
  </w:style>
  <w:style w:type="paragraph" w:styleId="Heading9">
    <w:name w:val="heading 9"/>
    <w:basedOn w:val="Normal"/>
    <w:next w:val="Normal"/>
    <w:link w:val="Heading9Char"/>
    <w:qFormat/>
    <w:rsid w:val="0068794E"/>
    <w:pPr>
      <w:ind w:left="720"/>
      <w:outlineLvl w:val="8"/>
    </w:pPr>
    <w:rPr>
      <w:i/>
    </w:rPr>
  </w:style>
  <w:style w:type="character" w:default="1" w:styleId="DefaultParagraphFont">
    <w:name w:val="Default Paragraph Font"/>
    <w:uiPriority w:val="1"/>
    <w:unhideWhenUsed/>
    <w:rsid w:val="006879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794E"/>
  </w:style>
  <w:style w:type="character" w:customStyle="1" w:styleId="Heading1Char">
    <w:name w:val="Heading 1 Char"/>
    <w:basedOn w:val="DefaultParagraphFont"/>
    <w:link w:val="Heading1"/>
    <w:rsid w:val="0068794E"/>
    <w:rPr>
      <w:rFonts w:ascii="Times New Roman" w:eastAsia="Times New Roman" w:hAnsi="Times New Roman" w:cs="Times New Roman"/>
      <w:b/>
      <w:sz w:val="32"/>
      <w:szCs w:val="20"/>
      <w:lang w:eastAsia="en-US"/>
    </w:rPr>
  </w:style>
  <w:style w:type="paragraph" w:styleId="BodyText">
    <w:name w:val="Body Text"/>
    <w:basedOn w:val="Normal"/>
    <w:link w:val="BodyTextChar"/>
    <w:rsid w:val="006879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8794E"/>
    <w:rPr>
      <w:rFonts w:ascii="Times New Roman" w:eastAsia="Times New Roman" w:hAnsi="Times New Roman" w:cs="Times New Roman"/>
      <w:sz w:val="24"/>
      <w:lang w:val="en-US" w:eastAsia="en-US"/>
    </w:rPr>
  </w:style>
  <w:style w:type="paragraph" w:styleId="Footer">
    <w:name w:val="footer"/>
    <w:basedOn w:val="Normal"/>
    <w:link w:val="FooterChar"/>
    <w:rsid w:val="006879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794E"/>
    <w:rPr>
      <w:rFonts w:ascii="Times New Roman" w:eastAsia="Times New Roman" w:hAnsi="Times New Roman" w:cs="Times New Roman"/>
      <w:sz w:val="16"/>
      <w:lang w:val="en-US" w:eastAsia="en-US"/>
    </w:rPr>
  </w:style>
  <w:style w:type="paragraph" w:styleId="ListBullet">
    <w:name w:val="List Bullet"/>
    <w:basedOn w:val="List"/>
    <w:rsid w:val="0068794E"/>
    <w:pPr>
      <w:numPr>
        <w:numId w:val="14"/>
      </w:numPr>
      <w:tabs>
        <w:tab w:val="clear" w:pos="340"/>
      </w:tabs>
      <w:spacing w:before="40" w:after="40"/>
    </w:pPr>
  </w:style>
  <w:style w:type="character" w:customStyle="1" w:styleId="SpecialBold">
    <w:name w:val="Special Bold"/>
    <w:basedOn w:val="DefaultParagraphFont"/>
    <w:rsid w:val="0068794E"/>
    <w:rPr>
      <w:b/>
      <w:spacing w:val="0"/>
    </w:rPr>
  </w:style>
  <w:style w:type="paragraph" w:styleId="ListBullet2">
    <w:name w:val="List Bullet 2"/>
    <w:basedOn w:val="List2"/>
    <w:rsid w:val="0068794E"/>
    <w:pPr>
      <w:numPr>
        <w:numId w:val="15"/>
      </w:numPr>
      <w:tabs>
        <w:tab w:val="clear" w:pos="680"/>
      </w:tabs>
    </w:pPr>
  </w:style>
  <w:style w:type="paragraph" w:styleId="Header">
    <w:name w:val="header"/>
    <w:basedOn w:val="Normal"/>
    <w:link w:val="HeaderChar"/>
    <w:rsid w:val="006879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794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8794E"/>
    <w:pPr>
      <w:spacing w:before="240" w:after="120"/>
      <w:outlineLvl w:val="0"/>
    </w:pPr>
    <w:rPr>
      <w:rFonts w:ascii="Times New Roman" w:hAnsi="Times New Roman"/>
      <w:b/>
      <w:sz w:val="28"/>
    </w:rPr>
  </w:style>
  <w:style w:type="paragraph" w:customStyle="1" w:styleId="AllowPageBreak">
    <w:name w:val="AllowPageBreak"/>
    <w:rsid w:val="0068794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8794E"/>
    <w:pPr>
      <w:numPr>
        <w:numId w:val="3"/>
      </w:numPr>
      <w:tabs>
        <w:tab w:val="clear" w:pos="1021"/>
      </w:tabs>
      <w:ind w:left="1037" w:hanging="357"/>
    </w:pPr>
  </w:style>
  <w:style w:type="character" w:customStyle="1" w:styleId="Heading2Char">
    <w:name w:val="Heading 2 Char"/>
    <w:basedOn w:val="DefaultParagraphFont"/>
    <w:link w:val="Heading2"/>
    <w:rsid w:val="006879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79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79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79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79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794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8794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8794E"/>
    <w:rPr>
      <w:rFonts w:ascii="Courier New" w:eastAsia="Times New Roman" w:hAnsi="Courier New" w:cs="Times New Roman"/>
      <w:i/>
      <w:szCs w:val="20"/>
      <w:lang w:val="en-US" w:eastAsia="en-US"/>
    </w:rPr>
  </w:style>
  <w:style w:type="paragraph" w:customStyle="1" w:styleId="HeadingBase">
    <w:name w:val="Heading Base"/>
    <w:rsid w:val="006879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794E"/>
    <w:pPr>
      <w:tabs>
        <w:tab w:val="right" w:leader="dot" w:pos="9072"/>
      </w:tabs>
      <w:ind w:left="567"/>
    </w:pPr>
    <w:rPr>
      <w:szCs w:val="22"/>
    </w:rPr>
  </w:style>
  <w:style w:type="paragraph" w:customStyle="1" w:styleId="TOCBase">
    <w:name w:val="TOC Base"/>
    <w:rsid w:val="006879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794E"/>
    <w:pPr>
      <w:tabs>
        <w:tab w:val="right" w:leader="dot" w:pos="9072"/>
      </w:tabs>
      <w:spacing w:before="40" w:after="40"/>
      <w:ind w:left="284"/>
    </w:pPr>
    <w:rPr>
      <w:rFonts w:ascii="Times New Roman" w:hAnsi="Times New Roman"/>
    </w:rPr>
  </w:style>
  <w:style w:type="paragraph" w:styleId="TOC1">
    <w:name w:val="toc 1"/>
    <w:basedOn w:val="TOCBase"/>
    <w:next w:val="Normal"/>
    <w:rsid w:val="006879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8794E"/>
    <w:pPr>
      <w:spacing w:before="5040"/>
      <w:jc w:val="center"/>
    </w:pPr>
    <w:rPr>
      <w:sz w:val="48"/>
      <w:szCs w:val="72"/>
      <w:lang w:val="en-US"/>
    </w:rPr>
  </w:style>
  <w:style w:type="character" w:customStyle="1" w:styleId="TitleChar">
    <w:name w:val="Title Char"/>
    <w:basedOn w:val="DefaultParagraphFont"/>
    <w:link w:val="Title"/>
    <w:rsid w:val="006879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794E"/>
    <w:pPr>
      <w:tabs>
        <w:tab w:val="left" w:pos="3600"/>
        <w:tab w:val="left" w:pos="3958"/>
      </w:tabs>
    </w:pPr>
  </w:style>
  <w:style w:type="paragraph" w:styleId="List">
    <w:name w:val="List"/>
    <w:basedOn w:val="BodyText"/>
    <w:next w:val="BodyText"/>
    <w:rsid w:val="0068794E"/>
    <w:pPr>
      <w:tabs>
        <w:tab w:val="left" w:pos="340"/>
      </w:tabs>
      <w:spacing w:before="60" w:after="60"/>
      <w:ind w:left="340" w:hanging="340"/>
    </w:pPr>
  </w:style>
  <w:style w:type="paragraph" w:customStyle="1" w:styleId="Note">
    <w:name w:val="Note"/>
    <w:basedOn w:val="BodyText"/>
    <w:rsid w:val="006879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794E"/>
    <w:pPr>
      <w:framePr w:wrap="auto" w:hAnchor="text" w:y="6049"/>
    </w:pPr>
    <w:rPr>
      <w:color w:val="000000"/>
      <w:sz w:val="40"/>
    </w:rPr>
  </w:style>
  <w:style w:type="paragraph" w:customStyle="1" w:styleId="TOCTitle">
    <w:name w:val="TOCTitle"/>
    <w:basedOn w:val="Heading1"/>
    <w:rsid w:val="0068794E"/>
    <w:pPr>
      <w:spacing w:after="240"/>
      <w:jc w:val="center"/>
      <w:outlineLvl w:val="9"/>
    </w:pPr>
    <w:rPr>
      <w:caps/>
    </w:rPr>
  </w:style>
  <w:style w:type="paragraph" w:customStyle="1" w:styleId="Version">
    <w:name w:val="Version"/>
    <w:rsid w:val="006879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794E"/>
    <w:pPr>
      <w:keepNext w:val="0"/>
      <w:tabs>
        <w:tab w:val="right" w:pos="4176"/>
      </w:tabs>
      <w:ind w:left="198" w:hanging="198"/>
    </w:pPr>
    <w:rPr>
      <w:rFonts w:ascii="Garamond" w:hAnsi="Garamond"/>
    </w:rPr>
  </w:style>
  <w:style w:type="paragraph" w:styleId="IndexHeading">
    <w:name w:val="index heading"/>
    <w:basedOn w:val="Normal"/>
    <w:next w:val="Index1"/>
    <w:semiHidden/>
    <w:rsid w:val="0068794E"/>
    <w:pPr>
      <w:spacing w:before="120" w:after="120"/>
    </w:pPr>
    <w:rPr>
      <w:rFonts w:ascii="Arial" w:hAnsi="Arial"/>
      <w:b/>
      <w:color w:val="918585"/>
      <w:sz w:val="24"/>
    </w:rPr>
  </w:style>
  <w:style w:type="paragraph" w:customStyle="1" w:styleId="Chapter">
    <w:name w:val="Chapter"/>
    <w:basedOn w:val="Normal"/>
    <w:rsid w:val="0068794E"/>
    <w:pPr>
      <w:spacing w:before="240"/>
    </w:pPr>
    <w:rPr>
      <w:rFonts w:ascii="Times New Roman" w:hAnsi="Times New Roman"/>
      <w:smallCaps/>
      <w:spacing w:val="80"/>
      <w:sz w:val="28"/>
    </w:rPr>
  </w:style>
  <w:style w:type="paragraph" w:customStyle="1" w:styleId="InChapter">
    <w:name w:val="InChapter"/>
    <w:basedOn w:val="Heading3"/>
    <w:rsid w:val="0068794E"/>
    <w:pPr>
      <w:spacing w:after="240"/>
      <w:outlineLvl w:val="9"/>
    </w:pPr>
    <w:rPr>
      <w:noProof/>
    </w:rPr>
  </w:style>
  <w:style w:type="paragraph" w:styleId="Index2">
    <w:name w:val="index 2"/>
    <w:basedOn w:val="Normal"/>
    <w:next w:val="Normal"/>
    <w:semiHidden/>
    <w:rsid w:val="0068794E"/>
    <w:pPr>
      <w:tabs>
        <w:tab w:val="right" w:pos="4176"/>
      </w:tabs>
      <w:ind w:left="568" w:hanging="284"/>
    </w:pPr>
    <w:rPr>
      <w:rFonts w:ascii="Garamond" w:hAnsi="Garamond"/>
    </w:rPr>
  </w:style>
  <w:style w:type="paragraph" w:customStyle="1" w:styleId="Byline">
    <w:name w:val="Byline"/>
    <w:rsid w:val="006879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794E"/>
    <w:pPr>
      <w:tabs>
        <w:tab w:val="clear" w:pos="3600"/>
        <w:tab w:val="clear" w:pos="3958"/>
      </w:tabs>
      <w:jc w:val="right"/>
    </w:pPr>
  </w:style>
  <w:style w:type="character" w:styleId="Emphasis">
    <w:name w:val="Emphasis"/>
    <w:basedOn w:val="DefaultParagraphFont"/>
    <w:qFormat/>
    <w:rsid w:val="0068794E"/>
    <w:rPr>
      <w:i/>
    </w:rPr>
  </w:style>
  <w:style w:type="paragraph" w:styleId="Caption">
    <w:name w:val="caption"/>
    <w:basedOn w:val="BodyText"/>
    <w:next w:val="Normal"/>
    <w:qFormat/>
    <w:rsid w:val="0068794E"/>
    <w:pPr>
      <w:framePr w:w="2268" w:hSpace="181" w:vSpace="181" w:wrap="around" w:vAnchor="text" w:hAnchor="page" w:x="1135" w:y="285" w:anchorLock="1"/>
    </w:pPr>
    <w:rPr>
      <w:i/>
    </w:rPr>
  </w:style>
  <w:style w:type="paragraph" w:customStyle="1" w:styleId="MiniTOCTitle">
    <w:name w:val="MiniTOCTitle"/>
    <w:basedOn w:val="Heading4"/>
    <w:rsid w:val="0068794E"/>
    <w:pPr>
      <w:spacing w:before="240"/>
      <w:outlineLvl w:val="9"/>
    </w:pPr>
    <w:rPr>
      <w:noProof/>
      <w:sz w:val="24"/>
    </w:rPr>
  </w:style>
  <w:style w:type="paragraph" w:customStyle="1" w:styleId="MiniTOCItem">
    <w:name w:val="MiniTOCItem"/>
    <w:basedOn w:val="ListBullet"/>
    <w:rsid w:val="0068794E"/>
    <w:pPr>
      <w:numPr>
        <w:numId w:val="0"/>
      </w:numPr>
      <w:tabs>
        <w:tab w:val="right" w:leader="dot" w:pos="6521"/>
      </w:tabs>
      <w:spacing w:before="0" w:after="0"/>
    </w:pPr>
  </w:style>
  <w:style w:type="paragraph" w:customStyle="1" w:styleId="TOFTitle">
    <w:name w:val="TOFTitle"/>
    <w:basedOn w:val="TOCTitle"/>
    <w:rsid w:val="0068794E"/>
  </w:style>
  <w:style w:type="paragraph" w:styleId="TableofFigures">
    <w:name w:val="table of figures"/>
    <w:basedOn w:val="Normal"/>
    <w:next w:val="Normal"/>
    <w:semiHidden/>
    <w:rsid w:val="0068794E"/>
    <w:pPr>
      <w:tabs>
        <w:tab w:val="right" w:leader="dot" w:pos="9072"/>
      </w:tabs>
      <w:ind w:left="970" w:hanging="403"/>
    </w:pPr>
    <w:rPr>
      <w:rFonts w:ascii="Times New Roman" w:hAnsi="Times New Roman"/>
      <w:b/>
    </w:rPr>
  </w:style>
  <w:style w:type="paragraph" w:styleId="ListNumber">
    <w:name w:val="List Number"/>
    <w:basedOn w:val="List"/>
    <w:rsid w:val="0068794E"/>
    <w:pPr>
      <w:numPr>
        <w:numId w:val="12"/>
      </w:numPr>
    </w:pPr>
  </w:style>
  <w:style w:type="character" w:customStyle="1" w:styleId="WingdingSymbols">
    <w:name w:val="Wingding Symbols"/>
    <w:rsid w:val="0068794E"/>
    <w:rPr>
      <w:rFonts w:ascii="Wingdings" w:hAnsi="Wingdings"/>
    </w:rPr>
  </w:style>
  <w:style w:type="paragraph" w:customStyle="1" w:styleId="TableHeading">
    <w:name w:val="Table Heading"/>
    <w:basedOn w:val="HeadingBase"/>
    <w:rsid w:val="0068794E"/>
    <w:pPr>
      <w:keepLines/>
      <w:pBdr>
        <w:bottom w:val="single" w:sz="6" w:space="1" w:color="918585"/>
      </w:pBdr>
      <w:spacing w:before="240"/>
    </w:pPr>
  </w:style>
  <w:style w:type="character" w:customStyle="1" w:styleId="HotSpot">
    <w:name w:val="HotSpot"/>
    <w:rsid w:val="0068794E"/>
    <w:rPr>
      <w:color w:val="0033CC"/>
      <w:u w:val="none"/>
    </w:rPr>
  </w:style>
  <w:style w:type="paragraph" w:customStyle="1" w:styleId="BodyTextRight">
    <w:name w:val="Body Text Right"/>
    <w:basedOn w:val="BodyText"/>
    <w:rsid w:val="0068794E"/>
    <w:pPr>
      <w:spacing w:before="0" w:after="0"/>
      <w:jc w:val="right"/>
    </w:pPr>
  </w:style>
  <w:style w:type="paragraph" w:styleId="Index3">
    <w:name w:val="index 3"/>
    <w:basedOn w:val="ListNumber2"/>
    <w:next w:val="Normal"/>
    <w:semiHidden/>
    <w:rsid w:val="0068794E"/>
    <w:pPr>
      <w:numPr>
        <w:numId w:val="0"/>
      </w:numPr>
      <w:tabs>
        <w:tab w:val="right" w:leader="dot" w:pos="4176"/>
      </w:tabs>
    </w:pPr>
  </w:style>
  <w:style w:type="paragraph" w:styleId="ListNumber2">
    <w:name w:val="List Number 2"/>
    <w:basedOn w:val="List2"/>
    <w:rsid w:val="0068794E"/>
    <w:pPr>
      <w:numPr>
        <w:numId w:val="11"/>
      </w:numPr>
      <w:tabs>
        <w:tab w:val="clear" w:pos="1060"/>
      </w:tabs>
    </w:pPr>
  </w:style>
  <w:style w:type="paragraph" w:customStyle="1" w:styleId="MarginNote">
    <w:name w:val="Margin Note"/>
    <w:basedOn w:val="BodyText"/>
    <w:rsid w:val="006879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79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794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8794E"/>
    <w:rPr>
      <w:sz w:val="32"/>
    </w:rPr>
  </w:style>
  <w:style w:type="paragraph" w:customStyle="1" w:styleId="HeadingProcedure">
    <w:name w:val="Heading Procedure"/>
    <w:basedOn w:val="HeadingBase"/>
    <w:next w:val="Normal"/>
    <w:rsid w:val="0068794E"/>
    <w:pPr>
      <w:tabs>
        <w:tab w:val="left" w:pos="0"/>
      </w:tabs>
      <w:spacing w:before="120" w:after="60"/>
    </w:pPr>
    <w:rPr>
      <w:i/>
      <w:color w:val="918585"/>
      <w:sz w:val="22"/>
    </w:rPr>
  </w:style>
  <w:style w:type="paragraph" w:customStyle="1" w:styleId="TableBodyText">
    <w:name w:val="Table Body Text"/>
    <w:basedOn w:val="BodyText"/>
    <w:rsid w:val="0068794E"/>
    <w:pPr>
      <w:spacing w:before="60" w:after="60"/>
    </w:pPr>
  </w:style>
  <w:style w:type="paragraph" w:styleId="ListContinue">
    <w:name w:val="List Continue"/>
    <w:basedOn w:val="List"/>
    <w:rsid w:val="0068794E"/>
    <w:pPr>
      <w:ind w:firstLine="0"/>
    </w:pPr>
  </w:style>
  <w:style w:type="paragraph" w:customStyle="1" w:styleId="ListNote">
    <w:name w:val="List Note"/>
    <w:basedOn w:val="List"/>
    <w:rsid w:val="0068794E"/>
    <w:pPr>
      <w:pBdr>
        <w:top w:val="single" w:sz="6" w:space="2" w:color="918585"/>
        <w:bottom w:val="single" w:sz="6" w:space="2" w:color="918585"/>
      </w:pBdr>
      <w:tabs>
        <w:tab w:val="left" w:pos="1021"/>
      </w:tabs>
      <w:ind w:firstLine="0"/>
    </w:pPr>
  </w:style>
  <w:style w:type="paragraph" w:customStyle="1" w:styleId="Warning">
    <w:name w:val="Warning"/>
    <w:basedOn w:val="BodyText"/>
    <w:rsid w:val="0068794E"/>
    <w:pPr>
      <w:shd w:val="clear" w:color="auto" w:fill="D9D9D9"/>
      <w:tabs>
        <w:tab w:val="left" w:pos="992"/>
      </w:tabs>
      <w:ind w:left="119" w:right="119"/>
    </w:pPr>
    <w:rPr>
      <w:sz w:val="20"/>
    </w:rPr>
  </w:style>
  <w:style w:type="paragraph" w:customStyle="1" w:styleId="MarginIcons">
    <w:name w:val="Margin Icons"/>
    <w:basedOn w:val="BodyText"/>
    <w:rsid w:val="006879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794E"/>
    <w:rPr>
      <w:rFonts w:ascii="Courier New" w:hAnsi="Courier New"/>
    </w:rPr>
  </w:style>
  <w:style w:type="paragraph" w:customStyle="1" w:styleId="NoteBullet">
    <w:name w:val="Note Bullet"/>
    <w:basedOn w:val="Note"/>
    <w:rsid w:val="0068794E"/>
    <w:pPr>
      <w:tabs>
        <w:tab w:val="clear" w:pos="680"/>
      </w:tabs>
      <w:spacing w:before="60" w:after="60"/>
    </w:pPr>
  </w:style>
  <w:style w:type="paragraph" w:customStyle="1" w:styleId="SubHeading2">
    <w:name w:val="SubHeading2"/>
    <w:basedOn w:val="HeadingBase"/>
    <w:rsid w:val="0068794E"/>
    <w:pPr>
      <w:spacing w:before="240" w:after="60"/>
    </w:pPr>
    <w:rPr>
      <w:sz w:val="20"/>
    </w:rPr>
  </w:style>
  <w:style w:type="paragraph" w:customStyle="1" w:styleId="SubHeading1">
    <w:name w:val="SubHeading1"/>
    <w:basedOn w:val="HeadingBase"/>
    <w:rsid w:val="0068794E"/>
    <w:pPr>
      <w:spacing w:before="240" w:after="60"/>
    </w:pPr>
    <w:rPr>
      <w:color w:val="918585"/>
      <w:sz w:val="22"/>
    </w:rPr>
  </w:style>
  <w:style w:type="paragraph" w:customStyle="1" w:styleId="SideHeading">
    <w:name w:val="Side Heading"/>
    <w:basedOn w:val="HeadingBase"/>
    <w:rsid w:val="006879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794E"/>
    <w:pPr>
      <w:numPr>
        <w:numId w:val="13"/>
      </w:numPr>
    </w:pPr>
  </w:style>
  <w:style w:type="paragraph" w:styleId="PlainText">
    <w:name w:val="Plain Text"/>
    <w:basedOn w:val="Normal"/>
    <w:link w:val="PlainTextChar"/>
    <w:rsid w:val="0068794E"/>
    <w:rPr>
      <w:sz w:val="20"/>
    </w:rPr>
  </w:style>
  <w:style w:type="character" w:customStyle="1" w:styleId="PlainTextChar">
    <w:name w:val="Plain Text Char"/>
    <w:basedOn w:val="DefaultParagraphFont"/>
    <w:link w:val="PlainText"/>
    <w:rsid w:val="0068794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8794E"/>
    <w:rPr>
      <w:b/>
      <w:smallCaps/>
    </w:rPr>
  </w:style>
  <w:style w:type="paragraph" w:customStyle="1" w:styleId="TableListNumber">
    <w:name w:val="Table List Number"/>
    <w:basedOn w:val="ListNumber"/>
    <w:rsid w:val="0068794E"/>
    <w:pPr>
      <w:numPr>
        <w:numId w:val="0"/>
      </w:numPr>
    </w:pPr>
  </w:style>
  <w:style w:type="paragraph" w:styleId="TOC4">
    <w:name w:val="toc 4"/>
    <w:basedOn w:val="TOCBase"/>
    <w:next w:val="Normal"/>
    <w:semiHidden/>
    <w:rsid w:val="0068794E"/>
    <w:pPr>
      <w:tabs>
        <w:tab w:val="right" w:leader="dot" w:pos="9071"/>
      </w:tabs>
      <w:ind w:left="1701"/>
    </w:pPr>
  </w:style>
  <w:style w:type="paragraph" w:customStyle="1" w:styleId="ListAlpha">
    <w:name w:val="List Alpha"/>
    <w:basedOn w:val="List"/>
    <w:rsid w:val="0068794E"/>
    <w:pPr>
      <w:numPr>
        <w:numId w:val="10"/>
      </w:numPr>
    </w:pPr>
  </w:style>
  <w:style w:type="paragraph" w:customStyle="1" w:styleId="ListAlpha2">
    <w:name w:val="List Alpha 2"/>
    <w:basedOn w:val="List2"/>
    <w:rsid w:val="0068794E"/>
    <w:pPr>
      <w:numPr>
        <w:numId w:val="9"/>
      </w:numPr>
    </w:pPr>
  </w:style>
  <w:style w:type="paragraph" w:styleId="List2">
    <w:name w:val="List 2"/>
    <w:basedOn w:val="BodyText"/>
    <w:rsid w:val="0068794E"/>
    <w:pPr>
      <w:tabs>
        <w:tab w:val="left" w:pos="680"/>
      </w:tabs>
      <w:spacing w:before="60" w:after="60"/>
      <w:ind w:left="680" w:hanging="340"/>
    </w:pPr>
  </w:style>
  <w:style w:type="paragraph" w:styleId="List3">
    <w:name w:val="List 3"/>
    <w:basedOn w:val="BodyText"/>
    <w:rsid w:val="0068794E"/>
    <w:pPr>
      <w:tabs>
        <w:tab w:val="left" w:pos="1021"/>
      </w:tabs>
      <w:spacing w:before="60" w:after="60"/>
      <w:ind w:left="1020" w:hanging="340"/>
    </w:pPr>
  </w:style>
  <w:style w:type="paragraph" w:styleId="List4">
    <w:name w:val="List 4"/>
    <w:basedOn w:val="BodyText"/>
    <w:rsid w:val="0068794E"/>
    <w:pPr>
      <w:tabs>
        <w:tab w:val="left" w:pos="1361"/>
      </w:tabs>
      <w:spacing w:before="60" w:after="60"/>
      <w:ind w:left="1361" w:hanging="340"/>
    </w:pPr>
  </w:style>
  <w:style w:type="paragraph" w:styleId="List5">
    <w:name w:val="List 5"/>
    <w:basedOn w:val="BodyText"/>
    <w:rsid w:val="0068794E"/>
    <w:pPr>
      <w:tabs>
        <w:tab w:val="left" w:pos="1701"/>
      </w:tabs>
      <w:spacing w:before="60" w:after="60"/>
      <w:ind w:left="1701" w:hanging="340"/>
    </w:pPr>
  </w:style>
  <w:style w:type="paragraph" w:styleId="ListBullet4">
    <w:name w:val="List Bullet 4"/>
    <w:basedOn w:val="List4"/>
    <w:rsid w:val="0068794E"/>
    <w:pPr>
      <w:numPr>
        <w:numId w:val="4"/>
      </w:numPr>
    </w:pPr>
  </w:style>
  <w:style w:type="paragraph" w:styleId="ListBullet5">
    <w:name w:val="List Bullet 5"/>
    <w:basedOn w:val="List5"/>
    <w:rsid w:val="0068794E"/>
    <w:pPr>
      <w:numPr>
        <w:numId w:val="5"/>
      </w:numPr>
    </w:pPr>
  </w:style>
  <w:style w:type="paragraph" w:styleId="ListContinue2">
    <w:name w:val="List Continue 2"/>
    <w:basedOn w:val="List2"/>
    <w:rsid w:val="0068794E"/>
    <w:pPr>
      <w:ind w:firstLine="0"/>
    </w:pPr>
  </w:style>
  <w:style w:type="paragraph" w:styleId="ListContinue3">
    <w:name w:val="List Continue 3"/>
    <w:basedOn w:val="List3"/>
    <w:rsid w:val="0068794E"/>
    <w:pPr>
      <w:ind w:left="1021" w:firstLine="0"/>
    </w:pPr>
  </w:style>
  <w:style w:type="paragraph" w:styleId="ListContinue4">
    <w:name w:val="List Continue 4"/>
    <w:basedOn w:val="List4"/>
    <w:rsid w:val="0068794E"/>
    <w:pPr>
      <w:ind w:firstLine="0"/>
    </w:pPr>
  </w:style>
  <w:style w:type="paragraph" w:styleId="ListContinue5">
    <w:name w:val="List Continue 5"/>
    <w:basedOn w:val="List5"/>
    <w:rsid w:val="0068794E"/>
    <w:pPr>
      <w:ind w:firstLine="0"/>
    </w:pPr>
  </w:style>
  <w:style w:type="paragraph" w:styleId="ListNumber3">
    <w:name w:val="List Number 3"/>
    <w:basedOn w:val="List3"/>
    <w:rsid w:val="0068794E"/>
    <w:pPr>
      <w:numPr>
        <w:numId w:val="6"/>
      </w:numPr>
    </w:pPr>
  </w:style>
  <w:style w:type="paragraph" w:styleId="ListNumber4">
    <w:name w:val="List Number 4"/>
    <w:basedOn w:val="List4"/>
    <w:rsid w:val="0068794E"/>
    <w:pPr>
      <w:numPr>
        <w:numId w:val="7"/>
      </w:numPr>
    </w:pPr>
  </w:style>
  <w:style w:type="paragraph" w:styleId="ListNumber5">
    <w:name w:val="List Number 5"/>
    <w:basedOn w:val="List5"/>
    <w:rsid w:val="0068794E"/>
    <w:pPr>
      <w:numPr>
        <w:numId w:val="8"/>
      </w:numPr>
    </w:pPr>
  </w:style>
  <w:style w:type="paragraph" w:styleId="BlockText">
    <w:name w:val="Block Text"/>
    <w:basedOn w:val="Normal"/>
    <w:rsid w:val="0068794E"/>
    <w:pPr>
      <w:spacing w:after="120"/>
      <w:ind w:left="1440" w:right="1440"/>
    </w:pPr>
  </w:style>
  <w:style w:type="character" w:customStyle="1" w:styleId="Subscript">
    <w:name w:val="Subscript"/>
    <w:basedOn w:val="DefaultParagraphFont"/>
    <w:rsid w:val="0068794E"/>
    <w:rPr>
      <w:sz w:val="16"/>
      <w:vertAlign w:val="subscript"/>
    </w:rPr>
  </w:style>
  <w:style w:type="character" w:customStyle="1" w:styleId="Superscript">
    <w:name w:val="Superscript"/>
    <w:basedOn w:val="DefaultParagraphFont"/>
    <w:rsid w:val="0068794E"/>
    <w:rPr>
      <w:sz w:val="16"/>
      <w:vertAlign w:val="superscript"/>
    </w:rPr>
  </w:style>
  <w:style w:type="character" w:customStyle="1" w:styleId="Symbols">
    <w:name w:val="Symbols"/>
    <w:basedOn w:val="DefaultParagraphFont"/>
    <w:rsid w:val="0068794E"/>
    <w:rPr>
      <w:rFonts w:ascii="Symbol" w:hAnsi="Symbol"/>
    </w:rPr>
  </w:style>
  <w:style w:type="character" w:customStyle="1" w:styleId="MenuOptions">
    <w:name w:val="Menu Options"/>
    <w:basedOn w:val="DefaultParagraphFont"/>
    <w:rsid w:val="0068794E"/>
    <w:rPr>
      <w:rFonts w:ascii="Arial Narrow" w:hAnsi="Arial Narrow"/>
      <w:smallCaps/>
    </w:rPr>
  </w:style>
  <w:style w:type="character" w:customStyle="1" w:styleId="Buttons">
    <w:name w:val="Buttons"/>
    <w:basedOn w:val="DefaultParagraphFont"/>
    <w:rsid w:val="0068794E"/>
    <w:rPr>
      <w:b/>
    </w:rPr>
  </w:style>
  <w:style w:type="character" w:customStyle="1" w:styleId="Underlined">
    <w:name w:val="Underlined"/>
    <w:basedOn w:val="DefaultParagraphFont"/>
    <w:rsid w:val="0068794E"/>
    <w:rPr>
      <w:u w:val="single"/>
    </w:rPr>
  </w:style>
  <w:style w:type="paragraph" w:customStyle="1" w:styleId="TableBodyTextRight">
    <w:name w:val="Table Body Text Right"/>
    <w:basedOn w:val="TableBodyText"/>
    <w:rsid w:val="0068794E"/>
    <w:pPr>
      <w:widowControl w:val="0"/>
      <w:autoSpaceDE w:val="0"/>
      <w:autoSpaceDN w:val="0"/>
      <w:adjustRightInd w:val="0"/>
      <w:jc w:val="right"/>
    </w:pPr>
    <w:rPr>
      <w:rFonts w:cs="Arial"/>
      <w:szCs w:val="18"/>
    </w:rPr>
  </w:style>
  <w:style w:type="paragraph" w:customStyle="1" w:styleId="CopyrightText">
    <w:name w:val="Copyright Text"/>
    <w:basedOn w:val="BodyText"/>
    <w:rsid w:val="0068794E"/>
    <w:rPr>
      <w:sz w:val="18"/>
    </w:rPr>
  </w:style>
  <w:style w:type="paragraph" w:customStyle="1" w:styleId="BodySmallRight">
    <w:name w:val="Body Small Right"/>
    <w:basedOn w:val="BodyTextRight"/>
    <w:rsid w:val="0068794E"/>
    <w:rPr>
      <w:sz w:val="18"/>
      <w:szCs w:val="18"/>
    </w:rPr>
  </w:style>
  <w:style w:type="paragraph" w:customStyle="1" w:styleId="MarginEdition">
    <w:name w:val="Margin Edition"/>
    <w:basedOn w:val="MarginNote"/>
    <w:rsid w:val="0068794E"/>
    <w:pPr>
      <w:spacing w:before="0" w:after="0"/>
    </w:pPr>
    <w:rPr>
      <w:rFonts w:ascii="Times New Roman" w:hAnsi="Times New Roman"/>
      <w:color w:val="999999"/>
    </w:rPr>
  </w:style>
  <w:style w:type="paragraph" w:customStyle="1" w:styleId="Spacer">
    <w:name w:val="Spacer"/>
    <w:basedOn w:val="Normal"/>
    <w:rsid w:val="0068794E"/>
    <w:rPr>
      <w:sz w:val="2"/>
      <w:szCs w:val="2"/>
    </w:rPr>
  </w:style>
  <w:style w:type="character" w:customStyle="1" w:styleId="Small">
    <w:name w:val="Small"/>
    <w:basedOn w:val="DefaultParagraphFont"/>
    <w:rsid w:val="0068794E"/>
    <w:rPr>
      <w:sz w:val="16"/>
    </w:rPr>
  </w:style>
  <w:style w:type="paragraph" w:customStyle="1" w:styleId="WideTable">
    <w:name w:val="Wide Table"/>
    <w:basedOn w:val="Normal"/>
    <w:rsid w:val="0068794E"/>
    <w:pPr>
      <w:ind w:left="-1418"/>
    </w:pPr>
    <w:rPr>
      <w:sz w:val="2"/>
      <w:szCs w:val="2"/>
    </w:rPr>
  </w:style>
  <w:style w:type="character" w:styleId="PageNumber">
    <w:name w:val="page number"/>
    <w:basedOn w:val="DefaultParagraphFont"/>
    <w:rsid w:val="0068794E"/>
  </w:style>
  <w:style w:type="paragraph" w:styleId="Quote">
    <w:name w:val="Quote"/>
    <w:basedOn w:val="Heading1"/>
    <w:link w:val="QuoteChar"/>
    <w:qFormat/>
    <w:rsid w:val="0068794E"/>
    <w:rPr>
      <w:b w:val="0"/>
      <w:sz w:val="72"/>
      <w:szCs w:val="72"/>
      <w:lang w:val="en-NZ"/>
    </w:rPr>
  </w:style>
  <w:style w:type="character" w:customStyle="1" w:styleId="QuoteChar">
    <w:name w:val="Quote Char"/>
    <w:basedOn w:val="DefaultParagraphFont"/>
    <w:link w:val="Quote"/>
    <w:rsid w:val="006879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794E"/>
    <w:pPr>
      <w:pageBreakBefore/>
    </w:pPr>
  </w:style>
  <w:style w:type="paragraph" w:customStyle="1" w:styleId="Border">
    <w:name w:val="Border"/>
    <w:basedOn w:val="Normal"/>
    <w:qFormat/>
    <w:rsid w:val="006879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794E"/>
    <w:rPr>
      <w:b/>
      <w:bCs/>
      <w:i/>
      <w:iCs/>
      <w:color w:val="auto"/>
    </w:rPr>
  </w:style>
  <w:style w:type="paragraph" w:styleId="IntenseQuote">
    <w:name w:val="Intense Quote"/>
    <w:basedOn w:val="Normal"/>
    <w:next w:val="Normal"/>
    <w:link w:val="IntenseQuoteChar"/>
    <w:uiPriority w:val="30"/>
    <w:qFormat/>
    <w:rsid w:val="006879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794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8794E"/>
    <w:rPr>
      <w:smallCaps/>
      <w:color w:val="auto"/>
      <w:u w:val="single"/>
    </w:rPr>
  </w:style>
  <w:style w:type="character" w:styleId="IntenseReference">
    <w:name w:val="Intense Reference"/>
    <w:basedOn w:val="DefaultParagraphFont"/>
    <w:uiPriority w:val="32"/>
    <w:qFormat/>
    <w:rsid w:val="0068794E"/>
    <w:rPr>
      <w:b/>
      <w:bCs/>
      <w:smallCaps/>
      <w:color w:val="auto"/>
      <w:spacing w:val="5"/>
      <w:u w:val="single"/>
    </w:rPr>
  </w:style>
  <w:style w:type="paragraph" w:customStyle="1" w:styleId="2ColumnHeading">
    <w:name w:val="2Column Heading"/>
    <w:basedOn w:val="BodyText"/>
    <w:qFormat/>
    <w:rsid w:val="0068794E"/>
    <w:pPr>
      <w:spacing w:after="60"/>
      <w:ind w:left="-2268"/>
    </w:pPr>
    <w:rPr>
      <w:b/>
    </w:rPr>
  </w:style>
  <w:style w:type="paragraph" w:customStyle="1" w:styleId="Heading1TOC">
    <w:name w:val="Heading1 TOC"/>
    <w:basedOn w:val="Normal"/>
    <w:qFormat/>
    <w:rsid w:val="0068794E"/>
    <w:pPr>
      <w:spacing w:before="240" w:after="120"/>
    </w:pPr>
    <w:rPr>
      <w:rFonts w:ascii="Times New Roman" w:hAnsi="Times New Roman"/>
      <w:b/>
      <w:sz w:val="32"/>
    </w:rPr>
  </w:style>
  <w:style w:type="paragraph" w:customStyle="1" w:styleId="Heading2TOC">
    <w:name w:val="Heading2 TOC"/>
    <w:basedOn w:val="Normal"/>
    <w:qFormat/>
    <w:rsid w:val="0068794E"/>
    <w:pPr>
      <w:spacing w:before="240" w:after="60"/>
    </w:pPr>
    <w:rPr>
      <w:rFonts w:ascii="Times New Roman" w:hAnsi="Times New Roman"/>
      <w:b/>
      <w:sz w:val="28"/>
    </w:rPr>
  </w:style>
  <w:style w:type="character" w:customStyle="1" w:styleId="Underline">
    <w:name w:val="Underline"/>
    <w:basedOn w:val="DefaultParagraphFont"/>
    <w:qFormat/>
    <w:rsid w:val="0068794E"/>
    <w:rPr>
      <w:u w:val="single"/>
    </w:rPr>
  </w:style>
  <w:style w:type="character" w:customStyle="1" w:styleId="BoldandItalics">
    <w:name w:val="Bold and Italics"/>
    <w:qFormat/>
    <w:rsid w:val="0068794E"/>
    <w:rPr>
      <w:b/>
      <w:i/>
      <w:u w:val="none"/>
    </w:rPr>
  </w:style>
  <w:style w:type="paragraph" w:styleId="BalloonText">
    <w:name w:val="Balloon Text"/>
    <w:basedOn w:val="Normal"/>
    <w:link w:val="BalloonTextChar"/>
    <w:rsid w:val="0068794E"/>
    <w:rPr>
      <w:rFonts w:ascii="Tahoma" w:hAnsi="Tahoma" w:cs="Tahoma"/>
      <w:sz w:val="16"/>
      <w:szCs w:val="16"/>
    </w:rPr>
  </w:style>
  <w:style w:type="character" w:customStyle="1" w:styleId="BalloonTextChar">
    <w:name w:val="Balloon Text Char"/>
    <w:basedOn w:val="DefaultParagraphFont"/>
    <w:link w:val="BalloonText"/>
    <w:rsid w:val="0068794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879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8794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2845</Words>
  <Characters>18686</Characters>
  <Application>Microsoft Office Word</Application>
  <DocSecurity>0</DocSecurity>
  <Lines>751</Lines>
  <Paragraphs>293</Paragraphs>
  <ScaleCrop>false</ScaleCrop>
  <Company>Author-it Software Corporation Ltd.</Company>
  <LinksUpToDate>false</LinksUpToDate>
  <CharactersWithSpaces>21302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UETTDRSO42A Manage power systems transmission network demand</dc:title>
  <dc:subject>Approved</dc:subject>
  <dc:creator>EE-Oz Training Standards</dc:creator>
  <cp:keywords>Release: 1</cp:keywords>
  <dc:description>Copyright © 1996-2007 Author-it Software Corporation Ltd., all rights reserved.</dc:description>
  <cp:lastModifiedBy>Peter Giorgilli</cp:lastModifiedBy>
  <cp:revision>3</cp:revision>
  <dcterms:created xsi:type="dcterms:W3CDTF">2012-05-26T12:22:00Z</dcterms:created>
  <dcterms:modified xsi:type="dcterms:W3CDTF">2012-05-26T12:22:00Z</dcterms:modified>
</cp:coreProperties>
</file>