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320" w:rsidP="00FB3320">
      <w:pPr>
        <w:pStyle w:val="Title"/>
      </w:pPr>
      <w:r>
        <w:fldChar w:fldCharType="begin"/>
      </w:r>
      <w:r>
        <w:instrText xml:space="preserve"> TITLE   \* MERGEFORMAT </w:instrText>
      </w:r>
      <w:r>
        <w:fldChar w:fldCharType="separate"/>
      </w:r>
      <w:r>
        <w:t>UETTDRSO41A Manage power systems transmission networks</w:t>
      </w:r>
      <w:r>
        <w:fldChar w:fldCharType="end"/>
      </w:r>
    </w:p>
    <w:p w:rsidR="00FB3320" w:rsidP="00FB3320">
      <w:pPr>
        <w:pStyle w:val="Version"/>
        <w:sectPr w:rsidSect="004667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7C2" w:rsidP="004667C2">
      <w:pPr>
        <w:pStyle w:val="SuperHeading"/>
      </w:pPr>
      <w:r w:rsidRPr="004667C2">
        <w:t>UETTDRSO41A Manage power systems transmission networks</w:t>
      </w:r>
    </w:p>
    <w:p w:rsidR="00000000" w:rsidRPr="004667C2" w:rsidP="004667C2">
      <w:pPr>
        <w:pStyle w:val="Heading1"/>
      </w:pPr>
      <w:bookmarkStart w:id="1" w:name="O_465054"/>
      <w:bookmarkEnd w:id="1"/>
      <w:r w:rsidRPr="004667C2">
        <w:t>Modification History</w:t>
      </w:r>
    </w:p>
    <w:p w:rsidR="00000000" w:rsidRPr="004667C2" w:rsidP="004667C2">
      <w:pPr>
        <w:pStyle w:val="BodyText"/>
      </w:pPr>
      <w:r w:rsidRPr="004667C2">
        <w:t>Not applicable.</w:t>
      </w:r>
    </w:p>
    <w:p w:rsidR="00000000" w:rsidRPr="004667C2" w:rsidP="004667C2">
      <w:pPr>
        <w:pStyle w:val="AllowPageBreak"/>
      </w:pPr>
    </w:p>
    <w:p w:rsidR="00000000" w:rsidRPr="004667C2" w:rsidP="004667C2">
      <w:pPr>
        <w:pStyle w:val="Heading1"/>
      </w:pPr>
      <w:bookmarkStart w:id="2" w:name="O_465052"/>
      <w:bookmarkEnd w:id="2"/>
      <w:r w:rsidRPr="004667C2">
        <w:t>Unit Descriptor</w:t>
      </w:r>
    </w:p>
    <w:tbl>
      <w:tblPr>
        <w:tblW w:w="0" w:type="auto"/>
        <w:tblLayout w:type="fixed"/>
        <w:tblCellMar>
          <w:left w:w="62" w:type="dxa"/>
          <w:right w:w="62" w:type="dxa"/>
        </w:tblCellMar>
        <w:tblLook w:val="0000"/>
      </w:tblPr>
      <w:tblGrid>
        <w:gridCol w:w="2700"/>
        <w:gridCol w:w="5760"/>
      </w:tblGrid>
      <w:tr w:rsidTr="00FB33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1)</w:t>
            </w:r>
            <w:r w:rsidRPr="004667C2">
              <w:t xml:space="preserve"> </w:t>
            </w:r>
            <w:r w:rsidRPr="004667C2">
              <w:rPr>
                <w:rStyle w:val="SpecialBold"/>
              </w:rPr>
              <w:t>Scope:</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67C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1.1) Descriptor</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This Competency Standard Unit covers the monitoring of EHV transmission networks in real time. This includes voltage control and monitoring the status of access authorities and ensuring that the network is operated within design parameters at all times. It</w:t>
            </w:r>
            <w:r w:rsidRPr="004667C2">
              <w:t xml:space="preserve"> also includes dispatching and management of field repair crews to respond to and rectify abnormalities and liaison with other electrical authorities.</w:t>
            </w:r>
          </w:p>
        </w:tc>
      </w:tr>
    </w:tbl>
    <w:p w:rsidR="00000000" w:rsidRPr="004667C2" w:rsidP="004667C2">
      <w:pPr>
        <w:pStyle w:val="BodyText"/>
      </w:pPr>
    </w:p>
    <w:p w:rsidR="00000000" w:rsidRPr="004667C2" w:rsidP="004667C2">
      <w:pPr>
        <w:pStyle w:val="AllowPageBreak"/>
      </w:pPr>
    </w:p>
    <w:p w:rsidR="00000000" w:rsidRPr="004667C2" w:rsidP="004667C2">
      <w:pPr>
        <w:pStyle w:val="Heading1"/>
      </w:pPr>
      <w:bookmarkStart w:id="3" w:name="O_465041"/>
      <w:bookmarkEnd w:id="3"/>
      <w:r w:rsidRPr="004667C2">
        <w:t>Application of the Unit</w:t>
      </w:r>
    </w:p>
    <w:tbl>
      <w:tblPr>
        <w:tblW w:w="0" w:type="auto"/>
        <w:tblLayout w:type="fixed"/>
        <w:tblCellMar>
          <w:left w:w="62" w:type="dxa"/>
          <w:right w:w="62" w:type="dxa"/>
        </w:tblCellMar>
        <w:tblLook w:val="0000"/>
      </w:tblPr>
      <w:tblGrid>
        <w:gridCol w:w="2672"/>
        <w:gridCol w:w="5699"/>
      </w:tblGrid>
      <w:tr w:rsidTr="00FB332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2)</w:t>
            </w:r>
          </w:p>
        </w:tc>
      </w:tr>
      <w:tr w:rsidTr="00FB332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This Competency Standard Unit is intended to augment formally acquired competencies. It is suitable for employment-based programs under an approved contract of training.</w:t>
            </w:r>
          </w:p>
        </w:tc>
      </w:tr>
    </w:tbl>
    <w:p w:rsidR="00000000" w:rsidRPr="004667C2" w:rsidP="004667C2">
      <w:pPr>
        <w:pStyle w:val="BodyText"/>
      </w:pPr>
    </w:p>
    <w:p w:rsidR="00000000" w:rsidRPr="004667C2" w:rsidP="004667C2">
      <w:pPr>
        <w:pStyle w:val="AllowPageBreak"/>
      </w:pPr>
    </w:p>
    <w:p w:rsidR="00000000" w:rsidRPr="004667C2" w:rsidP="004667C2">
      <w:pPr>
        <w:pStyle w:val="Heading1"/>
      </w:pPr>
      <w:bookmarkStart w:id="4" w:name="O_465048"/>
      <w:bookmarkEnd w:id="4"/>
      <w:r w:rsidRPr="004667C2">
        <w:t>Licensing/Regulatory Information</w:t>
      </w:r>
    </w:p>
    <w:tbl>
      <w:tblPr>
        <w:tblW w:w="0" w:type="auto"/>
        <w:tblLayout w:type="fixed"/>
        <w:tblCellMar>
          <w:left w:w="62" w:type="dxa"/>
          <w:right w:w="62" w:type="dxa"/>
        </w:tblCellMar>
        <w:tblLook w:val="0000"/>
      </w:tblPr>
      <w:tblGrid>
        <w:gridCol w:w="2700"/>
        <w:gridCol w:w="5760"/>
      </w:tblGrid>
      <w:tr w:rsidTr="00FB33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 xml:space="preserve">3) </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The skil</w:t>
            </w:r>
            <w:r w:rsidRPr="004667C2">
              <w:t>ls and knowledge described in this unit may require a licence/registration to practice in the work place subject to regulations for undertaking of electrical work. Practice in workplace and during training is also subject to regulations directly related to</w:t>
            </w:r>
            <w:r w:rsidRPr="004667C2">
              <w:t xml:space="preserve"> Occupational Health and Safety, electricity/telecommunications/gas/water industry safety and compliance, industrial relations, environmental </w:t>
            </w:r>
            <w:r w:rsidRPr="004667C2">
              <w:t>protection, anti discrimination and training. Commonwealth, State/Territory or Local Government legislation and re</w:t>
            </w:r>
            <w:r w:rsidRPr="004667C2">
              <w:t>gulations may exist that limits the age of operating certain equipment.</w:t>
            </w:r>
          </w:p>
        </w:tc>
      </w:tr>
    </w:tbl>
    <w:p w:rsidR="00000000" w:rsidRPr="004667C2" w:rsidP="004667C2">
      <w:pPr>
        <w:pStyle w:val="BodyText"/>
      </w:pPr>
    </w:p>
    <w:p w:rsidR="00000000" w:rsidRPr="004667C2" w:rsidP="004667C2">
      <w:pPr>
        <w:pStyle w:val="AllowPageBreak"/>
      </w:pPr>
    </w:p>
    <w:p w:rsidR="00000000" w:rsidRPr="004667C2" w:rsidP="004667C2">
      <w:pPr>
        <w:pStyle w:val="Heading1"/>
      </w:pPr>
      <w:bookmarkStart w:id="5" w:name="O_465049"/>
      <w:bookmarkEnd w:id="5"/>
      <w:r w:rsidRPr="004667C2">
        <w:t>Pre-Requisites</w:t>
      </w:r>
    </w:p>
    <w:tbl>
      <w:tblPr>
        <w:tblW w:w="0" w:type="auto"/>
        <w:tblLayout w:type="fixed"/>
        <w:tblCellMar>
          <w:left w:w="62" w:type="dxa"/>
          <w:right w:w="62" w:type="dxa"/>
        </w:tblCellMar>
        <w:tblLook w:val="0000"/>
      </w:tblPr>
      <w:tblGrid>
        <w:gridCol w:w="2700"/>
        <w:gridCol w:w="1980"/>
        <w:gridCol w:w="3780"/>
      </w:tblGrid>
      <w:tr w:rsidTr="00FB33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 xml:space="preserve">4) </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4.1)</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Granting of competency in this unit shall be made only after competency in the following unit(s) has/have been confirmed.</w:t>
            </w:r>
          </w:p>
          <w:p w:rsidR="00000000" w:rsidRPr="004667C2" w:rsidP="004667C2">
            <w:pPr>
              <w:pStyle w:val="BodyText"/>
            </w:pPr>
            <w:r w:rsidRPr="004667C2">
              <w:t xml:space="preserve">Where pre-requisite pathways have been identified. All competencies in the Common Unit Group must be have been completed plus all the </w:t>
            </w:r>
            <w:r w:rsidRPr="004667C2">
              <w:t>competencies in one (1) of the identified Pathway Unit Group(s):</w:t>
            </w:r>
          </w:p>
          <w:p w:rsidR="00000000" w:rsidP="004667C2">
            <w:pPr>
              <w:pStyle w:val="BodyText"/>
              <w:rPr>
                <w:lang w:val="en-NZ"/>
              </w:rPr>
            </w:pPr>
            <w:r w:rsidRPr="004667C2">
              <w:t>Common Unit Group</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Unit Code</w:t>
            </w:r>
            <w:r w:rsidRPr="004667C2">
              <w:tab/>
            </w:r>
          </w:p>
        </w:tc>
        <w:tc>
          <w:tcPr>
            <w:tcW w:w="3780" w:type="dxa"/>
            <w:tcBorders>
              <w:top w:val="nil"/>
              <w:left w:val="nil"/>
              <w:bottom w:val="nil"/>
              <w:right w:val="nil"/>
            </w:tcBorders>
            <w:tcMar>
              <w:top w:w="0" w:type="dxa"/>
              <w:left w:w="62" w:type="dxa"/>
              <w:bottom w:w="0" w:type="dxa"/>
              <w:right w:w="62" w:type="dxa"/>
            </w:tcMar>
            <w:vAlign w:val="bottom"/>
          </w:tcPr>
          <w:p w:rsidR="00000000" w:rsidP="004667C2">
            <w:pPr>
              <w:pStyle w:val="BodyText"/>
              <w:rPr>
                <w:lang w:val="en-NZ"/>
              </w:rPr>
            </w:pPr>
            <w:r w:rsidRPr="004667C2">
              <w:t>Unit Title</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4667C2">
            <w:pPr>
              <w:pStyle w:val="BodyText"/>
              <w:rPr>
                <w:lang w:val="en-NZ"/>
              </w:rPr>
            </w:pPr>
            <w:r w:rsidRPr="004667C2">
              <w:t>Use engineering applications software on personal computers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Apply Occupational Health and Safety regulations, codes and practices in the workplace</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Fabricate, assemble and dismantle utilities industry components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Solve problems in d.c. Circuits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Use drawings, diagrams, schedules, standards, codes and specifications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UEENEEE124A</w:t>
            </w:r>
          </w:p>
        </w:tc>
        <w:tc>
          <w:tcPr>
            <w:tcW w:w="378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Compile and produce an energy sector detailed report</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Provide engineering solutions for problems in complex multiple path circuits problems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Prov</w:t>
            </w:r>
            <w:r w:rsidRPr="004667C2">
              <w:t>ide solutions to basic engineering computational problems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Solve problems in electromagnetic devices and related circuits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Solve problems in electromagnetic devices and related circuits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Provide engineering solutions to problems in complex polyphase power circuits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Apply sustainable energy and environmental procedures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 xml:space="preserve">Working safely near live electrical apparatus </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Implement and monitor the power sys</w:t>
            </w:r>
            <w:r w:rsidRPr="004667C2">
              <w:t>tem organisational OHS policies, procedures and programs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Implement and monitor the power system environmental and sustainable energy management policies and procedures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UETTDRSO48A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Respond to discrete and interdependent protection operations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UETTDRSO49A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Coordinate power system operations in a regulated energy market</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Distribution and Subtransmission Pathway Unit Group</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UETTDRSO37A</w:t>
            </w:r>
          </w:p>
        </w:tc>
        <w:tc>
          <w:tcPr>
            <w:tcW w:w="3780" w:type="dxa"/>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Develop high voltage distribution and subtransmission switching programs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UETTDRSO40A</w:t>
            </w:r>
          </w:p>
        </w:tc>
        <w:tc>
          <w:tcPr>
            <w:tcW w:w="378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Coordinate high voltage distribution and subtransmission networks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4667C2">
            <w:pPr>
              <w:pStyle w:val="BodyText"/>
              <w:rPr>
                <w:lang w:val="en-NZ"/>
              </w:rPr>
            </w:pPr>
            <w:r w:rsidRPr="004667C2">
              <w:t>Transmission Pathway Unit Group</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UETTDRSO38A</w:t>
            </w:r>
          </w:p>
        </w:tc>
        <w:tc>
          <w:tcPr>
            <w:tcW w:w="378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Develop and evaluate power systems transmission switching programs</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UETTDRSO47A</w:t>
            </w:r>
          </w:p>
        </w:tc>
        <w:tc>
          <w:tcPr>
            <w:tcW w:w="378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Coordinate high voltage transmission network</w:t>
            </w:r>
          </w:p>
        </w:tc>
      </w:tr>
    </w:tbl>
    <w:p w:rsidR="00000000" w:rsidRPr="004667C2" w:rsidP="004667C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B332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 xml:space="preserve">4.2) </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Participants are best equipped to achieve this unit if they have reading, writing and numeracy skills indicated by the following scales. Description of each scale is given in Volume 2, Part 3 “Literacy and Numeracy</w:t>
            </w:r>
            <w:r w:rsidRPr="004667C2">
              <w:t>”</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Reading</w:t>
            </w:r>
          </w:p>
        </w:tc>
        <w:tc>
          <w:tcPr>
            <w:tcW w:w="81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5</w:t>
            </w:r>
          </w:p>
        </w:tc>
        <w:tc>
          <w:tcPr>
            <w:tcW w:w="99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Writing</w:t>
            </w: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5</w:t>
            </w:r>
          </w:p>
        </w:tc>
        <w:tc>
          <w:tcPr>
            <w:tcW w:w="12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Numeracy</w:t>
            </w:r>
          </w:p>
        </w:tc>
        <w:tc>
          <w:tcPr>
            <w:tcW w:w="72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5</w:t>
            </w:r>
          </w:p>
        </w:tc>
      </w:tr>
    </w:tbl>
    <w:p w:rsidR="00000000" w:rsidRPr="004667C2" w:rsidP="004667C2">
      <w:pPr>
        <w:pStyle w:val="BodyText"/>
      </w:pPr>
    </w:p>
    <w:p w:rsidR="00000000" w:rsidRPr="004667C2" w:rsidP="004667C2">
      <w:pPr>
        <w:pStyle w:val="AllowPageBreak"/>
      </w:pPr>
    </w:p>
    <w:p w:rsidR="00000000" w:rsidRPr="004667C2" w:rsidP="004667C2">
      <w:pPr>
        <w:pStyle w:val="Heading1"/>
      </w:pPr>
      <w:bookmarkStart w:id="6" w:name="O_465045"/>
      <w:bookmarkEnd w:id="6"/>
      <w:r w:rsidRPr="004667C2">
        <w:t>Employability Skills Information</w:t>
      </w:r>
    </w:p>
    <w:tbl>
      <w:tblPr>
        <w:tblW w:w="0" w:type="auto"/>
        <w:tblLayout w:type="fixed"/>
        <w:tblCellMar>
          <w:left w:w="62" w:type="dxa"/>
          <w:right w:w="62" w:type="dxa"/>
        </w:tblCellMar>
        <w:tblLook w:val="0000"/>
      </w:tblPr>
      <w:tblGrid>
        <w:gridCol w:w="2700"/>
        <w:gridCol w:w="5760"/>
      </w:tblGrid>
      <w:tr w:rsidTr="00FB33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 xml:space="preserve">5) </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667C2">
              <w:t>requirements.</w:t>
            </w:r>
          </w:p>
        </w:tc>
      </w:tr>
    </w:tbl>
    <w:p w:rsidR="00000000" w:rsidRPr="004667C2" w:rsidP="004667C2">
      <w:pPr>
        <w:pStyle w:val="BodyText"/>
      </w:pPr>
    </w:p>
    <w:p w:rsidR="00000000" w:rsidRPr="004667C2" w:rsidP="004667C2">
      <w:pPr>
        <w:pStyle w:val="AllowPageBreak"/>
      </w:pPr>
    </w:p>
    <w:p w:rsidR="00000000" w:rsidRPr="004667C2" w:rsidP="004667C2">
      <w:pPr>
        <w:pStyle w:val="Heading1"/>
      </w:pPr>
      <w:bookmarkStart w:id="7" w:name="O_465044"/>
      <w:bookmarkEnd w:id="7"/>
      <w:r w:rsidRPr="004667C2">
        <w:t>Elements and Performance Criteria Pre-Content</w:t>
      </w:r>
    </w:p>
    <w:tbl>
      <w:tblPr>
        <w:tblW w:w="0" w:type="auto"/>
        <w:tblLayout w:type="fixed"/>
        <w:tblCellMar>
          <w:left w:w="62" w:type="dxa"/>
          <w:right w:w="62" w:type="dxa"/>
        </w:tblCellMar>
        <w:tblLook w:val="0000"/>
      </w:tblPr>
      <w:tblGrid>
        <w:gridCol w:w="2700"/>
        <w:gridCol w:w="5760"/>
      </w:tblGrid>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6)</w:t>
            </w:r>
            <w:r w:rsidRPr="004667C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Performance Criteria describe the required performance needed to demonstrate achievement of the element. Assessment of performance is to be consistent with the Evidence Guide.</w:t>
            </w:r>
          </w:p>
        </w:tc>
      </w:tr>
    </w:tbl>
    <w:p w:rsidR="00000000" w:rsidRPr="004667C2" w:rsidP="004667C2">
      <w:pPr>
        <w:pStyle w:val="BodyText"/>
      </w:pPr>
    </w:p>
    <w:p w:rsidR="00000000" w:rsidRPr="004667C2" w:rsidP="004667C2">
      <w:pPr>
        <w:pStyle w:val="AllowPageBreak"/>
      </w:pPr>
    </w:p>
    <w:p w:rsidR="00000000" w:rsidRPr="004667C2" w:rsidP="004667C2">
      <w:pPr>
        <w:pStyle w:val="Heading1"/>
      </w:pPr>
      <w:bookmarkStart w:id="8" w:name="O_465043"/>
      <w:bookmarkEnd w:id="8"/>
      <w:r w:rsidRPr="004667C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B332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PERFORMANCE CRITER</w:t>
            </w:r>
            <w:r w:rsidRPr="004667C2">
              <w:rPr>
                <w:rStyle w:val="SpecialBold"/>
              </w:rPr>
              <w:t>IA</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1</w:t>
            </w:r>
          </w:p>
        </w:tc>
        <w:tc>
          <w:tcPr>
            <w:tcW w:w="2296"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Plan for the management of Transmission networks</w:t>
            </w: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1.1</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OHS practices/procedures and environmental and sustainable energy procedures, which may influence the management of transmission network systems, are reviewed and determined.</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1.2</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Purpose of the management of the transmission networks is established after data is analysed and expected outcomes of the work are confirmed with the appropriate personnel.</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1.3</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Organisational established procedures on policies and specifications for the</w:t>
            </w:r>
            <w:r w:rsidRPr="004667C2">
              <w:t xml:space="preserve"> management of transmission networks are obtained or established with the appropriate personnel.</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1.4</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Testing procedures are discussed with/directed to the appropriate personnel in order to ascertain the project brief.</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1.5</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Testing parameters are established from organisational established procedures on policies and specifications.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1.6</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Equipment/tools and personal protective equipment are selected based on specified Performance Criteria and established procedures.</w:t>
            </w:r>
          </w:p>
        </w:tc>
      </w:tr>
      <w:tr w:rsidTr="00FB3320">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1.7</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W</w:t>
            </w:r>
            <w:r w:rsidRPr="004667C2">
              <w:t>ork roles and tasks are allocated according to requirements and individuals’ competencies.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1.8</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 xml:space="preserve">Work is prioritised and sequenced for the most efficient/effective outcome, completed within an acceptable timeframe to a quality standard </w:t>
            </w:r>
            <w:r w:rsidRPr="004667C2">
              <w:t>and in accordance with established procedures.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1.9</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Liaison and communication issues with other/authorised personnel, authorities, clients and land owners are resolved and activities coordinated to carry out work.</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1.10</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Risk control measures are identi</w:t>
            </w:r>
            <w:r w:rsidRPr="004667C2">
              <w:t>fied, prioritised and evaluated against the work schedule.</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1.11</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Relevant work permits are secured to coordinate the performance of work according to requirements and/or established procedures.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2</w:t>
            </w:r>
          </w:p>
        </w:tc>
        <w:tc>
          <w:tcPr>
            <w:tcW w:w="2296" w:type="dxa"/>
            <w:vMerge w:val="restart"/>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Carry out the management of Transmission networks</w:t>
            </w: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2.1</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Circuit/systems modelling is used to evaluate alternative proposals as per established procedures.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2.2</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OHS and sustainable energy principles, functionality and practices to reduce the incidents of accidents and minimise waste are incorporated into the p</w:t>
            </w:r>
            <w:r w:rsidRPr="004667C2">
              <w:t>roject in accordance with requirements and/or established procedures.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2.3</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Management decisions are made on the basis of safety and effective outcomes according to requirements and/or established procedures.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2.4</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Mathematical and/or engineering models of the Transmission Network are used to analyse the effectiveness of the finished project as per requirements and established procedures.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2.5</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 xml:space="preserve">Technical advice is given regarding potential hazards, safety risks and </w:t>
            </w:r>
            <w:r w:rsidRPr="004667C2">
              <w:t>control measures so that monitoring and preventative action can be undertaken and/or appropriate authorities consulted, where necessary, in accordance with requirements and established procedures.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2.6</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Essential knowledge and associated skills are applied to analyse specific data and compare it with compliance specifications to ensure completion of the project within an agreed timeframe according to requirements.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2.7</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Testing of management processes is</w:t>
            </w:r>
            <w:r w:rsidRPr="004667C2">
              <w:t xml:space="preserve"> undertaken according to requirements and established procedures.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2.8</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Work teams/groups are arranged/coordinated/evaluated to ensure planned goals are met according to established procedures.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2.9</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Solutions to non-routine problems are identified and a</w:t>
            </w:r>
            <w:r w:rsidRPr="004667C2">
              <w:t>ctioned, using acquired essential knowledge and associated skills, according to requirements.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2.10</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Quality of work is monitored against personal performance agreement and/or established organisational and professional standards.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2.11</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Strategic plans are developed incorporating organisation initiatives as per established procedures.</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3</w:t>
            </w:r>
          </w:p>
        </w:tc>
        <w:tc>
          <w:tcPr>
            <w:tcW w:w="2296"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Complete the management of Transmission networks</w:t>
            </w: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3.1</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 xml:space="preserve">Final review of management processes are undertaken to ensure they comply with all requirements and </w:t>
            </w:r>
            <w:r w:rsidRPr="004667C2">
              <w:t>include all specifications and documentations needed to complete the project.</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3.2</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Appropriate personnel are notified of completion and reports and/or completion documents are finalised/commissioned.</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3.3</w:t>
            </w:r>
          </w:p>
        </w:tc>
        <w:tc>
          <w:tcPr>
            <w:tcW w:w="48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Reports and/or completion documents are submitt</w:t>
            </w:r>
            <w:r w:rsidRPr="004667C2">
              <w:t>ed to relevant personnel/organisations for approval and, where applicable, statutory or regulatory approval.</w:t>
            </w:r>
          </w:p>
        </w:tc>
      </w:tr>
      <w:tr w:rsidTr="00FB33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3.4</w:t>
            </w:r>
          </w:p>
        </w:tc>
        <w:tc>
          <w:tcPr>
            <w:tcW w:w="486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Approved copies of management procedure documents are issued and records are updated in accordance with established procedures.</w:t>
            </w:r>
          </w:p>
        </w:tc>
      </w:tr>
    </w:tbl>
    <w:p w:rsidR="00000000" w:rsidRPr="004667C2" w:rsidP="004667C2">
      <w:pPr>
        <w:pStyle w:val="BodyText"/>
      </w:pPr>
    </w:p>
    <w:p w:rsidR="00000000" w:rsidRPr="004667C2" w:rsidP="004667C2">
      <w:pPr>
        <w:pStyle w:val="AllowPageBreak"/>
      </w:pPr>
    </w:p>
    <w:p w:rsidR="00000000" w:rsidRPr="004667C2" w:rsidP="004667C2">
      <w:pPr>
        <w:pStyle w:val="Heading1"/>
      </w:pPr>
      <w:bookmarkStart w:id="9" w:name="O_465051"/>
      <w:bookmarkEnd w:id="9"/>
      <w:r w:rsidRPr="004667C2">
        <w:t>Required Skills and Knowledge</w:t>
      </w:r>
    </w:p>
    <w:tbl>
      <w:tblPr>
        <w:tblW w:w="0" w:type="auto"/>
        <w:tblLayout w:type="fixed"/>
        <w:tblCellMar>
          <w:left w:w="62" w:type="dxa"/>
          <w:right w:w="62" w:type="dxa"/>
        </w:tblCellMar>
        <w:tblLook w:val="0000"/>
      </w:tblPr>
      <w:tblGrid>
        <w:gridCol w:w="8460"/>
      </w:tblGrid>
      <w:tr w:rsidTr="00FB33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REQUIRED SKILLS AND KNOWLEDGE</w:t>
            </w:r>
          </w:p>
        </w:tc>
      </w:tr>
      <w:tr w:rsidTr="00FB332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8)</w:t>
            </w:r>
            <w:r w:rsidRPr="004667C2">
              <w:t xml:space="preserve"> Essential Knowledge and Associated Skills (EKAS): This describes the essential skills and knowledge and their level, required for this unit.</w:t>
            </w:r>
          </w:p>
          <w:p w:rsidR="00000000" w:rsidRPr="004667C2" w:rsidP="004667C2">
            <w:pPr>
              <w:pStyle w:val="BodyText"/>
            </w:pPr>
            <w:r w:rsidRPr="004667C2">
              <w:t>Evidence shall show that knowledge has been</w:t>
            </w:r>
            <w:r w:rsidRPr="004667C2">
              <w:t xml:space="preserve"> acquired of managing transmission networks. </w:t>
            </w:r>
          </w:p>
          <w:p w:rsidR="00000000" w:rsidRPr="004667C2" w:rsidP="004667C2">
            <w:pPr>
              <w:pStyle w:val="BodyText"/>
            </w:pPr>
            <w:r w:rsidRPr="004667C2">
              <w:t>All knowledge and skills detailed in this unit should be contextualised to current industry practices and technologies.</w:t>
            </w:r>
          </w:p>
          <w:p w:rsidR="00000000" w:rsidRPr="004667C2" w:rsidP="004667C2">
            <w:pPr>
              <w:pStyle w:val="BodyText"/>
            </w:pPr>
            <w:r w:rsidRPr="004667C2">
              <w:t>KS01-TSO41A</w:t>
            </w:r>
            <w:r w:rsidRPr="004667C2">
              <w:tab/>
              <w:t>Power systems transmission networks - management</w:t>
            </w:r>
          </w:p>
          <w:p w:rsidR="00000000" w:rsidRPr="004667C2" w:rsidP="004667C2">
            <w:pPr>
              <w:pStyle w:val="BodyText"/>
            </w:pPr>
            <w:r w:rsidRPr="004667C2">
              <w:t xml:space="preserve">Evidence shall show an understanding of power systems transmission networks - management to an extent indicated by the following aspects: </w:t>
            </w:r>
          </w:p>
          <w:p w:rsidR="00000000" w:rsidRPr="004667C2" w:rsidP="004667C2">
            <w:pPr>
              <w:pStyle w:val="BodyText"/>
            </w:pPr>
            <w:r w:rsidRPr="004667C2">
              <w:t>T1</w:t>
            </w:r>
            <w:r w:rsidRPr="004667C2">
              <w:tab/>
              <w:t>Co-ordinating access authority procedures encompassing:</w:t>
            </w:r>
          </w:p>
          <w:p w:rsidR="00000000" w:rsidRPr="004667C2" w:rsidP="004667C2">
            <w:pPr>
              <w:pStyle w:val="ListBullet"/>
            </w:pPr>
            <w:r w:rsidRPr="004667C2">
              <w:t>Specific enterprise processes, policies and procedures to</w:t>
            </w:r>
            <w:r w:rsidRPr="004667C2">
              <w:t xml:space="preserve"> be followed</w:t>
            </w:r>
          </w:p>
          <w:p w:rsidR="00000000" w:rsidRPr="004667C2" w:rsidP="004667C2">
            <w:pPr>
              <w:pStyle w:val="ListBullet"/>
            </w:pPr>
            <w:r w:rsidRPr="004667C2">
              <w:t>Processes of consultation, negotiation and co-ordination - clear and concise instructions and information, methods for the encouragement of feedback and contributions of information and ideas, responsibilities of members of the team.</w:t>
            </w:r>
          </w:p>
          <w:p w:rsidR="00000000" w:rsidRPr="004667C2" w:rsidP="004667C2">
            <w:pPr>
              <w:pStyle w:val="ListBullet"/>
            </w:pPr>
            <w:r w:rsidRPr="004667C2">
              <w:t>Technique</w:t>
            </w:r>
            <w:r w:rsidRPr="004667C2">
              <w:t>s in analysing, planning, co-ordination and organising work for a safe outcome and according to statutory requirements and regulations</w:t>
            </w:r>
          </w:p>
          <w:p w:rsidR="00000000" w:rsidRPr="004667C2" w:rsidP="004667C2">
            <w:pPr>
              <w:pStyle w:val="ListBullet"/>
            </w:pPr>
            <w:r w:rsidRPr="004667C2">
              <w:t>Techniques in the effective utilisation of available resources</w:t>
            </w:r>
          </w:p>
          <w:p w:rsidR="00000000" w:rsidRPr="004667C2" w:rsidP="004667C2">
            <w:pPr>
              <w:pStyle w:val="ListBullet"/>
            </w:pPr>
            <w:r w:rsidRPr="004667C2">
              <w:t>Techniques in the development of an access authority/permi</w:t>
            </w:r>
            <w:r w:rsidRPr="004667C2">
              <w:t>t and/or access authority/permit issuing procedures</w:t>
            </w:r>
          </w:p>
          <w:p w:rsidR="00000000" w:rsidRPr="004667C2" w:rsidP="004667C2">
            <w:pPr>
              <w:pStyle w:val="ListBullet"/>
            </w:pPr>
            <w:r w:rsidRPr="004667C2">
              <w:t>Techniques in facilitating and co-ordinating the delivery and issuing of access authorities</w:t>
            </w:r>
          </w:p>
          <w:p w:rsidR="00000000" w:rsidRPr="004667C2" w:rsidP="004667C2">
            <w:pPr>
              <w:pStyle w:val="ListBullet"/>
            </w:pPr>
            <w:r w:rsidRPr="004667C2">
              <w:t xml:space="preserve">Techniques in gathering, collating and confirming data on different worksites - electrical network diagrams for </w:t>
            </w:r>
            <w:r w:rsidRPr="004667C2">
              <w:t>the specific work site, earth access authorities, safe working area, work to be carried out in confined space or in hazardous environment, specific outsourcing procedures, specific hazard identification, risk classification and management procedures, regul</w:t>
            </w:r>
            <w:r w:rsidRPr="004667C2">
              <w:t>atory requirements such as Occupational Health and Safety and electrical safety</w:t>
            </w:r>
          </w:p>
          <w:p w:rsidR="00000000" w:rsidRPr="004667C2" w:rsidP="004667C2">
            <w:pPr>
              <w:pStyle w:val="ListBullet"/>
            </w:pPr>
            <w:r w:rsidRPr="004667C2">
              <w:t>Techniques in the receiving and co-ordinating the cancellation of access authorities in readiness for restoration</w:t>
            </w:r>
          </w:p>
          <w:p w:rsidR="00000000" w:rsidRPr="004667C2" w:rsidP="004667C2">
            <w:pPr>
              <w:pStyle w:val="ListBullet"/>
            </w:pPr>
            <w:r w:rsidRPr="004667C2">
              <w:t>Methods of conducting audits on correct access authority proce</w:t>
            </w:r>
            <w:r w:rsidRPr="004667C2">
              <w:t>dures</w:t>
            </w:r>
          </w:p>
          <w:p w:rsidR="00000000" w:rsidRPr="004667C2" w:rsidP="004667C2">
            <w:pPr>
              <w:pStyle w:val="ListBullet"/>
            </w:pPr>
            <w:r w:rsidRPr="004667C2">
              <w:t>Process of issuing of other access authorities for work permits - working in confined space, if required, co-ordination of access authorities, engaging and briefing contractors on electrical and other work</w:t>
            </w:r>
          </w:p>
          <w:p w:rsidR="00000000" w:rsidRPr="004667C2" w:rsidP="004667C2">
            <w:pPr>
              <w:pStyle w:val="ListBullet"/>
            </w:pPr>
            <w:r w:rsidRPr="004667C2">
              <w:t>Issue and receipt of operating agreements.</w:t>
            </w:r>
          </w:p>
          <w:p w:rsidR="00000000" w:rsidRPr="004667C2" w:rsidP="004667C2">
            <w:pPr>
              <w:pStyle w:val="BodyText"/>
            </w:pPr>
            <w:r w:rsidRPr="004667C2">
              <w:t>T</w:t>
            </w:r>
            <w:r w:rsidRPr="004667C2">
              <w:t>2</w:t>
            </w:r>
            <w:r w:rsidRPr="004667C2">
              <w:tab/>
              <w:t>HV system switching principles including switching authorisation procedures to an extent indicated by the following aspects:</w:t>
            </w:r>
          </w:p>
          <w:p w:rsidR="00000000" w:rsidRPr="004667C2" w:rsidP="004667C2">
            <w:pPr>
              <w:pStyle w:val="ListBullet"/>
            </w:pPr>
            <w:r w:rsidRPr="004667C2">
              <w:t>Legislation, Standards, codes, legislation, supply authority regulations and or enterprise requirements applicable to system swi</w:t>
            </w:r>
            <w:r w:rsidRPr="004667C2">
              <w:t>tching</w:t>
            </w:r>
          </w:p>
          <w:p w:rsidR="00000000" w:rsidRPr="004667C2" w:rsidP="004667C2">
            <w:pPr>
              <w:pStyle w:val="ListBullet"/>
            </w:pPr>
            <w:r w:rsidRPr="004667C2">
              <w:t>Requirements for the use of manuals, system diagrams/plans and drawings</w:t>
            </w:r>
          </w:p>
          <w:p w:rsidR="00000000" w:rsidRPr="004667C2" w:rsidP="004667C2">
            <w:pPr>
              <w:pStyle w:val="ListBullet"/>
            </w:pPr>
            <w:r w:rsidRPr="004667C2">
              <w:t>Types and characteristics of HV systems and equipment to be switched</w:t>
            </w:r>
          </w:p>
          <w:p w:rsidR="00000000" w:rsidRPr="004667C2" w:rsidP="004667C2">
            <w:pPr>
              <w:pStyle w:val="ListBullet"/>
            </w:pPr>
            <w:r w:rsidRPr="004667C2">
              <w:t>Procedures for obtaining correct HV switching authorisation - identification of OHS hazards, assessing and c</w:t>
            </w:r>
            <w:r w:rsidRPr="004667C2">
              <w:t>ontrolling risks, Safety procedures and precautions, safe approach distances</w:t>
            </w:r>
          </w:p>
          <w:p w:rsidR="00000000" w:rsidRPr="004667C2" w:rsidP="004667C2">
            <w:pPr>
              <w:pStyle w:val="ListBullet"/>
            </w:pPr>
            <w:r w:rsidRPr="004667C2">
              <w:t>responsibilities and protocols, identifying switching resources, procedures for obtaining electrical access permits authorities, Requirements for team switching, procedures for co</w:t>
            </w:r>
            <w:r w:rsidRPr="004667C2">
              <w:t>ordination of operations.</w:t>
            </w:r>
          </w:p>
          <w:p w:rsidR="00000000" w:rsidRPr="004667C2" w:rsidP="004667C2">
            <w:pPr>
              <w:pStyle w:val="ListBullet"/>
            </w:pPr>
            <w:r w:rsidRPr="004667C2">
              <w:t>Techniques in HV system switching - pre-switching checks, switching operational procedures, isolation procedures and proving dead de-energised, earthing procedures, switching operational procedures, emergency fault procedures, ene</w:t>
            </w:r>
            <w:r w:rsidRPr="004667C2">
              <w:t>rgisation procedures</w:t>
            </w:r>
          </w:p>
          <w:p w:rsidR="00000000" w:rsidRPr="004667C2" w:rsidP="004667C2">
            <w:pPr>
              <w:pStyle w:val="BodyText"/>
            </w:pPr>
            <w:r w:rsidRPr="004667C2">
              <w:t>T3</w:t>
            </w:r>
            <w:r w:rsidRPr="004667C2">
              <w:tab/>
              <w:t>Coordinating and directing switching instructions encompassing:</w:t>
            </w:r>
          </w:p>
          <w:p w:rsidR="00000000" w:rsidRPr="004667C2" w:rsidP="004667C2">
            <w:pPr>
              <w:pStyle w:val="ListBullet"/>
            </w:pPr>
            <w:r w:rsidRPr="004667C2">
              <w:t>Legislation, Standards, codes, legislation, supply authority regulations and or enterprise requirements applicable to switching sheet instructions</w:t>
            </w:r>
          </w:p>
          <w:p w:rsidR="00000000" w:rsidRPr="004667C2" w:rsidP="004667C2">
            <w:pPr>
              <w:pStyle w:val="ListBullet"/>
            </w:pPr>
            <w:r w:rsidRPr="004667C2">
              <w:t>Specific enterprise processes, policies and procedures to be followed</w:t>
            </w:r>
          </w:p>
          <w:p w:rsidR="00000000" w:rsidRPr="004667C2" w:rsidP="004667C2">
            <w:pPr>
              <w:pStyle w:val="ListBullet"/>
            </w:pPr>
            <w:r w:rsidRPr="004667C2">
              <w:t>Processes of consultation, negotiation and coordination - clear and concise instructions and information, methods for the encouragement of feedback and contributions of information and i</w:t>
            </w:r>
            <w:r w:rsidRPr="004667C2">
              <w:t>deas, responsibilities of members of the team.</w:t>
            </w:r>
          </w:p>
          <w:p w:rsidR="00000000" w:rsidRPr="004667C2" w:rsidP="004667C2">
            <w:pPr>
              <w:pStyle w:val="ListBullet"/>
            </w:pPr>
            <w:r w:rsidRPr="004667C2">
              <w:t>Techniques in analysing, planning, co-ordination and organising work for a safe outcome and according to statutory requirements and regulations</w:t>
            </w:r>
          </w:p>
          <w:p w:rsidR="00000000" w:rsidRPr="004667C2" w:rsidP="004667C2">
            <w:pPr>
              <w:pStyle w:val="ListBullet"/>
            </w:pPr>
            <w:r w:rsidRPr="004667C2">
              <w:t>Techniques in the effective utilisation of available resources</w:t>
            </w:r>
          </w:p>
          <w:p w:rsidR="00000000" w:rsidRPr="004667C2" w:rsidP="004667C2">
            <w:pPr>
              <w:pStyle w:val="ListBullet"/>
            </w:pPr>
            <w:r w:rsidRPr="004667C2">
              <w:t>Te</w:t>
            </w:r>
            <w:r w:rsidRPr="004667C2">
              <w:t>chniques in the co-ordination and directing of switching schedules instructions</w:t>
            </w:r>
          </w:p>
          <w:p w:rsidR="00000000" w:rsidRPr="004667C2" w:rsidP="004667C2">
            <w:pPr>
              <w:pStyle w:val="ListBullet"/>
            </w:pPr>
            <w:r w:rsidRPr="004667C2">
              <w:t>Relationship between the operating authorities and HV customers, operating agreements</w:t>
            </w:r>
          </w:p>
          <w:p w:rsidR="00000000" w:rsidRPr="004667C2" w:rsidP="004667C2">
            <w:pPr>
              <w:pStyle w:val="ListBullet"/>
            </w:pPr>
            <w:r w:rsidRPr="004667C2">
              <w:t>Techniques in co-ordinating and directing HV and LV switching of electrical networks</w:t>
            </w:r>
          </w:p>
          <w:p w:rsidR="00000000" w:rsidRPr="004667C2" w:rsidP="004667C2">
            <w:pPr>
              <w:pStyle w:val="ListBullet"/>
            </w:pPr>
            <w:r w:rsidRPr="004667C2">
              <w:t>Requi</w:t>
            </w:r>
            <w:r w:rsidRPr="004667C2">
              <w:t>rements for the use of manuals, system diagrams/plans and drawings - types, characteristics and capabilities of LV and HV electrical equipment to be switched</w:t>
            </w:r>
          </w:p>
          <w:p w:rsidR="00000000" w:rsidRPr="004667C2" w:rsidP="004667C2">
            <w:pPr>
              <w:pStyle w:val="ListBullet"/>
            </w:pPr>
            <w:r w:rsidRPr="004667C2">
              <w:t>Responsibilities of the switching operator</w:t>
            </w:r>
          </w:p>
          <w:p w:rsidR="00000000" w:rsidRPr="004667C2" w:rsidP="004667C2">
            <w:pPr>
              <w:pStyle w:val="ListBullet"/>
            </w:pPr>
            <w:r w:rsidRPr="004667C2">
              <w:t>Techniques in writing switching instructions - sequence</w:t>
            </w:r>
            <w:r w:rsidRPr="004667C2">
              <w:t xml:space="preserve"> of switching operations, isolation procedures, earthing procedures, switching completion notification procedures</w:t>
            </w:r>
          </w:p>
          <w:p w:rsidR="00000000" w:rsidRPr="004667C2" w:rsidP="004667C2">
            <w:pPr>
              <w:pStyle w:val="ListBullet"/>
            </w:pPr>
            <w:r w:rsidRPr="004667C2">
              <w:t>Techniques in gathering, collating and confirming data on switching procedures</w:t>
            </w:r>
          </w:p>
          <w:p w:rsidR="00000000" w:rsidRPr="004667C2" w:rsidP="004667C2">
            <w:pPr>
              <w:pStyle w:val="BodyText"/>
            </w:pPr>
            <w:r w:rsidRPr="004667C2">
              <w:t>T4</w:t>
            </w:r>
            <w:r w:rsidRPr="004667C2">
              <w:tab/>
              <w:t>HV overhead and substation switching principles encompassing</w:t>
            </w:r>
            <w:r w:rsidRPr="004667C2">
              <w:t>: Legislation, Standards, codes, legislation, supply authority regulations and or enterprise requirements applicable to HV overhead and substation switching</w:t>
            </w:r>
          </w:p>
          <w:p w:rsidR="00000000" w:rsidRPr="004667C2" w:rsidP="004667C2">
            <w:pPr>
              <w:pStyle w:val="ListBullet"/>
            </w:pPr>
            <w:r w:rsidRPr="004667C2">
              <w:t>Requirements for the use of manuals, system diagrams/plans and drawings - types, characteristics a</w:t>
            </w:r>
            <w:r w:rsidRPr="004667C2">
              <w:t>nd capabilities of HV electrical equipment to be switched, use, characteristics and capabilities of specialised tools and testing equipment.</w:t>
            </w:r>
          </w:p>
          <w:p w:rsidR="00000000" w:rsidRPr="004667C2" w:rsidP="004667C2">
            <w:pPr>
              <w:pStyle w:val="ListBullet"/>
            </w:pPr>
            <w:r w:rsidRPr="004667C2">
              <w:t>Role and responsibilities of the HV switching operator</w:t>
            </w:r>
          </w:p>
          <w:p w:rsidR="00000000" w:rsidRPr="004667C2" w:rsidP="004667C2">
            <w:pPr>
              <w:pStyle w:val="ListBullet"/>
            </w:pPr>
            <w:r w:rsidRPr="004667C2">
              <w:t>Operational forms, access authorities and permits hazard/ris</w:t>
            </w:r>
            <w:r w:rsidRPr="004667C2">
              <w:t>k assessments associated with HV switching - types of operational forms, access authorities and permits hazard/risk assessments, purpose and procedure for operational forms, access authorities and hazard/risk assessments.</w:t>
            </w:r>
          </w:p>
          <w:p w:rsidR="00000000" w:rsidRPr="004667C2" w:rsidP="004667C2">
            <w:pPr>
              <w:pStyle w:val="ListBullet"/>
            </w:pPr>
            <w:r w:rsidRPr="004667C2">
              <w:t>Use and operation of equipment ass</w:t>
            </w:r>
            <w:r w:rsidRPr="004667C2">
              <w:t xml:space="preserve">ociated with HV overhead and substation equipment - test instruments, sticks, interrupters, arc stranglers. </w:t>
            </w:r>
          </w:p>
          <w:p w:rsidR="00000000" w:rsidRPr="004667C2" w:rsidP="004667C2">
            <w:pPr>
              <w:pStyle w:val="ListBullet"/>
            </w:pPr>
            <w:r w:rsidRPr="004667C2">
              <w:t>HV switchgear – types, categories, application, operating capabilities.</w:t>
            </w:r>
          </w:p>
          <w:p w:rsidR="00000000" w:rsidRPr="004667C2" w:rsidP="004667C2">
            <w:pPr>
              <w:pStyle w:val="ListBullet"/>
            </w:pPr>
            <w:r w:rsidRPr="004667C2">
              <w:t>Operation of HV overhead switching or indicating devices - fuses; disconnec</w:t>
            </w:r>
            <w:r w:rsidRPr="004667C2">
              <w:t>t fuses; load switching; live line indicators; capacitors; reclosers; sectionalisers, underslung links, airbreaks; switches, disconnects; live line clamps; phasing sticks; phasing tester</w:t>
            </w:r>
          </w:p>
          <w:p w:rsidR="00000000" w:rsidRPr="004667C2" w:rsidP="004667C2">
            <w:pPr>
              <w:pStyle w:val="ListBullet"/>
            </w:pPr>
            <w:r w:rsidRPr="004667C2">
              <w:t>Operation of protection systems and substation equipment - fault levels and settings; types and applications; protection systems and substation equipment fault levels and settings; types and applications.</w:t>
            </w:r>
          </w:p>
          <w:p w:rsidR="00000000" w:rsidRPr="004667C2" w:rsidP="004667C2">
            <w:pPr>
              <w:pStyle w:val="ListBullet"/>
            </w:pPr>
            <w:r w:rsidRPr="004667C2">
              <w:t>Restrictions pertaining to HV switching equipment</w:t>
            </w:r>
          </w:p>
          <w:p w:rsidR="00000000" w:rsidRPr="004667C2" w:rsidP="004667C2">
            <w:pPr>
              <w:pStyle w:val="ListBullet"/>
            </w:pPr>
            <w:r w:rsidRPr="004667C2">
              <w:t>P</w:t>
            </w:r>
            <w:r w:rsidRPr="004667C2">
              <w:t>rocedures for the isolation of HV mains and working earths - earthing HV electrical apparatus practices and procedures for access authority issuing; HV switching techniques.</w:t>
            </w:r>
          </w:p>
          <w:p w:rsidR="00000000" w:rsidRPr="004667C2" w:rsidP="004667C2">
            <w:pPr>
              <w:pStyle w:val="ListBullet"/>
            </w:pPr>
            <w:r w:rsidRPr="004667C2">
              <w:t>Operate switching apparatus - identifying hazards, assessing and controlling risks</w:t>
            </w:r>
            <w:r w:rsidRPr="004667C2">
              <w:t xml:space="preserve"> associated with HV switchgear operation, systematic and defensive techniques, mobile radio procedures, double isolation procedures.</w:t>
            </w:r>
          </w:p>
          <w:p w:rsidR="00000000" w:rsidRPr="004667C2" w:rsidP="004667C2">
            <w:pPr>
              <w:pStyle w:val="BodyText"/>
            </w:pPr>
            <w:r w:rsidRPr="004667C2">
              <w:t>T5</w:t>
            </w:r>
            <w:r w:rsidRPr="004667C2">
              <w:tab/>
              <w:t>Preparation of a HV switching instruction schedule encompassing:</w:t>
            </w:r>
          </w:p>
          <w:p w:rsidR="00000000" w:rsidRPr="004667C2" w:rsidP="004667C2">
            <w:pPr>
              <w:pStyle w:val="ListBullet"/>
            </w:pPr>
            <w:r w:rsidRPr="004667C2">
              <w:t>Legislation, Standards, codes, legislation, supply aut</w:t>
            </w:r>
            <w:r w:rsidRPr="004667C2">
              <w:t>hority regulations and or enterprise requirements applicable to switching instruction schedules</w:t>
            </w:r>
          </w:p>
          <w:p w:rsidR="00000000" w:rsidRPr="004667C2" w:rsidP="004667C2">
            <w:pPr>
              <w:pStyle w:val="ListBullet"/>
            </w:pPr>
            <w:r w:rsidRPr="004667C2">
              <w:t>Requirements for the use of manuals, system diagrams/plans and drawings - types, characteristics and capabilities of HV electrical equipment to be switched, poi</w:t>
            </w:r>
            <w:r w:rsidRPr="004667C2">
              <w:t>nts of isolation and earthing locations (safety and working earths), responsibilities of the switching operator.</w:t>
            </w:r>
          </w:p>
          <w:p w:rsidR="00000000" w:rsidRPr="004667C2" w:rsidP="004667C2">
            <w:pPr>
              <w:pStyle w:val="ListBullet"/>
            </w:pPr>
            <w:r w:rsidRPr="004667C2">
              <w:t>Techniques in writing switching instructions - sequence of switching operations, isolation procedures, earthing procedures, switching completio</w:t>
            </w:r>
            <w:r w:rsidRPr="004667C2">
              <w:t>n notification procedures.</w:t>
            </w:r>
          </w:p>
        </w:tc>
      </w:tr>
    </w:tbl>
    <w:p w:rsidR="00000000" w:rsidRPr="004667C2" w:rsidP="004667C2">
      <w:pPr>
        <w:pStyle w:val="BodyText"/>
      </w:pPr>
    </w:p>
    <w:p w:rsidR="00000000" w:rsidRPr="004667C2" w:rsidP="004667C2">
      <w:pPr>
        <w:pStyle w:val="AllowPageBreak"/>
      </w:pPr>
    </w:p>
    <w:p w:rsidR="00000000" w:rsidRPr="004667C2" w:rsidP="004667C2">
      <w:pPr>
        <w:pStyle w:val="Heading1"/>
      </w:pPr>
      <w:bookmarkStart w:id="10" w:name="O_465046"/>
      <w:bookmarkEnd w:id="10"/>
      <w:r w:rsidRPr="004667C2">
        <w:t>Evidence Guide</w:t>
      </w:r>
    </w:p>
    <w:tbl>
      <w:tblPr>
        <w:tblW w:w="0" w:type="auto"/>
        <w:tblLayout w:type="fixed"/>
        <w:tblCellMar>
          <w:left w:w="62" w:type="dxa"/>
          <w:right w:w="62" w:type="dxa"/>
        </w:tblCellMar>
        <w:tblLook w:val="0000"/>
      </w:tblPr>
      <w:tblGrid>
        <w:gridCol w:w="8460"/>
      </w:tblGrid>
      <w:tr w:rsidTr="00FB33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EVIDENCE GUIDE</w:t>
            </w:r>
          </w:p>
        </w:tc>
      </w:tr>
      <w:tr w:rsidTr="00FB33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9)</w:t>
            </w:r>
            <w:r w:rsidRPr="004667C2">
              <w:t xml:space="preserve"> This provides essential advice for assessment of the competency standard unit and must be read </w:t>
            </w:r>
            <w:r w:rsidRPr="004667C2">
              <w:t>in conjunction with the Performance Criteria and the Range Statement of the competency standard unit and the Training Package Assessment Guidelines.</w:t>
            </w:r>
          </w:p>
          <w:p w:rsidR="00000000" w:rsidRPr="004667C2" w:rsidP="004667C2">
            <w:pPr>
              <w:pStyle w:val="BodyText"/>
            </w:pPr>
            <w:r w:rsidRPr="004667C2">
              <w:t>The Evidence Guide forms an integral part of this Competency Standard Unit and shall be used in conjunction</w:t>
            </w:r>
            <w:r w:rsidRPr="004667C2">
              <w:t xml:space="preserve"> with all component parts of this unit and, performed in accordance with the Assessment Guidelines of this Training Package.</w:t>
            </w:r>
          </w:p>
        </w:tc>
      </w:tr>
    </w:tbl>
    <w:p w:rsidR="00000000" w:rsidRPr="004667C2" w:rsidP="004667C2">
      <w:pPr>
        <w:pStyle w:val="BodyText"/>
      </w:pPr>
    </w:p>
    <w:tbl>
      <w:tblPr>
        <w:tblW w:w="0" w:type="auto"/>
        <w:tblLayout w:type="fixed"/>
        <w:tblCellMar>
          <w:left w:w="62" w:type="dxa"/>
          <w:right w:w="62" w:type="dxa"/>
        </w:tblCellMar>
        <w:tblLook w:val="0000"/>
      </w:tblPr>
      <w:tblGrid>
        <w:gridCol w:w="1890"/>
        <w:gridCol w:w="6570"/>
      </w:tblGrid>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9.1)</w:t>
            </w:r>
          </w:p>
        </w:tc>
      </w:tr>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Longitudinal competency development approaches to assessment, such as Profiling, require data to be</w:t>
            </w:r>
            <w:r w:rsidRPr="004667C2">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4667C2">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4667C2">
              <w:t>assessment in part or full can occur outside the workplace. However, it must be in accord with Industry and, Regulatory policy in this regard.</w:t>
            </w:r>
          </w:p>
          <w:p w:rsidR="00000000" w:rsidRPr="004667C2" w:rsidP="004667C2">
            <w:pPr>
              <w:pStyle w:val="BodyText"/>
            </w:pPr>
            <w:r w:rsidRPr="004667C2">
              <w:t>Methods chosen for a particular assessment will be influenced by various factors. These include the extent of the</w:t>
            </w:r>
            <w:r w:rsidRPr="004667C2">
              <w:t xml:space="preserve"> assessment, the most effective locations for the assessment activities to take place, access to physical resources, additional safety measures that may be required and the critical nature of the competencies being assessed.</w:t>
            </w:r>
          </w:p>
          <w:p w:rsidR="00000000" w:rsidRPr="004667C2" w:rsidP="004667C2">
            <w:pPr>
              <w:pStyle w:val="BodyText"/>
            </w:pPr>
            <w:r w:rsidRPr="004667C2">
              <w:t>The critical safety nature of working with electricity, electrical equipment, gas or any other hazardous substance/material carries risk in deeming a person competent. Hence, sources of evidence need to be ‘rich’ in nature so as to minimise error in judgme</w:t>
            </w:r>
            <w:r w:rsidRPr="004667C2">
              <w:t>nt.</w:t>
            </w:r>
          </w:p>
          <w:p w:rsidR="00000000" w:rsidRPr="004667C2" w:rsidP="004667C2">
            <w:pPr>
              <w:pStyle w:val="BodyText"/>
            </w:pPr>
            <w:r w:rsidRPr="004667C2">
              <w:t>Activities associated with normal every day work have a bearing on the decision as to how much and how detailed the data gathered will contribute to its ‘richness’. Some skills are more critical to safety and operational requirements while the same ski</w:t>
            </w:r>
            <w:r w:rsidRPr="004667C2">
              <w:t>lls may be more or less frequently practiced. These points are raised for the assessors to consider when choosing an assessment method and developing assessment instruments. Sample assessment instruments are included for Assessors in the Assessment Guideli</w:t>
            </w:r>
            <w:r w:rsidRPr="004667C2">
              <w:t>nes of this Training Package.</w:t>
            </w:r>
          </w:p>
        </w:tc>
      </w:tr>
    </w:tbl>
    <w:p w:rsidR="00000000" w:rsidRPr="004667C2" w:rsidP="004667C2">
      <w:pPr>
        <w:pStyle w:val="BodyText"/>
      </w:pPr>
    </w:p>
    <w:tbl>
      <w:tblPr>
        <w:tblW w:w="0" w:type="auto"/>
        <w:tblLayout w:type="fixed"/>
        <w:tblCellMar>
          <w:left w:w="62" w:type="dxa"/>
          <w:right w:w="62" w:type="dxa"/>
        </w:tblCellMar>
        <w:tblLook w:val="0000"/>
      </w:tblPr>
      <w:tblGrid>
        <w:gridCol w:w="1890"/>
        <w:gridCol w:w="720"/>
        <w:gridCol w:w="1170"/>
        <w:gridCol w:w="2250"/>
        <w:gridCol w:w="2430"/>
      </w:tblGrid>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9.2)</w:t>
            </w:r>
          </w:p>
        </w:tc>
      </w:tr>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Before the critical aspects of evidence are considered all prerequisites shall be met.</w:t>
            </w:r>
          </w:p>
          <w:p w:rsidR="00000000" w:rsidRPr="004667C2" w:rsidP="004667C2">
            <w:pPr>
              <w:pStyle w:val="BodyText"/>
            </w:pPr>
            <w:r w:rsidRPr="004667C2">
              <w:t>Evidence for competence in this unit shall be cons</w:t>
            </w:r>
            <w:r w:rsidRPr="004667C2">
              <w:t>idered holistically. Each Element and associated Performance Criteria shall be demonstrated on at least two occasions in accordance with the “Assessment Guidelines – UET12”. Evidence shall also comprise:</w:t>
            </w:r>
          </w:p>
          <w:p w:rsidR="00000000" w:rsidRPr="004667C2" w:rsidP="004667C2">
            <w:pPr>
              <w:pStyle w:val="ListBullet"/>
            </w:pPr>
            <w:r w:rsidRPr="004667C2">
              <w:t>A representative body of Performance Criteria demon</w:t>
            </w:r>
            <w:r w:rsidRPr="004667C2">
              <w:t>strated within the timeframes typically expected of the discipline, work function and industrial environment. In particular this shall incorporate evidence that shows a candidate is able to:</w:t>
            </w:r>
          </w:p>
          <w:p w:rsidR="00000000" w:rsidRPr="004667C2" w:rsidP="004667C2">
            <w:pPr>
              <w:pStyle w:val="ListBullet2"/>
            </w:pPr>
            <w:r w:rsidRPr="004667C2">
              <w:t>Implement Occupational Health and Safety workplace procedures and practices including the use of risk control measures as specified in the Performance Criteria and range; and</w:t>
            </w:r>
          </w:p>
          <w:p w:rsidR="00000000" w:rsidRPr="004667C2" w:rsidP="004667C2">
            <w:pPr>
              <w:pStyle w:val="ListBullet2"/>
            </w:pPr>
            <w:r w:rsidRPr="004667C2">
              <w:t>Apply sustainable energy principles and practices as specified in the Performance</w:t>
            </w:r>
            <w:r w:rsidRPr="004667C2">
              <w:t xml:space="preserve"> Criteria and range; and</w:t>
            </w:r>
          </w:p>
          <w:p w:rsidR="00000000" w:rsidRPr="004667C2" w:rsidP="004667C2">
            <w:pPr>
              <w:pStyle w:val="ListBullet2"/>
            </w:pPr>
            <w:r w:rsidRPr="004667C2">
              <w:t>Demonstrate an understanding of the essential knowledge and associated skills described in this unit to such an extent that the learner’s performance outcome is reported in accordance with the preferred approach; namely a percentil</w:t>
            </w:r>
            <w:r w:rsidRPr="004667C2">
              <w:t>e graded result, where required by the regulated environment; and</w:t>
            </w:r>
          </w:p>
          <w:p w:rsidR="00000000" w:rsidRPr="004667C2" w:rsidP="004667C2">
            <w:pPr>
              <w:pStyle w:val="ListBullet2"/>
            </w:pPr>
            <w:r w:rsidRPr="004667C2">
              <w:t>Demonstrate an appropriate level of employability skills; and</w:t>
            </w:r>
          </w:p>
          <w:p w:rsidR="00000000" w:rsidRPr="004667C2" w:rsidP="004667C2">
            <w:pPr>
              <w:pStyle w:val="ListBullet"/>
            </w:pPr>
            <w:r w:rsidRPr="004667C2">
              <w:t>Conduct work observing the relevant Anti Discrimination legislation, regulations, policies and workplace procedures; and</w:t>
            </w:r>
          </w:p>
          <w:p w:rsidR="00000000" w:rsidP="004667C2">
            <w:pPr>
              <w:pStyle w:val="ListBullet2"/>
              <w:rPr>
                <w:lang w:val="en-NZ"/>
              </w:rPr>
            </w:pPr>
            <w:r w:rsidRPr="004667C2">
              <w:t>Demon</w:t>
            </w:r>
            <w:r w:rsidRPr="004667C2">
              <w:t>strated performance across a representative range of contexts from the prescribed items below:</w:t>
            </w:r>
          </w:p>
        </w:tc>
      </w:tr>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667C2">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7C2">
            <w:pPr>
              <w:pStyle w:val="BodyText"/>
              <w:rPr>
                <w:lang w:val="en-NZ"/>
              </w:rPr>
            </w:pPr>
            <w:r w:rsidRPr="004667C2">
              <w:rPr>
                <w:rStyle w:val="SpecialBold"/>
              </w:rPr>
              <w:t>Range of tools/equipment/materials/procedures/workplaces/other variables</w:t>
            </w:r>
          </w:p>
        </w:tc>
      </w:tr>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667C2">
            <w:pPr>
              <w:pStyle w:val="BodyText"/>
              <w:keepNext w:val="0"/>
              <w:keepLines w:val="0"/>
              <w:contextualSpacing w:val="0"/>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7C2" w:rsidP="004667C2">
            <w:pPr>
              <w:pStyle w:val="BodyText"/>
            </w:pPr>
            <w:r w:rsidRPr="004667C2">
              <w:rPr>
                <w:rStyle w:val="SpecialBold"/>
              </w:rPr>
              <w:t>Group No</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7C2" w:rsidP="004667C2">
            <w:pPr>
              <w:pStyle w:val="BodyText"/>
            </w:pPr>
            <w:r w:rsidRPr="004667C2">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7C2">
            <w:pPr>
              <w:pStyle w:val="BodyText"/>
              <w:rPr>
                <w:lang w:val="en-NZ"/>
              </w:rPr>
            </w:pPr>
            <w:r w:rsidRPr="004667C2">
              <w:rPr>
                <w:rStyle w:val="SpecialBold"/>
              </w:rPr>
              <w:t>Item List</w:t>
            </w:r>
          </w:p>
        </w:tc>
      </w:tr>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7C2">
            <w:pPr>
              <w:pStyle w:val="BodyText"/>
              <w:rPr>
                <w:lang w:val="en-NZ"/>
              </w:rPr>
            </w:pPr>
            <w:r w:rsidRPr="004667C2">
              <w:t>A</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7C2">
            <w:pPr>
              <w:pStyle w:val="BodyText"/>
              <w:rPr>
                <w:lang w:val="en-NZ"/>
              </w:rPr>
            </w:pPr>
            <w:r w:rsidRPr="004667C2">
              <w:t>Demonstrate on at least three (3) occasions the management of system manipulations that encompass: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7C2" w:rsidP="004667C2">
            <w:pPr>
              <w:pStyle w:val="BodyText"/>
            </w:pPr>
            <w:r w:rsidRPr="004667C2">
              <w:t>EHV transmission network</w:t>
            </w:r>
          </w:p>
          <w:p w:rsidR="00000000" w:rsidRPr="004667C2" w:rsidP="004667C2">
            <w:pPr>
              <w:pStyle w:val="BodyText"/>
            </w:pPr>
            <w:r w:rsidRPr="004667C2">
              <w:t>EHV network manipulation to control loading on equipment</w:t>
            </w:r>
          </w:p>
          <w:p w:rsidR="00000000" w:rsidRPr="004667C2" w:rsidP="004667C2">
            <w:pPr>
              <w:pStyle w:val="BodyText"/>
            </w:pPr>
            <w:r w:rsidRPr="004667C2">
              <w:t>Transformers with EHV windings (if applicable to enterprise equipment)</w:t>
            </w:r>
          </w:p>
          <w:p w:rsidR="00000000" w:rsidRPr="004667C2" w:rsidP="004667C2">
            <w:pPr>
              <w:pStyle w:val="BodyText"/>
            </w:pPr>
            <w:r w:rsidRPr="004667C2">
              <w:t>EHV busbars</w:t>
            </w:r>
          </w:p>
          <w:p w:rsidR="00000000" w:rsidRPr="004667C2" w:rsidP="004667C2">
            <w:pPr>
              <w:pStyle w:val="BodyText"/>
            </w:pPr>
            <w:r w:rsidRPr="004667C2">
              <w:t>EHV isolators</w:t>
            </w:r>
          </w:p>
          <w:p w:rsidR="00000000" w:rsidP="004667C2">
            <w:pPr>
              <w:pStyle w:val="BodyText"/>
              <w:rPr>
                <w:lang w:val="en-NZ"/>
              </w:rPr>
            </w:pPr>
            <w:r w:rsidRPr="004667C2">
              <w:t>EHV switchgear (applicable to enterprise equipment).</w:t>
            </w:r>
          </w:p>
        </w:tc>
      </w:tr>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7C2">
            <w:pPr>
              <w:pStyle w:val="BodyText"/>
              <w:rPr>
                <w:lang w:val="en-NZ"/>
              </w:rPr>
            </w:pPr>
            <w:r w:rsidRPr="004667C2">
              <w:t>B</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7C2">
            <w:pPr>
              <w:pStyle w:val="BodyText"/>
              <w:rPr>
                <w:lang w:val="en-NZ"/>
              </w:rPr>
            </w:pPr>
            <w:r w:rsidRPr="004667C2">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7C2" w:rsidP="004667C2">
            <w:pPr>
              <w:pStyle w:val="BodyText"/>
            </w:pPr>
            <w:r w:rsidRPr="004667C2">
              <w:t>Write switching instructions</w:t>
            </w:r>
          </w:p>
          <w:p w:rsidR="00000000" w:rsidRPr="004667C2" w:rsidP="004667C2">
            <w:pPr>
              <w:pStyle w:val="BodyText"/>
            </w:pPr>
            <w:r w:rsidRPr="004667C2">
              <w:t>Check switching instructions</w:t>
            </w:r>
          </w:p>
          <w:p w:rsidR="00000000" w:rsidRPr="004667C2" w:rsidP="004667C2">
            <w:pPr>
              <w:pStyle w:val="BodyText"/>
            </w:pPr>
            <w:r w:rsidRPr="004667C2">
              <w:t xml:space="preserve">Coordinate switching </w:t>
            </w:r>
            <w:r w:rsidRPr="004667C2">
              <w:t>instructions</w:t>
            </w:r>
          </w:p>
          <w:p w:rsidR="00000000" w:rsidRPr="004667C2" w:rsidP="004667C2">
            <w:pPr>
              <w:pStyle w:val="BodyText"/>
            </w:pPr>
            <w:r w:rsidRPr="004667C2">
              <w:t>Calculate plant loading</w:t>
            </w:r>
          </w:p>
          <w:p w:rsidR="00000000" w:rsidRPr="004667C2" w:rsidP="004667C2">
            <w:pPr>
              <w:pStyle w:val="BodyText"/>
            </w:pPr>
            <w:r w:rsidRPr="004667C2">
              <w:t>Prepare and authorise EHV switching programs</w:t>
            </w:r>
          </w:p>
          <w:p w:rsidR="00000000" w:rsidRPr="004667C2" w:rsidP="004667C2">
            <w:pPr>
              <w:pStyle w:val="BodyText"/>
            </w:pPr>
            <w:r w:rsidRPr="004667C2">
              <w:t>Monitor switching progress</w:t>
            </w:r>
          </w:p>
          <w:p w:rsidR="00000000" w:rsidRPr="004667C2" w:rsidP="004667C2">
            <w:pPr>
              <w:pStyle w:val="BodyText"/>
            </w:pPr>
            <w:r w:rsidRPr="004667C2">
              <w:t>Monitor the status of access permits/authorities on EHV network equipment</w:t>
            </w:r>
          </w:p>
          <w:p w:rsidR="00000000" w:rsidRPr="004667C2" w:rsidP="004667C2">
            <w:pPr>
              <w:pStyle w:val="BodyText"/>
            </w:pPr>
            <w:r w:rsidRPr="004667C2">
              <w:t>Ensure network plant operates within design and regulatory requirements on a real time basis</w:t>
            </w:r>
          </w:p>
          <w:p w:rsidR="00000000" w:rsidRPr="004667C2" w:rsidP="004667C2">
            <w:pPr>
              <w:pStyle w:val="BodyText"/>
            </w:pPr>
            <w:r w:rsidRPr="004667C2">
              <w:t>Dispatch and communicate with field crews to respond/rectify system abnormalities</w:t>
            </w:r>
          </w:p>
          <w:p w:rsidR="00000000" w:rsidRPr="004667C2" w:rsidP="004667C2">
            <w:pPr>
              <w:pStyle w:val="BodyText"/>
            </w:pPr>
            <w:r w:rsidRPr="004667C2">
              <w:t>Application and administration of SCADA (if applicable to enterprise equipment)</w:t>
            </w:r>
          </w:p>
          <w:p w:rsidR="00000000" w:rsidRPr="004667C2" w:rsidP="004667C2">
            <w:pPr>
              <w:pStyle w:val="BodyText"/>
            </w:pPr>
            <w:r w:rsidRPr="004667C2">
              <w:t>A</w:t>
            </w:r>
            <w:r w:rsidRPr="004667C2">
              <w:t>nalyse and diagnose system failures</w:t>
            </w:r>
          </w:p>
          <w:p w:rsidR="00000000" w:rsidP="004667C2">
            <w:pPr>
              <w:pStyle w:val="BodyText"/>
              <w:rPr>
                <w:lang w:val="en-NZ"/>
              </w:rPr>
            </w:pPr>
            <w:r w:rsidRPr="004667C2">
              <w:t>Calculate and analyse network conditions on the interconnected EHV system.</w:t>
            </w:r>
          </w:p>
        </w:tc>
      </w:tr>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7C2">
            <w:pPr>
              <w:pStyle w:val="BodyText"/>
              <w:rPr>
                <w:lang w:val="en-NZ"/>
              </w:rPr>
            </w:pPr>
            <w:r w:rsidRPr="004667C2">
              <w:t>C</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7C2">
            <w:pPr>
              <w:pStyle w:val="BodyText"/>
              <w:rPr>
                <w:lang w:val="en-NZ"/>
              </w:rPr>
            </w:pPr>
            <w:r w:rsidRPr="004667C2">
              <w:t>Monitor and manage switching to:</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7C2" w:rsidP="004667C2">
            <w:pPr>
              <w:pStyle w:val="BodyText"/>
            </w:pPr>
            <w:r w:rsidRPr="004667C2">
              <w:t>Manage load</w:t>
            </w:r>
          </w:p>
          <w:p w:rsidR="00000000" w:rsidRPr="004667C2" w:rsidP="004667C2">
            <w:pPr>
              <w:pStyle w:val="BodyText"/>
            </w:pPr>
            <w:r w:rsidRPr="004667C2">
              <w:t>Manage voltage</w:t>
            </w:r>
          </w:p>
          <w:p w:rsidR="00000000" w:rsidRPr="004667C2" w:rsidP="004667C2">
            <w:pPr>
              <w:pStyle w:val="BodyText"/>
            </w:pPr>
            <w:r w:rsidRPr="004667C2">
              <w:t>Minimise loss</w:t>
            </w:r>
          </w:p>
          <w:p w:rsidR="00000000" w:rsidRPr="004667C2" w:rsidP="004667C2">
            <w:pPr>
              <w:pStyle w:val="BodyText"/>
            </w:pPr>
            <w:r w:rsidRPr="004667C2">
              <w:t>Maximise system reliability</w:t>
            </w:r>
          </w:p>
          <w:p w:rsidR="00000000" w:rsidRPr="004667C2" w:rsidP="004667C2">
            <w:pPr>
              <w:pStyle w:val="BodyText"/>
            </w:pPr>
            <w:r w:rsidRPr="004667C2">
              <w:t>Allow safe network access for maintena</w:t>
            </w:r>
            <w:r w:rsidRPr="004667C2">
              <w:t>nce activities</w:t>
            </w:r>
          </w:p>
          <w:p w:rsidR="00000000" w:rsidRPr="004667C2" w:rsidP="004667C2">
            <w:pPr>
              <w:pStyle w:val="BodyText"/>
            </w:pPr>
            <w:r w:rsidRPr="004667C2">
              <w:t>Allow safe network access for construction activities</w:t>
            </w:r>
          </w:p>
          <w:p w:rsidR="00000000" w:rsidP="004667C2">
            <w:pPr>
              <w:pStyle w:val="BodyText"/>
              <w:rPr>
                <w:lang w:val="en-NZ"/>
              </w:rPr>
            </w:pPr>
            <w:r w:rsidRPr="004667C2">
              <w:t>Validating fault reports arising from system disturbances</w:t>
            </w:r>
          </w:p>
        </w:tc>
      </w:tr>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7C2">
            <w:pPr>
              <w:pStyle w:val="BodyText"/>
              <w:rPr>
                <w:lang w:val="en-NZ"/>
              </w:rPr>
            </w:pPr>
            <w:r w:rsidRPr="004667C2">
              <w:t>D</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7C2">
            <w:pPr>
              <w:pStyle w:val="BodyText"/>
              <w:rPr>
                <w:lang w:val="en-NZ"/>
              </w:rPr>
            </w:pPr>
            <w:r w:rsidRPr="004667C2">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7C2" w:rsidP="004667C2">
            <w:pPr>
              <w:pStyle w:val="BodyText"/>
            </w:pPr>
            <w:r w:rsidRPr="004667C2">
              <w:t>Dealing with an unplanned event by drawing on essential knowledge and associated skills to provide appropriate solutions incorporated in the holistic assessment with the above listed items.</w:t>
            </w:r>
          </w:p>
        </w:tc>
      </w:tr>
    </w:tbl>
    <w:p w:rsidR="00000000" w:rsidRPr="004667C2" w:rsidP="004667C2">
      <w:pPr>
        <w:pStyle w:val="BodyText"/>
      </w:pPr>
    </w:p>
    <w:tbl>
      <w:tblPr>
        <w:tblW w:w="0" w:type="auto"/>
        <w:tblLayout w:type="fixed"/>
        <w:tblCellMar>
          <w:left w:w="62" w:type="dxa"/>
          <w:right w:w="62" w:type="dxa"/>
        </w:tblCellMar>
        <w:tblLook w:val="0000"/>
      </w:tblPr>
      <w:tblGrid>
        <w:gridCol w:w="1890"/>
        <w:gridCol w:w="6570"/>
      </w:tblGrid>
      <w:tr w:rsidTr="00FB332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9.3)</w:t>
            </w:r>
          </w:p>
        </w:tc>
      </w:tr>
      <w:tr w:rsidTr="00FB332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This unit should be assessed as it relates to normal work practice using procedures, information and resources typical of a workplace. This should include:</w:t>
            </w:r>
          </w:p>
          <w:p w:rsidR="00000000" w:rsidRPr="004667C2" w:rsidP="004667C2">
            <w:pPr>
              <w:pStyle w:val="ListBullet"/>
            </w:pPr>
            <w:r w:rsidRPr="004667C2">
              <w:t>OHS policy and work procedures and instructions.</w:t>
            </w:r>
          </w:p>
          <w:p w:rsidR="00000000" w:rsidRPr="004667C2" w:rsidP="004667C2">
            <w:pPr>
              <w:pStyle w:val="ListBullet"/>
            </w:pPr>
            <w:r w:rsidRPr="004667C2">
              <w:t>Suitable work environment, facilities, equipment a</w:t>
            </w:r>
            <w:r w:rsidRPr="004667C2">
              <w:t>nd materials to undertake actual management of transmission networks</w:t>
            </w:r>
          </w:p>
          <w:p w:rsidR="00000000" w:rsidRPr="004667C2" w:rsidP="004667C2">
            <w:pPr>
              <w:pStyle w:val="BodyText"/>
            </w:pPr>
            <w:r w:rsidRPr="004667C2">
              <w:t>Note:</w:t>
            </w:r>
          </w:p>
          <w:p w:rsidR="00000000" w:rsidRPr="004667C2" w:rsidP="004667C2">
            <w:pPr>
              <w:pStyle w:val="BodyText"/>
            </w:pPr>
            <w:r w:rsidRPr="004667C2">
              <w:t xml:space="preserve">Access will be needed to: relevant protection, control, metering and alarm equipment, network drawings, computerised electrical plant control and monitoring facilities, operational </w:t>
            </w:r>
            <w:r w:rsidRPr="004667C2">
              <w:t>event data, enterprise operational policies, procedures and work practices and crisis management procedures.</w:t>
            </w:r>
          </w:p>
          <w:p w:rsidR="00000000" w:rsidRPr="004667C2" w:rsidP="004667C2">
            <w:pPr>
              <w:pStyle w:val="BodyText"/>
            </w:pPr>
            <w:r w:rsidRPr="004667C2">
              <w:t>In addition to the resources listed above, in Context of and specific resources for assessment, evidence should show demonstrated competency workin</w:t>
            </w:r>
            <w:r w:rsidRPr="004667C2">
              <w:t xml:space="preserve">g in realistic environment and a variety of conditions. </w:t>
            </w:r>
          </w:p>
        </w:tc>
      </w:tr>
    </w:tbl>
    <w:p w:rsidR="00000000" w:rsidRPr="004667C2" w:rsidP="004667C2">
      <w:pPr>
        <w:pStyle w:val="BodyText"/>
      </w:pPr>
    </w:p>
    <w:tbl>
      <w:tblPr>
        <w:tblW w:w="0" w:type="auto"/>
        <w:tblLayout w:type="fixed"/>
        <w:tblCellMar>
          <w:left w:w="62" w:type="dxa"/>
          <w:right w:w="62" w:type="dxa"/>
        </w:tblCellMar>
        <w:tblLook w:val="0000"/>
      </w:tblPr>
      <w:tblGrid>
        <w:gridCol w:w="1890"/>
        <w:gridCol w:w="6570"/>
      </w:tblGrid>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9.4)</w:t>
            </w:r>
          </w:p>
        </w:tc>
      </w:tr>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This Competency Standard Unit shall be assessed by methods given in Volume 1, Part 3 “Assessment Guidelines”.</w:t>
            </w:r>
          </w:p>
          <w:p w:rsidR="00000000" w:rsidRPr="004667C2" w:rsidP="004667C2">
            <w:pPr>
              <w:pStyle w:val="BodyText"/>
            </w:pPr>
            <w:r w:rsidRPr="004667C2">
              <w:t>Note:</w:t>
            </w:r>
          </w:p>
          <w:p w:rsidR="00000000" w:rsidRPr="004667C2" w:rsidP="004667C2">
            <w:pPr>
              <w:pStyle w:val="BodyText"/>
            </w:pPr>
            <w:r w:rsidRPr="004667C2">
              <w:t>Competent performance with inherent safe working practices is expected in the Transmission, Distribution and Rail Traction Industry. This requires that the specified essential knowledge and associated skills are assessed in a structured environment which i</w:t>
            </w:r>
            <w:r w:rsidRPr="004667C2">
              <w:t>s primarily intended for learning/assessment and incorporates all necessary equipment and facilities for learners to develop and demonstrate the essential knowledge and associated skills described in this unit.</w:t>
            </w:r>
          </w:p>
        </w:tc>
      </w:tr>
    </w:tbl>
    <w:p w:rsidR="00000000" w:rsidRPr="004667C2" w:rsidP="004667C2">
      <w:pPr>
        <w:pStyle w:val="BodyText"/>
      </w:pPr>
    </w:p>
    <w:tbl>
      <w:tblPr>
        <w:tblW w:w="0" w:type="auto"/>
        <w:tblLayout w:type="fixed"/>
        <w:tblCellMar>
          <w:left w:w="62" w:type="dxa"/>
          <w:right w:w="62" w:type="dxa"/>
        </w:tblCellMar>
        <w:tblLook w:val="0000"/>
      </w:tblPr>
      <w:tblGrid>
        <w:gridCol w:w="1890"/>
        <w:gridCol w:w="1530"/>
        <w:gridCol w:w="5040"/>
      </w:tblGrid>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Concurrent assessment and relationship with</w:t>
            </w:r>
            <w:r w:rsidRPr="004667C2">
              <w:rPr>
                <w:rStyle w:val="SpecialBold"/>
              </w:rPr>
              <w:t xml:space="preserve"> other units</w:t>
            </w:r>
          </w:p>
        </w:tc>
        <w:tc>
          <w:tcPr>
            <w:tcW w:w="6570" w:type="dxa"/>
            <w:gridSpan w:val="2"/>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9.5)</w:t>
            </w:r>
          </w:p>
        </w:tc>
      </w:tr>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For optimisation of training and assessment effort, competence in this unit may be assessed concurrently with units:</w:t>
            </w:r>
          </w:p>
        </w:tc>
      </w:tr>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UETTDRSO39A</w:t>
            </w:r>
          </w:p>
        </w:tc>
        <w:tc>
          <w:tcPr>
            <w:tcW w:w="504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Coordinate low voltage distribution networks</w:t>
            </w:r>
          </w:p>
        </w:tc>
      </w:tr>
      <w:tr w:rsidTr="00FB33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t>UETTDRSO40A</w:t>
            </w:r>
          </w:p>
        </w:tc>
        <w:tc>
          <w:tcPr>
            <w:tcW w:w="504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Coordinate high voltage distribution and subtransmission networks</w:t>
            </w:r>
          </w:p>
        </w:tc>
      </w:tr>
    </w:tbl>
    <w:p w:rsidR="00000000" w:rsidRPr="004667C2" w:rsidP="004667C2">
      <w:pPr>
        <w:pStyle w:val="BodyText"/>
      </w:pPr>
    </w:p>
    <w:p w:rsidR="00000000" w:rsidRPr="004667C2" w:rsidP="004667C2">
      <w:pPr>
        <w:pStyle w:val="AllowPageBreak"/>
      </w:pPr>
    </w:p>
    <w:p w:rsidR="00000000" w:rsidRPr="004667C2" w:rsidP="004667C2">
      <w:pPr>
        <w:pStyle w:val="Heading1"/>
      </w:pPr>
      <w:bookmarkStart w:id="11" w:name="O_465050"/>
      <w:bookmarkEnd w:id="11"/>
      <w:r w:rsidRPr="004667C2">
        <w:t>Range Statement</w:t>
      </w:r>
    </w:p>
    <w:tbl>
      <w:tblPr>
        <w:tblW w:w="0" w:type="auto"/>
        <w:tblLayout w:type="fixed"/>
        <w:tblCellMar>
          <w:left w:w="62" w:type="dxa"/>
          <w:right w:w="62" w:type="dxa"/>
        </w:tblCellMar>
        <w:tblLook w:val="0000"/>
      </w:tblPr>
      <w:tblGrid>
        <w:gridCol w:w="8460"/>
      </w:tblGrid>
      <w:tr w:rsidTr="00FB33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RANGE STATEMENT</w:t>
            </w:r>
          </w:p>
        </w:tc>
      </w:tr>
      <w:tr w:rsidTr="00FB33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10)</w:t>
            </w:r>
            <w:r w:rsidRPr="004667C2">
              <w:t xml:space="preserve"> This relates to the competency standard unit as a whole providing the range of contexts and conditions to which the Performance Criter</w:t>
            </w:r>
            <w:r w:rsidRPr="004667C2">
              <w:t>ia apply. It allows for different work environments and situations that will affect performance.</w:t>
            </w:r>
          </w:p>
          <w:p w:rsidR="00000000" w:rsidRPr="004667C2" w:rsidP="004667C2">
            <w:pPr>
              <w:pStyle w:val="BodyText"/>
            </w:pPr>
            <w:r w:rsidRPr="004667C2">
              <w:t>This Competency Standard Unit shall be demonstrated in relation to the management of a transmission network ensuring that the network is operated within design</w:t>
            </w:r>
            <w:r w:rsidRPr="004667C2">
              <w:t xml:space="preserve"> parameters at all times and shall be demonstrated using the following: </w:t>
            </w:r>
          </w:p>
          <w:p w:rsidR="00000000" w:rsidRPr="004667C2" w:rsidP="004667C2">
            <w:pPr>
              <w:pStyle w:val="BodyText"/>
            </w:pPr>
            <w:r w:rsidRPr="004667C2">
              <w:t>EHV transmission network; transformers with EHV windings; EHV busbars; EHV isolators EHV Switchgear (applicable to enterprise equipment); switching instructions (applicable to enterpr</w:t>
            </w:r>
            <w:r w:rsidRPr="004667C2">
              <w:t>ise equipment); computers (applicable to enterprise equipment); network diagrams (applicable to enterprise equipment); access authorities; regulatory requirements</w:t>
            </w:r>
          </w:p>
          <w:p w:rsidR="00000000" w:rsidRPr="004667C2" w:rsidP="004667C2">
            <w:pPr>
              <w:pStyle w:val="BodyText"/>
            </w:pPr>
            <w:r w:rsidRPr="004667C2">
              <w:t>The following constants and variables included in the Element/Performance Criteria in this un</w:t>
            </w:r>
            <w:r w:rsidRPr="004667C2">
              <w:t>it are fully described in the Definitions Section 1 of this volume and form an integral part of the Range Statement of this unit:</w:t>
            </w:r>
          </w:p>
          <w:p w:rsidR="00000000" w:rsidRPr="004667C2" w:rsidP="004667C2">
            <w:pPr>
              <w:pStyle w:val="ListBullet3"/>
            </w:pPr>
            <w:r w:rsidRPr="004667C2">
              <w:t>Appropriate and relevant persons (see Personnel)</w:t>
            </w:r>
          </w:p>
          <w:p w:rsidR="00000000" w:rsidRPr="004667C2" w:rsidP="004667C2">
            <w:pPr>
              <w:pStyle w:val="ListBullet3"/>
            </w:pPr>
            <w:r w:rsidRPr="004667C2">
              <w:t>Appropriate authorities</w:t>
            </w:r>
          </w:p>
          <w:p w:rsidR="00000000" w:rsidRPr="004667C2" w:rsidP="004667C2">
            <w:pPr>
              <w:pStyle w:val="ListBullet3"/>
            </w:pPr>
            <w:r w:rsidRPr="004667C2">
              <w:t>Appropriate work platform</w:t>
            </w:r>
          </w:p>
          <w:p w:rsidR="00000000" w:rsidRPr="004667C2" w:rsidP="004667C2">
            <w:pPr>
              <w:pStyle w:val="ListBullet3"/>
            </w:pPr>
            <w:r w:rsidRPr="004667C2">
              <w:t>Assessing risk</w:t>
            </w:r>
          </w:p>
          <w:p w:rsidR="00000000" w:rsidRPr="004667C2" w:rsidP="004667C2">
            <w:pPr>
              <w:pStyle w:val="ListBullet3"/>
            </w:pPr>
            <w:r w:rsidRPr="004667C2">
              <w:t>Assessment</w:t>
            </w:r>
          </w:p>
          <w:p w:rsidR="00000000" w:rsidRPr="004667C2" w:rsidP="004667C2">
            <w:pPr>
              <w:pStyle w:val="ListBullet3"/>
            </w:pPr>
            <w:r w:rsidRPr="004667C2">
              <w:t>Authorisation</w:t>
            </w:r>
          </w:p>
          <w:p w:rsidR="00000000" w:rsidRPr="004667C2" w:rsidP="004667C2">
            <w:pPr>
              <w:pStyle w:val="ListBullet3"/>
            </w:pPr>
            <w:r w:rsidRPr="004667C2">
              <w:t>Confined space</w:t>
            </w:r>
          </w:p>
          <w:p w:rsidR="00000000" w:rsidRPr="004667C2" w:rsidP="004667C2">
            <w:pPr>
              <w:pStyle w:val="ListBullet3"/>
            </w:pPr>
            <w:r w:rsidRPr="004667C2">
              <w:t>Diagnostic, testing and restoration</w:t>
            </w:r>
          </w:p>
          <w:p w:rsidR="00000000" w:rsidRPr="004667C2" w:rsidP="004667C2">
            <w:pPr>
              <w:pStyle w:val="ListBullet3"/>
            </w:pPr>
            <w:r w:rsidRPr="004667C2">
              <w:t>Documenting detail work events, record keeping and or storage of information</w:t>
            </w:r>
          </w:p>
          <w:p w:rsidR="00000000" w:rsidRPr="004667C2" w:rsidP="004667C2">
            <w:pPr>
              <w:pStyle w:val="ListBullet3"/>
            </w:pPr>
            <w:r w:rsidRPr="004667C2">
              <w:t>Drawings and specifications</w:t>
            </w:r>
          </w:p>
          <w:p w:rsidR="00000000" w:rsidRPr="004667C2" w:rsidP="004667C2">
            <w:pPr>
              <w:pStyle w:val="ListBullet3"/>
            </w:pPr>
            <w:r w:rsidRPr="004667C2">
              <w:t>Emergency</w:t>
            </w:r>
          </w:p>
          <w:p w:rsidR="00000000" w:rsidRPr="004667C2" w:rsidP="004667C2">
            <w:pPr>
              <w:pStyle w:val="ListBullet3"/>
            </w:pPr>
            <w:r w:rsidRPr="004667C2">
              <w:t>Environmental and sustainable energy procedures</w:t>
            </w:r>
          </w:p>
          <w:p w:rsidR="00000000" w:rsidRPr="004667C2" w:rsidP="004667C2">
            <w:pPr>
              <w:pStyle w:val="ListBullet3"/>
            </w:pPr>
            <w:r w:rsidRPr="004667C2">
              <w:t>Environmental legislation</w:t>
            </w:r>
          </w:p>
          <w:p w:rsidR="00000000" w:rsidRPr="004667C2" w:rsidP="004667C2">
            <w:pPr>
              <w:pStyle w:val="ListBullet3"/>
            </w:pPr>
            <w:r w:rsidRPr="004667C2">
              <w:t>En</w:t>
            </w:r>
            <w:r w:rsidRPr="004667C2">
              <w:t>vironmental management documentation</w:t>
            </w:r>
          </w:p>
          <w:p w:rsidR="00000000" w:rsidRPr="004667C2" w:rsidP="004667C2">
            <w:pPr>
              <w:pStyle w:val="ListBullet3"/>
            </w:pPr>
            <w:r w:rsidRPr="004667C2">
              <w:t>Established procedures</w:t>
            </w:r>
          </w:p>
          <w:p w:rsidR="00000000" w:rsidRPr="004667C2" w:rsidP="004667C2">
            <w:pPr>
              <w:pStyle w:val="ListBullet3"/>
            </w:pPr>
            <w:r w:rsidRPr="004667C2">
              <w:t>Fall prevention</w:t>
            </w:r>
          </w:p>
          <w:p w:rsidR="00000000" w:rsidRPr="004667C2" w:rsidP="004667C2">
            <w:pPr>
              <w:pStyle w:val="ListBullet3"/>
            </w:pPr>
            <w:r w:rsidRPr="004667C2">
              <w:t>Hazards</w:t>
            </w:r>
          </w:p>
          <w:p w:rsidR="00000000" w:rsidRPr="004667C2" w:rsidP="004667C2">
            <w:pPr>
              <w:pStyle w:val="ListBullet3"/>
            </w:pPr>
            <w:r w:rsidRPr="004667C2">
              <w:t>Identifying hazards</w:t>
            </w:r>
          </w:p>
          <w:p w:rsidR="00000000" w:rsidRPr="004667C2" w:rsidP="004667C2">
            <w:pPr>
              <w:pStyle w:val="ListBullet3"/>
            </w:pPr>
            <w:r w:rsidRPr="004667C2">
              <w:t>Inspect</w:t>
            </w:r>
          </w:p>
          <w:p w:rsidR="00000000" w:rsidRPr="004667C2" w:rsidP="004667C2">
            <w:pPr>
              <w:pStyle w:val="ListBullet3"/>
            </w:pPr>
            <w:r w:rsidRPr="004667C2">
              <w:t>Legislation</w:t>
            </w:r>
          </w:p>
          <w:p w:rsidR="00000000" w:rsidRPr="004667C2" w:rsidP="004667C2">
            <w:pPr>
              <w:pStyle w:val="ListBullet3"/>
            </w:pPr>
            <w:r w:rsidRPr="004667C2">
              <w:t>MSDS</w:t>
            </w:r>
          </w:p>
          <w:p w:rsidR="00000000" w:rsidRPr="004667C2" w:rsidP="004667C2">
            <w:pPr>
              <w:pStyle w:val="ListBullet3"/>
            </w:pPr>
            <w:r w:rsidRPr="004667C2">
              <w:t>Notification</w:t>
            </w:r>
          </w:p>
          <w:p w:rsidR="00000000" w:rsidRPr="004667C2" w:rsidP="004667C2">
            <w:pPr>
              <w:pStyle w:val="ListBullet3"/>
            </w:pPr>
            <w:r w:rsidRPr="004667C2">
              <w:t>OHS practices</w:t>
            </w:r>
          </w:p>
          <w:p w:rsidR="00000000" w:rsidRPr="004667C2" w:rsidP="004667C2">
            <w:pPr>
              <w:pStyle w:val="ListBullet3"/>
            </w:pPr>
            <w:r w:rsidRPr="004667C2">
              <w:t>OHS issues</w:t>
            </w:r>
          </w:p>
          <w:p w:rsidR="00000000" w:rsidRPr="004667C2" w:rsidP="004667C2">
            <w:pPr>
              <w:pStyle w:val="ListBullet3"/>
            </w:pPr>
            <w:r w:rsidRPr="004667C2">
              <w:t>Permits and/or permits to work</w:t>
            </w:r>
          </w:p>
          <w:p w:rsidR="00000000" w:rsidRPr="004667C2" w:rsidP="004667C2">
            <w:pPr>
              <w:pStyle w:val="ListBullet3"/>
            </w:pPr>
            <w:r w:rsidRPr="004667C2">
              <w:t>Personnel</w:t>
            </w:r>
          </w:p>
          <w:p w:rsidR="00000000" w:rsidRPr="004667C2" w:rsidP="004667C2">
            <w:pPr>
              <w:pStyle w:val="ListBullet3"/>
            </w:pPr>
            <w:r w:rsidRPr="004667C2">
              <w:t>Quality assurance systems</w:t>
            </w:r>
          </w:p>
          <w:p w:rsidR="00000000" w:rsidRPr="004667C2" w:rsidP="004667C2">
            <w:pPr>
              <w:pStyle w:val="ListBullet3"/>
            </w:pPr>
            <w:r w:rsidRPr="004667C2">
              <w:t>Requirements</w:t>
            </w:r>
          </w:p>
          <w:p w:rsidR="00000000" w:rsidRPr="004667C2" w:rsidP="004667C2">
            <w:pPr>
              <w:pStyle w:val="ListBullet3"/>
            </w:pPr>
            <w:r w:rsidRPr="004667C2">
              <w:t>Testing procedures</w:t>
            </w:r>
          </w:p>
          <w:p w:rsidR="00000000" w:rsidRPr="004667C2" w:rsidP="004667C2">
            <w:pPr>
              <w:pStyle w:val="ListBullet3"/>
            </w:pPr>
            <w:r w:rsidRPr="004667C2">
              <w:t>Work clearance systems</w:t>
            </w:r>
          </w:p>
        </w:tc>
      </w:tr>
    </w:tbl>
    <w:p w:rsidR="00000000" w:rsidRPr="004667C2" w:rsidP="004667C2">
      <w:pPr>
        <w:pStyle w:val="BodyText"/>
      </w:pPr>
    </w:p>
    <w:p w:rsidR="00000000" w:rsidRPr="004667C2" w:rsidP="004667C2">
      <w:pPr>
        <w:pStyle w:val="AllowPageBreak"/>
      </w:pPr>
    </w:p>
    <w:p w:rsidR="00000000" w:rsidRPr="004667C2" w:rsidP="004667C2">
      <w:pPr>
        <w:pStyle w:val="Heading1"/>
      </w:pPr>
      <w:bookmarkStart w:id="12" w:name="O_465053"/>
      <w:bookmarkEnd w:id="12"/>
      <w:r w:rsidRPr="004667C2">
        <w:t>Unit Sector(s)</w:t>
      </w:r>
    </w:p>
    <w:p w:rsidR="00000000" w:rsidRPr="004667C2" w:rsidP="004667C2">
      <w:pPr>
        <w:pStyle w:val="BodyText"/>
      </w:pPr>
      <w:r w:rsidRPr="004667C2">
        <w:t>Not applicable.</w:t>
      </w:r>
    </w:p>
    <w:p w:rsidR="00000000" w:rsidRPr="004667C2" w:rsidP="004667C2">
      <w:pPr>
        <w:pStyle w:val="AllowPageBreak"/>
      </w:pPr>
    </w:p>
    <w:p w:rsidR="00000000" w:rsidRPr="004667C2" w:rsidP="004667C2">
      <w:pPr>
        <w:pStyle w:val="Heading1"/>
      </w:pPr>
      <w:bookmarkStart w:id="13" w:name="O_465042"/>
      <w:bookmarkEnd w:id="13"/>
      <w:r w:rsidRPr="004667C2">
        <w:t>Competency Field</w:t>
      </w:r>
    </w:p>
    <w:tbl>
      <w:tblPr>
        <w:tblW w:w="0" w:type="auto"/>
        <w:tblLayout w:type="fixed"/>
        <w:tblCellMar>
          <w:left w:w="62" w:type="dxa"/>
          <w:right w:w="62" w:type="dxa"/>
        </w:tblCellMar>
        <w:tblLook w:val="0000"/>
      </w:tblPr>
      <w:tblGrid>
        <w:gridCol w:w="2700"/>
        <w:gridCol w:w="5760"/>
      </w:tblGrid>
      <w:tr w:rsidTr="00FB33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667C2">
            <w:pPr>
              <w:pStyle w:val="BodyText"/>
              <w:rPr>
                <w:lang w:val="en-NZ"/>
              </w:rPr>
            </w:pPr>
            <w:r w:rsidRPr="004667C2">
              <w:rPr>
                <w:rStyle w:val="SpecialBold"/>
              </w:rPr>
              <w:t xml:space="preserve">11) </w:t>
            </w:r>
          </w:p>
        </w:tc>
      </w:tr>
      <w:tr w:rsidTr="00FB33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67C2" w:rsidP="004667C2">
            <w:pPr>
              <w:pStyle w:val="BodyText"/>
            </w:pPr>
            <w:r w:rsidRPr="004667C2">
              <w:t>System Operation Units</w:t>
            </w:r>
          </w:p>
        </w:tc>
      </w:tr>
    </w:tbl>
    <w:p w:rsidR="00000000" w:rsidRPr="004667C2" w:rsidP="004667C2">
      <w:pPr>
        <w:pStyle w:val="BodyText"/>
      </w:pPr>
    </w:p>
    <w:p w:rsidR="00000000" w:rsidRPr="004667C2" w:rsidP="004667C2"/>
    <w:sectPr w:rsidSect="004667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3320" w:rsidP="00FB33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20" w:rsidP="004667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B3320" w:rsidP="004667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B3320" w:rsidP="004667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3320" w:rsidP="00FB33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20" w:rsidP="004667C2">
    <w:pPr>
      <w:pStyle w:val="Header"/>
      <w:framePr w:wrap="around"/>
    </w:pPr>
    <w:r>
      <w:fldChar w:fldCharType="begin"/>
    </w:r>
    <w:r>
      <w:instrText xml:space="preserve"> TITLE   \* MERGEFORMAT </w:instrText>
    </w:r>
    <w:r>
      <w:fldChar w:fldCharType="separate"/>
    </w:r>
    <w:r>
      <w:t>UETTDRSO41A Manage power systems 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3320" w:rsidP="004667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346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E43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485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7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67C2"/>
    <w:pPr>
      <w:spacing w:before="360" w:after="60"/>
      <w:outlineLvl w:val="0"/>
    </w:pPr>
    <w:rPr>
      <w:sz w:val="32"/>
    </w:rPr>
  </w:style>
  <w:style w:type="paragraph" w:styleId="Heading2">
    <w:name w:val="heading 2"/>
    <w:basedOn w:val="HeadingBase"/>
    <w:next w:val="BodyText"/>
    <w:link w:val="Heading2Char"/>
    <w:qFormat/>
    <w:rsid w:val="004667C2"/>
    <w:pPr>
      <w:keepLines/>
      <w:spacing w:before="240" w:after="120"/>
      <w:outlineLvl w:val="1"/>
    </w:pPr>
    <w:rPr>
      <w:sz w:val="28"/>
      <w:szCs w:val="40"/>
    </w:rPr>
  </w:style>
  <w:style w:type="paragraph" w:styleId="Heading3">
    <w:name w:val="heading 3"/>
    <w:basedOn w:val="HeadingBase"/>
    <w:next w:val="BodyText"/>
    <w:link w:val="Heading3Char"/>
    <w:qFormat/>
    <w:rsid w:val="004667C2"/>
    <w:pPr>
      <w:spacing w:before="180" w:after="120"/>
      <w:outlineLvl w:val="2"/>
    </w:pPr>
    <w:rPr>
      <w:spacing w:val="-10"/>
      <w:kern w:val="32"/>
    </w:rPr>
  </w:style>
  <w:style w:type="paragraph" w:styleId="Heading4">
    <w:name w:val="heading 4"/>
    <w:basedOn w:val="HeadingBase"/>
    <w:next w:val="BodyText"/>
    <w:link w:val="Heading4Char"/>
    <w:qFormat/>
    <w:rsid w:val="004667C2"/>
    <w:pPr>
      <w:spacing w:before="160" w:after="120"/>
      <w:outlineLvl w:val="3"/>
    </w:pPr>
    <w:rPr>
      <w:sz w:val="22"/>
    </w:rPr>
  </w:style>
  <w:style w:type="paragraph" w:styleId="Heading5">
    <w:name w:val="heading 5"/>
    <w:basedOn w:val="HeadingBase"/>
    <w:next w:val="Normal"/>
    <w:link w:val="Heading5Char"/>
    <w:qFormat/>
    <w:rsid w:val="004667C2"/>
    <w:pPr>
      <w:spacing w:before="80"/>
      <w:outlineLvl w:val="4"/>
    </w:pPr>
    <w:rPr>
      <w:color w:val="918585"/>
      <w:sz w:val="20"/>
    </w:rPr>
  </w:style>
  <w:style w:type="paragraph" w:styleId="Heading6">
    <w:name w:val="heading 6"/>
    <w:basedOn w:val="HeadingBase"/>
    <w:next w:val="Normal"/>
    <w:link w:val="Heading6Char"/>
    <w:qFormat/>
    <w:rsid w:val="004667C2"/>
    <w:pPr>
      <w:spacing w:before="60"/>
      <w:outlineLvl w:val="5"/>
    </w:pPr>
    <w:rPr>
      <w:color w:val="918585"/>
      <w:sz w:val="20"/>
    </w:rPr>
  </w:style>
  <w:style w:type="paragraph" w:styleId="Heading7">
    <w:name w:val="heading 7"/>
    <w:basedOn w:val="Normal"/>
    <w:next w:val="Normal"/>
    <w:link w:val="Heading7Char"/>
    <w:qFormat/>
    <w:rsid w:val="004667C2"/>
    <w:pPr>
      <w:ind w:left="720"/>
      <w:outlineLvl w:val="6"/>
    </w:pPr>
    <w:rPr>
      <w:i/>
    </w:rPr>
  </w:style>
  <w:style w:type="paragraph" w:styleId="Heading8">
    <w:name w:val="heading 8"/>
    <w:basedOn w:val="Normal"/>
    <w:next w:val="Normal"/>
    <w:link w:val="Heading8Char"/>
    <w:qFormat/>
    <w:rsid w:val="004667C2"/>
    <w:pPr>
      <w:ind w:left="720"/>
      <w:outlineLvl w:val="7"/>
    </w:pPr>
    <w:rPr>
      <w:i/>
    </w:rPr>
  </w:style>
  <w:style w:type="paragraph" w:styleId="Heading9">
    <w:name w:val="heading 9"/>
    <w:basedOn w:val="Normal"/>
    <w:next w:val="Normal"/>
    <w:link w:val="Heading9Char"/>
    <w:qFormat/>
    <w:rsid w:val="004667C2"/>
    <w:pPr>
      <w:ind w:left="720"/>
      <w:outlineLvl w:val="8"/>
    </w:pPr>
    <w:rPr>
      <w:i/>
    </w:rPr>
  </w:style>
  <w:style w:type="character" w:default="1" w:styleId="DefaultParagraphFont">
    <w:name w:val="Default Paragraph Font"/>
    <w:uiPriority w:val="1"/>
    <w:unhideWhenUsed/>
    <w:rsid w:val="00466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7C2"/>
  </w:style>
  <w:style w:type="character" w:customStyle="1" w:styleId="Heading1Char">
    <w:name w:val="Heading 1 Char"/>
    <w:basedOn w:val="DefaultParagraphFont"/>
    <w:link w:val="Heading1"/>
    <w:rsid w:val="004667C2"/>
    <w:rPr>
      <w:rFonts w:ascii="Times New Roman" w:eastAsia="Times New Roman" w:hAnsi="Times New Roman" w:cs="Times New Roman"/>
      <w:b/>
      <w:sz w:val="32"/>
      <w:szCs w:val="20"/>
      <w:lang w:eastAsia="en-US"/>
    </w:rPr>
  </w:style>
  <w:style w:type="paragraph" w:styleId="BodyText">
    <w:name w:val="Body Text"/>
    <w:basedOn w:val="Normal"/>
    <w:link w:val="BodyTextChar"/>
    <w:rsid w:val="004667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67C2"/>
    <w:rPr>
      <w:rFonts w:ascii="Times New Roman" w:eastAsia="Times New Roman" w:hAnsi="Times New Roman" w:cs="Times New Roman"/>
      <w:sz w:val="24"/>
      <w:lang w:val="en-US" w:eastAsia="en-US"/>
    </w:rPr>
  </w:style>
  <w:style w:type="paragraph" w:styleId="Footer">
    <w:name w:val="footer"/>
    <w:basedOn w:val="Normal"/>
    <w:link w:val="FooterChar"/>
    <w:rsid w:val="00466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7C2"/>
    <w:rPr>
      <w:rFonts w:ascii="Times New Roman" w:eastAsia="Times New Roman" w:hAnsi="Times New Roman" w:cs="Times New Roman"/>
      <w:sz w:val="16"/>
      <w:lang w:val="en-US" w:eastAsia="en-US"/>
    </w:rPr>
  </w:style>
  <w:style w:type="paragraph" w:styleId="ListBullet">
    <w:name w:val="List Bullet"/>
    <w:basedOn w:val="List"/>
    <w:rsid w:val="004667C2"/>
    <w:pPr>
      <w:numPr>
        <w:numId w:val="14"/>
      </w:numPr>
      <w:tabs>
        <w:tab w:val="clear" w:pos="340"/>
      </w:tabs>
      <w:spacing w:before="40" w:after="40"/>
    </w:pPr>
  </w:style>
  <w:style w:type="character" w:customStyle="1" w:styleId="SpecialBold">
    <w:name w:val="Special Bold"/>
    <w:basedOn w:val="DefaultParagraphFont"/>
    <w:rsid w:val="004667C2"/>
    <w:rPr>
      <w:b/>
      <w:spacing w:val="0"/>
    </w:rPr>
  </w:style>
  <w:style w:type="paragraph" w:styleId="ListBullet2">
    <w:name w:val="List Bullet 2"/>
    <w:basedOn w:val="List2"/>
    <w:rsid w:val="004667C2"/>
    <w:pPr>
      <w:numPr>
        <w:numId w:val="15"/>
      </w:numPr>
      <w:tabs>
        <w:tab w:val="clear" w:pos="680"/>
      </w:tabs>
    </w:pPr>
  </w:style>
  <w:style w:type="paragraph" w:styleId="Header">
    <w:name w:val="header"/>
    <w:basedOn w:val="Normal"/>
    <w:link w:val="HeaderChar"/>
    <w:rsid w:val="00466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7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67C2"/>
    <w:pPr>
      <w:spacing w:before="240" w:after="120"/>
      <w:outlineLvl w:val="0"/>
    </w:pPr>
    <w:rPr>
      <w:rFonts w:ascii="Times New Roman" w:hAnsi="Times New Roman"/>
      <w:b/>
      <w:sz w:val="28"/>
    </w:rPr>
  </w:style>
  <w:style w:type="paragraph" w:customStyle="1" w:styleId="AllowPageBreak">
    <w:name w:val="AllowPageBreak"/>
    <w:rsid w:val="004667C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67C2"/>
    <w:pPr>
      <w:numPr>
        <w:numId w:val="3"/>
      </w:numPr>
      <w:tabs>
        <w:tab w:val="clear" w:pos="1021"/>
      </w:tabs>
      <w:ind w:left="1037" w:hanging="357"/>
    </w:pPr>
  </w:style>
  <w:style w:type="character" w:customStyle="1" w:styleId="Heading2Char">
    <w:name w:val="Heading 2 Char"/>
    <w:basedOn w:val="DefaultParagraphFont"/>
    <w:link w:val="Heading2"/>
    <w:rsid w:val="00466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7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7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7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67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67C2"/>
    <w:rPr>
      <w:rFonts w:ascii="Courier New" w:eastAsia="Times New Roman" w:hAnsi="Courier New" w:cs="Times New Roman"/>
      <w:i/>
      <w:szCs w:val="20"/>
      <w:lang w:val="en-US" w:eastAsia="en-US"/>
    </w:rPr>
  </w:style>
  <w:style w:type="paragraph" w:customStyle="1" w:styleId="HeadingBase">
    <w:name w:val="Heading Base"/>
    <w:rsid w:val="00466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7C2"/>
    <w:pPr>
      <w:tabs>
        <w:tab w:val="right" w:leader="dot" w:pos="9072"/>
      </w:tabs>
      <w:ind w:left="567"/>
    </w:pPr>
    <w:rPr>
      <w:szCs w:val="22"/>
    </w:rPr>
  </w:style>
  <w:style w:type="paragraph" w:customStyle="1" w:styleId="TOCBase">
    <w:name w:val="TOC Base"/>
    <w:rsid w:val="00466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7C2"/>
    <w:pPr>
      <w:tabs>
        <w:tab w:val="right" w:leader="dot" w:pos="9072"/>
      </w:tabs>
      <w:spacing w:before="40" w:after="40"/>
      <w:ind w:left="284"/>
    </w:pPr>
    <w:rPr>
      <w:rFonts w:ascii="Times New Roman" w:hAnsi="Times New Roman"/>
    </w:rPr>
  </w:style>
  <w:style w:type="paragraph" w:styleId="TOC1">
    <w:name w:val="toc 1"/>
    <w:basedOn w:val="TOCBase"/>
    <w:next w:val="Normal"/>
    <w:rsid w:val="004667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67C2"/>
    <w:pPr>
      <w:spacing w:before="5040"/>
      <w:jc w:val="center"/>
    </w:pPr>
    <w:rPr>
      <w:sz w:val="48"/>
      <w:szCs w:val="72"/>
      <w:lang w:val="en-US"/>
    </w:rPr>
  </w:style>
  <w:style w:type="character" w:customStyle="1" w:styleId="TitleChar">
    <w:name w:val="Title Char"/>
    <w:basedOn w:val="DefaultParagraphFont"/>
    <w:link w:val="Title"/>
    <w:rsid w:val="00466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7C2"/>
    <w:pPr>
      <w:tabs>
        <w:tab w:val="left" w:pos="3600"/>
        <w:tab w:val="left" w:pos="3958"/>
      </w:tabs>
    </w:pPr>
  </w:style>
  <w:style w:type="paragraph" w:styleId="List">
    <w:name w:val="List"/>
    <w:basedOn w:val="BodyText"/>
    <w:next w:val="BodyText"/>
    <w:rsid w:val="004667C2"/>
    <w:pPr>
      <w:tabs>
        <w:tab w:val="left" w:pos="340"/>
      </w:tabs>
      <w:spacing w:before="60" w:after="60"/>
      <w:ind w:left="340" w:hanging="340"/>
    </w:pPr>
  </w:style>
  <w:style w:type="paragraph" w:customStyle="1" w:styleId="Note">
    <w:name w:val="Note"/>
    <w:basedOn w:val="BodyText"/>
    <w:rsid w:val="004667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7C2"/>
    <w:pPr>
      <w:framePr w:wrap="auto" w:hAnchor="text" w:y="6049"/>
    </w:pPr>
    <w:rPr>
      <w:color w:val="000000"/>
      <w:sz w:val="40"/>
    </w:rPr>
  </w:style>
  <w:style w:type="paragraph" w:customStyle="1" w:styleId="TOCTitle">
    <w:name w:val="TOCTitle"/>
    <w:basedOn w:val="Heading1"/>
    <w:rsid w:val="004667C2"/>
    <w:pPr>
      <w:spacing w:after="240"/>
      <w:jc w:val="center"/>
      <w:outlineLvl w:val="9"/>
    </w:pPr>
    <w:rPr>
      <w:caps/>
    </w:rPr>
  </w:style>
  <w:style w:type="paragraph" w:customStyle="1" w:styleId="Version">
    <w:name w:val="Version"/>
    <w:rsid w:val="004667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7C2"/>
    <w:pPr>
      <w:keepNext w:val="0"/>
      <w:tabs>
        <w:tab w:val="right" w:pos="4176"/>
      </w:tabs>
      <w:ind w:left="198" w:hanging="198"/>
    </w:pPr>
    <w:rPr>
      <w:rFonts w:ascii="Garamond" w:hAnsi="Garamond"/>
    </w:rPr>
  </w:style>
  <w:style w:type="paragraph" w:styleId="IndexHeading">
    <w:name w:val="index heading"/>
    <w:basedOn w:val="Normal"/>
    <w:next w:val="Index1"/>
    <w:semiHidden/>
    <w:rsid w:val="004667C2"/>
    <w:pPr>
      <w:spacing w:before="120" w:after="120"/>
    </w:pPr>
    <w:rPr>
      <w:rFonts w:ascii="Arial" w:hAnsi="Arial"/>
      <w:b/>
      <w:color w:val="918585"/>
      <w:sz w:val="24"/>
    </w:rPr>
  </w:style>
  <w:style w:type="paragraph" w:customStyle="1" w:styleId="Chapter">
    <w:name w:val="Chapter"/>
    <w:basedOn w:val="Normal"/>
    <w:rsid w:val="004667C2"/>
    <w:pPr>
      <w:spacing w:before="240"/>
    </w:pPr>
    <w:rPr>
      <w:rFonts w:ascii="Times New Roman" w:hAnsi="Times New Roman"/>
      <w:smallCaps/>
      <w:spacing w:val="80"/>
      <w:sz w:val="28"/>
    </w:rPr>
  </w:style>
  <w:style w:type="paragraph" w:customStyle="1" w:styleId="InChapter">
    <w:name w:val="InChapter"/>
    <w:basedOn w:val="Heading3"/>
    <w:rsid w:val="004667C2"/>
    <w:pPr>
      <w:spacing w:after="240"/>
      <w:outlineLvl w:val="9"/>
    </w:pPr>
    <w:rPr>
      <w:noProof/>
    </w:rPr>
  </w:style>
  <w:style w:type="paragraph" w:styleId="Index2">
    <w:name w:val="index 2"/>
    <w:basedOn w:val="Normal"/>
    <w:next w:val="Normal"/>
    <w:semiHidden/>
    <w:rsid w:val="004667C2"/>
    <w:pPr>
      <w:tabs>
        <w:tab w:val="right" w:pos="4176"/>
      </w:tabs>
      <w:ind w:left="568" w:hanging="284"/>
    </w:pPr>
    <w:rPr>
      <w:rFonts w:ascii="Garamond" w:hAnsi="Garamond"/>
    </w:rPr>
  </w:style>
  <w:style w:type="paragraph" w:customStyle="1" w:styleId="Byline">
    <w:name w:val="Byline"/>
    <w:rsid w:val="00466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7C2"/>
    <w:pPr>
      <w:tabs>
        <w:tab w:val="clear" w:pos="3600"/>
        <w:tab w:val="clear" w:pos="3958"/>
      </w:tabs>
      <w:jc w:val="right"/>
    </w:pPr>
  </w:style>
  <w:style w:type="character" w:styleId="Emphasis">
    <w:name w:val="Emphasis"/>
    <w:basedOn w:val="DefaultParagraphFont"/>
    <w:qFormat/>
    <w:rsid w:val="004667C2"/>
    <w:rPr>
      <w:i/>
    </w:rPr>
  </w:style>
  <w:style w:type="paragraph" w:styleId="Caption">
    <w:name w:val="caption"/>
    <w:basedOn w:val="BodyText"/>
    <w:next w:val="Normal"/>
    <w:qFormat/>
    <w:rsid w:val="004667C2"/>
    <w:pPr>
      <w:framePr w:w="2268" w:hSpace="181" w:vSpace="181" w:wrap="around" w:vAnchor="text" w:hAnchor="page" w:x="1135" w:y="285" w:anchorLock="1"/>
    </w:pPr>
    <w:rPr>
      <w:i/>
    </w:rPr>
  </w:style>
  <w:style w:type="paragraph" w:customStyle="1" w:styleId="MiniTOCTitle">
    <w:name w:val="MiniTOCTitle"/>
    <w:basedOn w:val="Heading4"/>
    <w:rsid w:val="004667C2"/>
    <w:pPr>
      <w:spacing w:before="240"/>
      <w:outlineLvl w:val="9"/>
    </w:pPr>
    <w:rPr>
      <w:noProof/>
      <w:sz w:val="24"/>
    </w:rPr>
  </w:style>
  <w:style w:type="paragraph" w:customStyle="1" w:styleId="MiniTOCItem">
    <w:name w:val="MiniTOCItem"/>
    <w:basedOn w:val="ListBullet"/>
    <w:rsid w:val="004667C2"/>
    <w:pPr>
      <w:numPr>
        <w:numId w:val="0"/>
      </w:numPr>
      <w:tabs>
        <w:tab w:val="right" w:leader="dot" w:pos="6521"/>
      </w:tabs>
      <w:spacing w:before="0" w:after="0"/>
    </w:pPr>
  </w:style>
  <w:style w:type="paragraph" w:customStyle="1" w:styleId="TOFTitle">
    <w:name w:val="TOFTitle"/>
    <w:basedOn w:val="TOCTitle"/>
    <w:rsid w:val="004667C2"/>
  </w:style>
  <w:style w:type="paragraph" w:styleId="TableofFigures">
    <w:name w:val="table of figures"/>
    <w:basedOn w:val="Normal"/>
    <w:next w:val="Normal"/>
    <w:semiHidden/>
    <w:rsid w:val="004667C2"/>
    <w:pPr>
      <w:tabs>
        <w:tab w:val="right" w:leader="dot" w:pos="9072"/>
      </w:tabs>
      <w:ind w:left="970" w:hanging="403"/>
    </w:pPr>
    <w:rPr>
      <w:rFonts w:ascii="Times New Roman" w:hAnsi="Times New Roman"/>
      <w:b/>
    </w:rPr>
  </w:style>
  <w:style w:type="paragraph" w:styleId="ListNumber">
    <w:name w:val="List Number"/>
    <w:basedOn w:val="List"/>
    <w:rsid w:val="004667C2"/>
    <w:pPr>
      <w:numPr>
        <w:numId w:val="12"/>
      </w:numPr>
    </w:pPr>
  </w:style>
  <w:style w:type="character" w:customStyle="1" w:styleId="WingdingSymbols">
    <w:name w:val="Wingding Symbols"/>
    <w:rsid w:val="004667C2"/>
    <w:rPr>
      <w:rFonts w:ascii="Wingdings" w:hAnsi="Wingdings"/>
    </w:rPr>
  </w:style>
  <w:style w:type="paragraph" w:customStyle="1" w:styleId="TableHeading">
    <w:name w:val="Table Heading"/>
    <w:basedOn w:val="HeadingBase"/>
    <w:rsid w:val="004667C2"/>
    <w:pPr>
      <w:keepLines/>
      <w:pBdr>
        <w:bottom w:val="single" w:sz="6" w:space="1" w:color="918585"/>
      </w:pBdr>
      <w:spacing w:before="240"/>
    </w:pPr>
  </w:style>
  <w:style w:type="character" w:customStyle="1" w:styleId="HotSpot">
    <w:name w:val="HotSpot"/>
    <w:rsid w:val="004667C2"/>
    <w:rPr>
      <w:color w:val="0033CC"/>
      <w:u w:val="none"/>
    </w:rPr>
  </w:style>
  <w:style w:type="paragraph" w:customStyle="1" w:styleId="BodyTextRight">
    <w:name w:val="Body Text Right"/>
    <w:basedOn w:val="BodyText"/>
    <w:rsid w:val="004667C2"/>
    <w:pPr>
      <w:spacing w:before="0" w:after="0"/>
      <w:jc w:val="right"/>
    </w:pPr>
  </w:style>
  <w:style w:type="paragraph" w:styleId="Index3">
    <w:name w:val="index 3"/>
    <w:basedOn w:val="ListNumber2"/>
    <w:next w:val="Normal"/>
    <w:semiHidden/>
    <w:rsid w:val="004667C2"/>
    <w:pPr>
      <w:numPr>
        <w:numId w:val="0"/>
      </w:numPr>
      <w:tabs>
        <w:tab w:val="right" w:leader="dot" w:pos="4176"/>
      </w:tabs>
    </w:pPr>
  </w:style>
  <w:style w:type="paragraph" w:styleId="ListNumber2">
    <w:name w:val="List Number 2"/>
    <w:basedOn w:val="List2"/>
    <w:rsid w:val="004667C2"/>
    <w:pPr>
      <w:numPr>
        <w:numId w:val="11"/>
      </w:numPr>
      <w:tabs>
        <w:tab w:val="clear" w:pos="1060"/>
      </w:tabs>
    </w:pPr>
  </w:style>
  <w:style w:type="paragraph" w:customStyle="1" w:styleId="MarginNote">
    <w:name w:val="Margin Note"/>
    <w:basedOn w:val="BodyText"/>
    <w:rsid w:val="00466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7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67C2"/>
    <w:rPr>
      <w:sz w:val="32"/>
    </w:rPr>
  </w:style>
  <w:style w:type="paragraph" w:customStyle="1" w:styleId="HeadingProcedure">
    <w:name w:val="Heading Procedure"/>
    <w:basedOn w:val="HeadingBase"/>
    <w:next w:val="Normal"/>
    <w:rsid w:val="004667C2"/>
    <w:pPr>
      <w:tabs>
        <w:tab w:val="left" w:pos="0"/>
      </w:tabs>
      <w:spacing w:before="120" w:after="60"/>
    </w:pPr>
    <w:rPr>
      <w:i/>
      <w:color w:val="918585"/>
      <w:sz w:val="22"/>
    </w:rPr>
  </w:style>
  <w:style w:type="paragraph" w:customStyle="1" w:styleId="TableBodyText">
    <w:name w:val="Table Body Text"/>
    <w:basedOn w:val="BodyText"/>
    <w:rsid w:val="004667C2"/>
    <w:pPr>
      <w:spacing w:before="60" w:after="60"/>
    </w:pPr>
  </w:style>
  <w:style w:type="paragraph" w:styleId="ListContinue">
    <w:name w:val="List Continue"/>
    <w:basedOn w:val="List"/>
    <w:rsid w:val="004667C2"/>
    <w:pPr>
      <w:ind w:firstLine="0"/>
    </w:pPr>
  </w:style>
  <w:style w:type="paragraph" w:customStyle="1" w:styleId="ListNote">
    <w:name w:val="List Note"/>
    <w:basedOn w:val="List"/>
    <w:rsid w:val="004667C2"/>
    <w:pPr>
      <w:pBdr>
        <w:top w:val="single" w:sz="6" w:space="2" w:color="918585"/>
        <w:bottom w:val="single" w:sz="6" w:space="2" w:color="918585"/>
      </w:pBdr>
      <w:tabs>
        <w:tab w:val="left" w:pos="1021"/>
      </w:tabs>
      <w:ind w:firstLine="0"/>
    </w:pPr>
  </w:style>
  <w:style w:type="paragraph" w:customStyle="1" w:styleId="Warning">
    <w:name w:val="Warning"/>
    <w:basedOn w:val="BodyText"/>
    <w:rsid w:val="004667C2"/>
    <w:pPr>
      <w:shd w:val="clear" w:color="auto" w:fill="D9D9D9"/>
      <w:tabs>
        <w:tab w:val="left" w:pos="992"/>
      </w:tabs>
      <w:ind w:left="119" w:right="119"/>
    </w:pPr>
    <w:rPr>
      <w:sz w:val="20"/>
    </w:rPr>
  </w:style>
  <w:style w:type="paragraph" w:customStyle="1" w:styleId="MarginIcons">
    <w:name w:val="Margin Icons"/>
    <w:basedOn w:val="BodyText"/>
    <w:rsid w:val="00466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7C2"/>
    <w:rPr>
      <w:rFonts w:ascii="Courier New" w:hAnsi="Courier New"/>
    </w:rPr>
  </w:style>
  <w:style w:type="paragraph" w:customStyle="1" w:styleId="NoteBullet">
    <w:name w:val="Note Bullet"/>
    <w:basedOn w:val="Note"/>
    <w:rsid w:val="004667C2"/>
    <w:pPr>
      <w:tabs>
        <w:tab w:val="clear" w:pos="680"/>
      </w:tabs>
      <w:spacing w:before="60" w:after="60"/>
    </w:pPr>
  </w:style>
  <w:style w:type="paragraph" w:customStyle="1" w:styleId="SubHeading2">
    <w:name w:val="SubHeading2"/>
    <w:basedOn w:val="HeadingBase"/>
    <w:rsid w:val="004667C2"/>
    <w:pPr>
      <w:spacing w:before="240" w:after="60"/>
    </w:pPr>
    <w:rPr>
      <w:sz w:val="20"/>
    </w:rPr>
  </w:style>
  <w:style w:type="paragraph" w:customStyle="1" w:styleId="SubHeading1">
    <w:name w:val="SubHeading1"/>
    <w:basedOn w:val="HeadingBase"/>
    <w:rsid w:val="004667C2"/>
    <w:pPr>
      <w:spacing w:before="240" w:after="60"/>
    </w:pPr>
    <w:rPr>
      <w:color w:val="918585"/>
      <w:sz w:val="22"/>
    </w:rPr>
  </w:style>
  <w:style w:type="paragraph" w:customStyle="1" w:styleId="SideHeading">
    <w:name w:val="Side Heading"/>
    <w:basedOn w:val="HeadingBase"/>
    <w:rsid w:val="00466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7C2"/>
    <w:pPr>
      <w:numPr>
        <w:numId w:val="13"/>
      </w:numPr>
    </w:pPr>
  </w:style>
  <w:style w:type="paragraph" w:styleId="PlainText">
    <w:name w:val="Plain Text"/>
    <w:basedOn w:val="Normal"/>
    <w:link w:val="PlainTextChar"/>
    <w:rsid w:val="004667C2"/>
    <w:rPr>
      <w:sz w:val="20"/>
    </w:rPr>
  </w:style>
  <w:style w:type="character" w:customStyle="1" w:styleId="PlainTextChar">
    <w:name w:val="Plain Text Char"/>
    <w:basedOn w:val="DefaultParagraphFont"/>
    <w:link w:val="PlainText"/>
    <w:rsid w:val="004667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67C2"/>
    <w:rPr>
      <w:b/>
      <w:smallCaps/>
    </w:rPr>
  </w:style>
  <w:style w:type="paragraph" w:customStyle="1" w:styleId="TableListNumber">
    <w:name w:val="Table List Number"/>
    <w:basedOn w:val="ListNumber"/>
    <w:rsid w:val="004667C2"/>
    <w:pPr>
      <w:numPr>
        <w:numId w:val="0"/>
      </w:numPr>
    </w:pPr>
  </w:style>
  <w:style w:type="paragraph" w:styleId="TOC4">
    <w:name w:val="toc 4"/>
    <w:basedOn w:val="TOCBase"/>
    <w:next w:val="Normal"/>
    <w:semiHidden/>
    <w:rsid w:val="004667C2"/>
    <w:pPr>
      <w:tabs>
        <w:tab w:val="right" w:leader="dot" w:pos="9071"/>
      </w:tabs>
      <w:ind w:left="1701"/>
    </w:pPr>
  </w:style>
  <w:style w:type="paragraph" w:customStyle="1" w:styleId="ListAlpha">
    <w:name w:val="List Alpha"/>
    <w:basedOn w:val="List"/>
    <w:rsid w:val="004667C2"/>
    <w:pPr>
      <w:numPr>
        <w:numId w:val="10"/>
      </w:numPr>
    </w:pPr>
  </w:style>
  <w:style w:type="paragraph" w:customStyle="1" w:styleId="ListAlpha2">
    <w:name w:val="List Alpha 2"/>
    <w:basedOn w:val="List2"/>
    <w:rsid w:val="004667C2"/>
    <w:pPr>
      <w:numPr>
        <w:numId w:val="9"/>
      </w:numPr>
    </w:pPr>
  </w:style>
  <w:style w:type="paragraph" w:styleId="List2">
    <w:name w:val="List 2"/>
    <w:basedOn w:val="BodyText"/>
    <w:rsid w:val="004667C2"/>
    <w:pPr>
      <w:tabs>
        <w:tab w:val="left" w:pos="680"/>
      </w:tabs>
      <w:spacing w:before="60" w:after="60"/>
      <w:ind w:left="680" w:hanging="340"/>
    </w:pPr>
  </w:style>
  <w:style w:type="paragraph" w:styleId="List3">
    <w:name w:val="List 3"/>
    <w:basedOn w:val="BodyText"/>
    <w:rsid w:val="004667C2"/>
    <w:pPr>
      <w:tabs>
        <w:tab w:val="left" w:pos="1021"/>
      </w:tabs>
      <w:spacing w:before="60" w:after="60"/>
      <w:ind w:left="1020" w:hanging="340"/>
    </w:pPr>
  </w:style>
  <w:style w:type="paragraph" w:styleId="List4">
    <w:name w:val="List 4"/>
    <w:basedOn w:val="BodyText"/>
    <w:rsid w:val="004667C2"/>
    <w:pPr>
      <w:tabs>
        <w:tab w:val="left" w:pos="1361"/>
      </w:tabs>
      <w:spacing w:before="60" w:after="60"/>
      <w:ind w:left="1361" w:hanging="340"/>
    </w:pPr>
  </w:style>
  <w:style w:type="paragraph" w:styleId="List5">
    <w:name w:val="List 5"/>
    <w:basedOn w:val="BodyText"/>
    <w:rsid w:val="004667C2"/>
    <w:pPr>
      <w:tabs>
        <w:tab w:val="left" w:pos="1701"/>
      </w:tabs>
      <w:spacing w:before="60" w:after="60"/>
      <w:ind w:left="1701" w:hanging="340"/>
    </w:pPr>
  </w:style>
  <w:style w:type="paragraph" w:styleId="ListBullet4">
    <w:name w:val="List Bullet 4"/>
    <w:basedOn w:val="List4"/>
    <w:rsid w:val="004667C2"/>
    <w:pPr>
      <w:numPr>
        <w:numId w:val="4"/>
      </w:numPr>
    </w:pPr>
  </w:style>
  <w:style w:type="paragraph" w:styleId="ListBullet5">
    <w:name w:val="List Bullet 5"/>
    <w:basedOn w:val="List5"/>
    <w:rsid w:val="004667C2"/>
    <w:pPr>
      <w:numPr>
        <w:numId w:val="5"/>
      </w:numPr>
    </w:pPr>
  </w:style>
  <w:style w:type="paragraph" w:styleId="ListContinue2">
    <w:name w:val="List Continue 2"/>
    <w:basedOn w:val="List2"/>
    <w:rsid w:val="004667C2"/>
    <w:pPr>
      <w:ind w:firstLine="0"/>
    </w:pPr>
  </w:style>
  <w:style w:type="paragraph" w:styleId="ListContinue3">
    <w:name w:val="List Continue 3"/>
    <w:basedOn w:val="List3"/>
    <w:rsid w:val="004667C2"/>
    <w:pPr>
      <w:ind w:left="1021" w:firstLine="0"/>
    </w:pPr>
  </w:style>
  <w:style w:type="paragraph" w:styleId="ListContinue4">
    <w:name w:val="List Continue 4"/>
    <w:basedOn w:val="List4"/>
    <w:rsid w:val="004667C2"/>
    <w:pPr>
      <w:ind w:firstLine="0"/>
    </w:pPr>
  </w:style>
  <w:style w:type="paragraph" w:styleId="ListContinue5">
    <w:name w:val="List Continue 5"/>
    <w:basedOn w:val="List5"/>
    <w:rsid w:val="004667C2"/>
    <w:pPr>
      <w:ind w:firstLine="0"/>
    </w:pPr>
  </w:style>
  <w:style w:type="paragraph" w:styleId="ListNumber3">
    <w:name w:val="List Number 3"/>
    <w:basedOn w:val="List3"/>
    <w:rsid w:val="004667C2"/>
    <w:pPr>
      <w:numPr>
        <w:numId w:val="6"/>
      </w:numPr>
    </w:pPr>
  </w:style>
  <w:style w:type="paragraph" w:styleId="ListNumber4">
    <w:name w:val="List Number 4"/>
    <w:basedOn w:val="List4"/>
    <w:rsid w:val="004667C2"/>
    <w:pPr>
      <w:numPr>
        <w:numId w:val="7"/>
      </w:numPr>
    </w:pPr>
  </w:style>
  <w:style w:type="paragraph" w:styleId="ListNumber5">
    <w:name w:val="List Number 5"/>
    <w:basedOn w:val="List5"/>
    <w:rsid w:val="004667C2"/>
    <w:pPr>
      <w:numPr>
        <w:numId w:val="8"/>
      </w:numPr>
    </w:pPr>
  </w:style>
  <w:style w:type="paragraph" w:styleId="BlockText">
    <w:name w:val="Block Text"/>
    <w:basedOn w:val="Normal"/>
    <w:rsid w:val="004667C2"/>
    <w:pPr>
      <w:spacing w:after="120"/>
      <w:ind w:left="1440" w:right="1440"/>
    </w:pPr>
  </w:style>
  <w:style w:type="character" w:customStyle="1" w:styleId="Subscript">
    <w:name w:val="Subscript"/>
    <w:basedOn w:val="DefaultParagraphFont"/>
    <w:rsid w:val="004667C2"/>
    <w:rPr>
      <w:sz w:val="16"/>
      <w:vertAlign w:val="subscript"/>
    </w:rPr>
  </w:style>
  <w:style w:type="character" w:customStyle="1" w:styleId="Superscript">
    <w:name w:val="Superscript"/>
    <w:basedOn w:val="DefaultParagraphFont"/>
    <w:rsid w:val="004667C2"/>
    <w:rPr>
      <w:sz w:val="16"/>
      <w:vertAlign w:val="superscript"/>
    </w:rPr>
  </w:style>
  <w:style w:type="character" w:customStyle="1" w:styleId="Symbols">
    <w:name w:val="Symbols"/>
    <w:basedOn w:val="DefaultParagraphFont"/>
    <w:rsid w:val="004667C2"/>
    <w:rPr>
      <w:rFonts w:ascii="Symbol" w:hAnsi="Symbol"/>
    </w:rPr>
  </w:style>
  <w:style w:type="character" w:customStyle="1" w:styleId="MenuOptions">
    <w:name w:val="Menu Options"/>
    <w:basedOn w:val="DefaultParagraphFont"/>
    <w:rsid w:val="004667C2"/>
    <w:rPr>
      <w:rFonts w:ascii="Arial Narrow" w:hAnsi="Arial Narrow"/>
      <w:smallCaps/>
    </w:rPr>
  </w:style>
  <w:style w:type="character" w:customStyle="1" w:styleId="Buttons">
    <w:name w:val="Buttons"/>
    <w:basedOn w:val="DefaultParagraphFont"/>
    <w:rsid w:val="004667C2"/>
    <w:rPr>
      <w:b/>
    </w:rPr>
  </w:style>
  <w:style w:type="character" w:customStyle="1" w:styleId="Underlined">
    <w:name w:val="Underlined"/>
    <w:basedOn w:val="DefaultParagraphFont"/>
    <w:rsid w:val="004667C2"/>
    <w:rPr>
      <w:u w:val="single"/>
    </w:rPr>
  </w:style>
  <w:style w:type="paragraph" w:customStyle="1" w:styleId="TableBodyTextRight">
    <w:name w:val="Table Body Text Right"/>
    <w:basedOn w:val="TableBodyText"/>
    <w:rsid w:val="004667C2"/>
    <w:pPr>
      <w:widowControl w:val="0"/>
      <w:autoSpaceDE w:val="0"/>
      <w:autoSpaceDN w:val="0"/>
      <w:adjustRightInd w:val="0"/>
      <w:jc w:val="right"/>
    </w:pPr>
    <w:rPr>
      <w:rFonts w:cs="Arial"/>
      <w:szCs w:val="18"/>
    </w:rPr>
  </w:style>
  <w:style w:type="paragraph" w:customStyle="1" w:styleId="CopyrightText">
    <w:name w:val="Copyright Text"/>
    <w:basedOn w:val="BodyText"/>
    <w:rsid w:val="004667C2"/>
    <w:rPr>
      <w:sz w:val="18"/>
    </w:rPr>
  </w:style>
  <w:style w:type="paragraph" w:customStyle="1" w:styleId="BodySmallRight">
    <w:name w:val="Body Small Right"/>
    <w:basedOn w:val="BodyTextRight"/>
    <w:rsid w:val="004667C2"/>
    <w:rPr>
      <w:sz w:val="18"/>
      <w:szCs w:val="18"/>
    </w:rPr>
  </w:style>
  <w:style w:type="paragraph" w:customStyle="1" w:styleId="MarginEdition">
    <w:name w:val="Margin Edition"/>
    <w:basedOn w:val="MarginNote"/>
    <w:rsid w:val="004667C2"/>
    <w:pPr>
      <w:spacing w:before="0" w:after="0"/>
    </w:pPr>
    <w:rPr>
      <w:rFonts w:ascii="Times New Roman" w:hAnsi="Times New Roman"/>
      <w:color w:val="999999"/>
    </w:rPr>
  </w:style>
  <w:style w:type="paragraph" w:customStyle="1" w:styleId="Spacer">
    <w:name w:val="Spacer"/>
    <w:basedOn w:val="Normal"/>
    <w:rsid w:val="004667C2"/>
    <w:rPr>
      <w:sz w:val="2"/>
      <w:szCs w:val="2"/>
    </w:rPr>
  </w:style>
  <w:style w:type="character" w:customStyle="1" w:styleId="Small">
    <w:name w:val="Small"/>
    <w:basedOn w:val="DefaultParagraphFont"/>
    <w:rsid w:val="004667C2"/>
    <w:rPr>
      <w:sz w:val="16"/>
    </w:rPr>
  </w:style>
  <w:style w:type="paragraph" w:customStyle="1" w:styleId="WideTable">
    <w:name w:val="Wide Table"/>
    <w:basedOn w:val="Normal"/>
    <w:rsid w:val="004667C2"/>
    <w:pPr>
      <w:ind w:left="-1418"/>
    </w:pPr>
    <w:rPr>
      <w:sz w:val="2"/>
      <w:szCs w:val="2"/>
    </w:rPr>
  </w:style>
  <w:style w:type="character" w:styleId="PageNumber">
    <w:name w:val="page number"/>
    <w:basedOn w:val="DefaultParagraphFont"/>
    <w:rsid w:val="004667C2"/>
  </w:style>
  <w:style w:type="paragraph" w:styleId="Quote">
    <w:name w:val="Quote"/>
    <w:basedOn w:val="Heading1"/>
    <w:link w:val="QuoteChar"/>
    <w:qFormat/>
    <w:rsid w:val="004667C2"/>
    <w:rPr>
      <w:b w:val="0"/>
      <w:sz w:val="72"/>
      <w:szCs w:val="72"/>
      <w:lang w:val="en-NZ"/>
    </w:rPr>
  </w:style>
  <w:style w:type="character" w:customStyle="1" w:styleId="QuoteChar">
    <w:name w:val="Quote Char"/>
    <w:basedOn w:val="DefaultParagraphFont"/>
    <w:link w:val="Quote"/>
    <w:rsid w:val="00466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7C2"/>
    <w:pPr>
      <w:pageBreakBefore/>
    </w:pPr>
  </w:style>
  <w:style w:type="paragraph" w:customStyle="1" w:styleId="Border">
    <w:name w:val="Border"/>
    <w:basedOn w:val="Normal"/>
    <w:qFormat/>
    <w:rsid w:val="00466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7C2"/>
    <w:rPr>
      <w:b/>
      <w:bCs/>
      <w:i/>
      <w:iCs/>
      <w:color w:val="auto"/>
    </w:rPr>
  </w:style>
  <w:style w:type="paragraph" w:styleId="IntenseQuote">
    <w:name w:val="Intense Quote"/>
    <w:basedOn w:val="Normal"/>
    <w:next w:val="Normal"/>
    <w:link w:val="IntenseQuoteChar"/>
    <w:uiPriority w:val="30"/>
    <w:qFormat/>
    <w:rsid w:val="00466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7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67C2"/>
    <w:rPr>
      <w:smallCaps/>
      <w:color w:val="auto"/>
      <w:u w:val="single"/>
    </w:rPr>
  </w:style>
  <w:style w:type="character" w:styleId="IntenseReference">
    <w:name w:val="Intense Reference"/>
    <w:basedOn w:val="DefaultParagraphFont"/>
    <w:uiPriority w:val="32"/>
    <w:qFormat/>
    <w:rsid w:val="004667C2"/>
    <w:rPr>
      <w:b/>
      <w:bCs/>
      <w:smallCaps/>
      <w:color w:val="auto"/>
      <w:spacing w:val="5"/>
      <w:u w:val="single"/>
    </w:rPr>
  </w:style>
  <w:style w:type="paragraph" w:customStyle="1" w:styleId="2ColumnHeading">
    <w:name w:val="2Column Heading"/>
    <w:basedOn w:val="BodyText"/>
    <w:qFormat/>
    <w:rsid w:val="004667C2"/>
    <w:pPr>
      <w:spacing w:after="60"/>
      <w:ind w:left="-2268"/>
    </w:pPr>
    <w:rPr>
      <w:b/>
    </w:rPr>
  </w:style>
  <w:style w:type="paragraph" w:customStyle="1" w:styleId="Heading1TOC">
    <w:name w:val="Heading1 TOC"/>
    <w:basedOn w:val="Normal"/>
    <w:qFormat/>
    <w:rsid w:val="004667C2"/>
    <w:pPr>
      <w:spacing w:before="240" w:after="120"/>
    </w:pPr>
    <w:rPr>
      <w:rFonts w:ascii="Times New Roman" w:hAnsi="Times New Roman"/>
      <w:b/>
      <w:sz w:val="32"/>
    </w:rPr>
  </w:style>
  <w:style w:type="paragraph" w:customStyle="1" w:styleId="Heading2TOC">
    <w:name w:val="Heading2 TOC"/>
    <w:basedOn w:val="Normal"/>
    <w:qFormat/>
    <w:rsid w:val="004667C2"/>
    <w:pPr>
      <w:spacing w:before="240" w:after="60"/>
    </w:pPr>
    <w:rPr>
      <w:rFonts w:ascii="Times New Roman" w:hAnsi="Times New Roman"/>
      <w:b/>
      <w:sz w:val="28"/>
    </w:rPr>
  </w:style>
  <w:style w:type="character" w:customStyle="1" w:styleId="Underline">
    <w:name w:val="Underline"/>
    <w:basedOn w:val="DefaultParagraphFont"/>
    <w:qFormat/>
    <w:rsid w:val="004667C2"/>
    <w:rPr>
      <w:u w:val="single"/>
    </w:rPr>
  </w:style>
  <w:style w:type="character" w:customStyle="1" w:styleId="BoldandItalics">
    <w:name w:val="Bold and Italics"/>
    <w:qFormat/>
    <w:rsid w:val="004667C2"/>
    <w:rPr>
      <w:b/>
      <w:i/>
      <w:u w:val="none"/>
    </w:rPr>
  </w:style>
  <w:style w:type="paragraph" w:styleId="BalloonText">
    <w:name w:val="Balloon Text"/>
    <w:basedOn w:val="Normal"/>
    <w:link w:val="BalloonTextChar"/>
    <w:rsid w:val="004667C2"/>
    <w:rPr>
      <w:rFonts w:ascii="Tahoma" w:hAnsi="Tahoma" w:cs="Tahoma"/>
      <w:sz w:val="16"/>
      <w:szCs w:val="16"/>
    </w:rPr>
  </w:style>
  <w:style w:type="character" w:customStyle="1" w:styleId="BalloonTextChar">
    <w:name w:val="Balloon Text Char"/>
    <w:basedOn w:val="DefaultParagraphFont"/>
    <w:link w:val="BalloonText"/>
    <w:rsid w:val="004667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67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67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3340</Words>
  <Characters>21965</Characters>
  <Application>Microsoft Office Word</Application>
  <DocSecurity>0</DocSecurity>
  <Lines>810</Lines>
  <Paragraphs>324</Paragraphs>
  <ScaleCrop>false</ScaleCrop>
  <Company>Author-it Software Corporation Ltd.</Company>
  <LinksUpToDate>false</LinksUpToDate>
  <CharactersWithSpaces>25075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UETTDRSO41A Manage power systems transmission networks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2012-05-26T12:22:00Z</dcterms:created>
  <dcterms:modified xsi:type="dcterms:W3CDTF">2012-05-26T12:22:00Z</dcterms:modified>
</cp:coreProperties>
</file>