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567" w:rsidP="00A12567">
      <w:pPr>
        <w:pStyle w:val="Title"/>
      </w:pPr>
      <w:r>
        <w:fldChar w:fldCharType="begin"/>
      </w:r>
      <w:r>
        <w:instrText xml:space="preserve"> TITLE   \* MERGEFORMAT </w:instrText>
      </w:r>
      <w:r>
        <w:fldChar w:fldCharType="separate"/>
      </w:r>
      <w:r>
        <w:t>UETTDRSO38A Develop and evaluate power systems transmission switching programs</w:t>
      </w:r>
      <w:r>
        <w:fldChar w:fldCharType="end"/>
      </w:r>
    </w:p>
    <w:p w:rsidR="00A12567" w:rsidP="00A12567">
      <w:pPr>
        <w:pStyle w:val="Version"/>
        <w:sectPr w:rsidSect="009F1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29F" w:rsidP="009F129F">
      <w:pPr>
        <w:pStyle w:val="SuperHeading"/>
      </w:pPr>
      <w:r w:rsidRPr="009F129F">
        <w:t>UETTDRSO38A Develop and evaluate power systems transmission switching programs</w:t>
      </w:r>
    </w:p>
    <w:p w:rsidR="00000000" w:rsidRPr="009F129F" w:rsidP="009F129F">
      <w:pPr>
        <w:pStyle w:val="Heading1"/>
      </w:pPr>
      <w:bookmarkStart w:id="1" w:name="O_465009"/>
      <w:bookmarkEnd w:id="1"/>
      <w:r w:rsidRPr="009F129F">
        <w:t>Modification History</w:t>
      </w:r>
    </w:p>
    <w:p w:rsidR="00000000" w:rsidRPr="009F129F" w:rsidP="009F129F">
      <w:pPr>
        <w:pStyle w:val="BodyText"/>
      </w:pPr>
      <w:r w:rsidRPr="009F129F">
        <w:t>Not applicable.</w:t>
      </w:r>
    </w:p>
    <w:p w:rsidR="00000000" w:rsidRPr="009F129F" w:rsidP="009F129F">
      <w:pPr>
        <w:pStyle w:val="AllowPageBreak"/>
      </w:pPr>
    </w:p>
    <w:p w:rsidR="00000000" w:rsidRPr="009F129F" w:rsidP="009F129F">
      <w:pPr>
        <w:pStyle w:val="Heading1"/>
      </w:pPr>
      <w:bookmarkStart w:id="2" w:name="O_465007"/>
      <w:bookmarkEnd w:id="2"/>
      <w:r w:rsidRPr="009F129F">
        <w:t>Unit Descriptor</w:t>
      </w:r>
    </w:p>
    <w:tbl>
      <w:tblPr>
        <w:tblW w:w="0" w:type="auto"/>
        <w:tblLayout w:type="fixed"/>
        <w:tblCellMar>
          <w:left w:w="62" w:type="dxa"/>
          <w:right w:w="62" w:type="dxa"/>
        </w:tblCellMar>
        <w:tblLook w:val="0000"/>
      </w:tblPr>
      <w:tblGrid>
        <w:gridCol w:w="2700"/>
        <w:gridCol w:w="5760"/>
      </w:tblGrid>
      <w:tr w:rsidTr="00A125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1)</w:t>
            </w:r>
            <w:r w:rsidRPr="009F129F">
              <w:t xml:space="preserve"> </w:t>
            </w:r>
            <w:r w:rsidRPr="009F129F">
              <w:rPr>
                <w:rStyle w:val="SpecialBold"/>
              </w:rPr>
              <w:t>Scope:</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12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1.1) Descriptor</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 xml:space="preserve">This Competency Standard Unit covers the development and evaluation of activities required to place the transmission network in a state in which work can safely be performed whilst minimising customer outages. The format is typically a written sequence of </w:t>
            </w:r>
            <w:r w:rsidRPr="009F129F">
              <w:t>switching items in a pre-defined format. It includes planning for the management of the network and multiple outages. It encompasses the calculation of network loading conditions to ensure the network will operate within design parameters and in compliance</w:t>
            </w:r>
            <w:r w:rsidRPr="009F129F">
              <w:t xml:space="preserve"> with national electricity code.</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3" w:name="O_464996"/>
      <w:bookmarkEnd w:id="3"/>
      <w:r w:rsidRPr="009F129F">
        <w:t>Application of the Unit</w:t>
      </w:r>
    </w:p>
    <w:tbl>
      <w:tblPr>
        <w:tblW w:w="0" w:type="auto"/>
        <w:tblLayout w:type="fixed"/>
        <w:tblCellMar>
          <w:left w:w="62" w:type="dxa"/>
          <w:right w:w="62" w:type="dxa"/>
        </w:tblCellMar>
        <w:tblLook w:val="0000"/>
      </w:tblPr>
      <w:tblGrid>
        <w:gridCol w:w="2672"/>
        <w:gridCol w:w="5699"/>
      </w:tblGrid>
      <w:tr w:rsidTr="00A125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2)</w:t>
            </w:r>
          </w:p>
        </w:tc>
      </w:tr>
      <w:tr w:rsidTr="00A125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 xml:space="preserve">This Competency Standard Unit is intended to augment formally acquired competencies. It is suitable for employment-based programs under an </w:t>
            </w:r>
            <w:r w:rsidRPr="009F129F">
              <w:t>approved contract of training.</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4" w:name="O_465003"/>
      <w:bookmarkEnd w:id="4"/>
      <w:r w:rsidRPr="009F129F">
        <w:t>Licensing/Regulatory Information</w:t>
      </w:r>
    </w:p>
    <w:tbl>
      <w:tblPr>
        <w:tblW w:w="0" w:type="auto"/>
        <w:tblLayout w:type="fixed"/>
        <w:tblCellMar>
          <w:left w:w="62" w:type="dxa"/>
          <w:right w:w="62" w:type="dxa"/>
        </w:tblCellMar>
        <w:tblLook w:val="0000"/>
      </w:tblPr>
      <w:tblGrid>
        <w:gridCol w:w="2700"/>
        <w:gridCol w:w="5760"/>
      </w:tblGrid>
      <w:tr w:rsidTr="00A125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 xml:space="preserve">3) </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The skills and knowledge described in this unit may require a licence/registration to practice in the work place subject to regulations for underta</w:t>
            </w:r>
            <w:r w:rsidRPr="009F129F">
              <w:t xml:space="preserve">king of electrical work. </w:t>
            </w:r>
            <w:r w:rsidRPr="009F129F">
              <w:t>Practice in workplace and during training is also subject to regulations directly related to Occupational Health and Safety, electricity/telecommunications/gas/water industry safety and compliance, industrial relations, environment</w:t>
            </w:r>
            <w:r w:rsidRPr="009F129F">
              <w:t>al protection, anti discrimination and training. Commonwealth, State/Territory or Local Government legislation and regulations may exist that limits the age of operating certain equipment.</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5" w:name="O_465004"/>
      <w:bookmarkEnd w:id="5"/>
      <w:r w:rsidRPr="009F129F">
        <w:t>Pre-Requisites</w:t>
      </w:r>
    </w:p>
    <w:tbl>
      <w:tblPr>
        <w:tblW w:w="0" w:type="auto"/>
        <w:tblLayout w:type="fixed"/>
        <w:tblCellMar>
          <w:left w:w="62" w:type="dxa"/>
          <w:right w:w="62" w:type="dxa"/>
        </w:tblCellMar>
        <w:tblLook w:val="0000"/>
      </w:tblPr>
      <w:tblGrid>
        <w:gridCol w:w="2700"/>
        <w:gridCol w:w="2070"/>
        <w:gridCol w:w="3690"/>
      </w:tblGrid>
      <w:tr w:rsidTr="00A125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 xml:space="preserve">4) </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4.1)</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Granting of competency in this unit shall be made only after competency in the following unit(s) has/have been confirmed.</w:t>
            </w:r>
          </w:p>
          <w:p w:rsidR="00000000" w:rsidRPr="009F129F" w:rsidP="009F129F">
            <w:pPr>
              <w:pStyle w:val="BodyText"/>
            </w:pPr>
            <w:r w:rsidRPr="009F129F">
              <w:t>Where pre-requisite pathways have been identified. All competencies in the Common Unit Group must be have been completed plus all the competencies in one (1) of the identified Pathway Unit Group(s):</w:t>
            </w:r>
          </w:p>
          <w:p w:rsidR="00000000" w:rsidP="009F129F">
            <w:pPr>
              <w:pStyle w:val="BodyText"/>
              <w:rPr>
                <w:lang w:val="en-NZ"/>
              </w:rPr>
            </w:pPr>
            <w:r w:rsidRPr="009F129F">
              <w:t>Common Unit Group</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Unit Code</w:t>
            </w:r>
            <w:r w:rsidRPr="009F129F">
              <w:tab/>
            </w:r>
          </w:p>
        </w:tc>
        <w:tc>
          <w:tcPr>
            <w:tcW w:w="3690" w:type="dxa"/>
            <w:tcBorders>
              <w:top w:val="nil"/>
              <w:left w:val="nil"/>
              <w:bottom w:val="nil"/>
              <w:right w:val="nil"/>
            </w:tcBorders>
            <w:tcMar>
              <w:top w:w="0" w:type="dxa"/>
              <w:left w:w="62" w:type="dxa"/>
              <w:bottom w:w="0" w:type="dxa"/>
              <w:right w:w="62" w:type="dxa"/>
            </w:tcMar>
            <w:vAlign w:val="bottom"/>
          </w:tcPr>
          <w:p w:rsidR="00000000" w:rsidP="009F129F">
            <w:pPr>
              <w:pStyle w:val="BodyText"/>
              <w:rPr>
                <w:lang w:val="en-NZ"/>
              </w:rPr>
            </w:pPr>
            <w:r w:rsidRPr="009F129F">
              <w:t>Unit Title</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9F129F">
            <w:pPr>
              <w:pStyle w:val="BodyText"/>
              <w:rPr>
                <w:lang w:val="en-NZ"/>
              </w:rPr>
            </w:pPr>
            <w:r w:rsidRPr="009F129F">
              <w:t>Use engineering applications software on personal computers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Apply Occupational Health and Safety regulations, codes and practices in the workplace</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Fabricate, assemble and dismantle utilities industry components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Sol</w:t>
            </w:r>
            <w:r w:rsidRPr="009F129F">
              <w:t>ve problems in d.c. Circuits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Use drawings, diagrams, schedules, standards, codes and specifications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UEENEEE124A</w:t>
            </w:r>
          </w:p>
        </w:tc>
        <w:tc>
          <w:tcPr>
            <w:tcW w:w="369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Compile and produce an energy sector detailed report</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Provide engineering solutions for problems in complex multiple path circuits problems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Provide solutions to basic engineering computational problems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Solve problems in electromagnetic devices and related circuits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Solve problems in electromagnetic devices and related circuits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Provide engineering solutions to problems in complex polyphase power circuits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Apply sustainable energy and environmental procedures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Working safely near</w:t>
            </w:r>
            <w:r w:rsidRPr="009F129F">
              <w:t xml:space="preserve"> live electrical apparatus </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Implement and monitor the power system organisational OHS policies, procedures and programs</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9F129F">
            <w:pPr>
              <w:pStyle w:val="BodyText"/>
              <w:rPr>
                <w:lang w:val="en-NZ"/>
              </w:rPr>
            </w:pPr>
            <w:r w:rsidRPr="009F129F">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9F129F" w:rsidP="009F129F">
            <w:pPr>
              <w:pStyle w:val="BodyText"/>
            </w:pPr>
            <w:r w:rsidRPr="009F129F">
              <w:t>Implement and monitor the power system environmental and sustainable energy management policies and procedures</w:t>
            </w:r>
          </w:p>
        </w:tc>
      </w:tr>
    </w:tbl>
    <w:p w:rsidR="00000000" w:rsidRPr="009F129F" w:rsidP="009F129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1256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 xml:space="preserve">4.2) </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 xml:space="preserve">Participants are best equipped to achieve this unit if they have </w:t>
            </w:r>
            <w:r w:rsidRPr="009F129F">
              <w:t>reading, writing and numeracy skills indicated by the following scales. Description of each scale is given in Volume 2, Part 3 “Literacy and Numeracy”</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Reading</w:t>
            </w:r>
          </w:p>
        </w:tc>
        <w:tc>
          <w:tcPr>
            <w:tcW w:w="81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5</w:t>
            </w:r>
          </w:p>
        </w:tc>
        <w:tc>
          <w:tcPr>
            <w:tcW w:w="99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Writing</w:t>
            </w:r>
          </w:p>
        </w:tc>
        <w:tc>
          <w:tcPr>
            <w:tcW w:w="90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5</w:t>
            </w:r>
          </w:p>
        </w:tc>
        <w:tc>
          <w:tcPr>
            <w:tcW w:w="12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Numeracy</w:t>
            </w:r>
          </w:p>
        </w:tc>
        <w:tc>
          <w:tcPr>
            <w:tcW w:w="72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5</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6" w:name="O_465000"/>
      <w:bookmarkEnd w:id="6"/>
      <w:r w:rsidRPr="009F129F">
        <w:t>Employability Skills Information</w:t>
      </w:r>
    </w:p>
    <w:tbl>
      <w:tblPr>
        <w:tblW w:w="0" w:type="auto"/>
        <w:tblLayout w:type="fixed"/>
        <w:tblCellMar>
          <w:left w:w="62" w:type="dxa"/>
          <w:right w:w="62" w:type="dxa"/>
        </w:tblCellMar>
        <w:tblLook w:val="0000"/>
      </w:tblPr>
      <w:tblGrid>
        <w:gridCol w:w="2700"/>
        <w:gridCol w:w="5760"/>
      </w:tblGrid>
      <w:tr w:rsidTr="00A125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 xml:space="preserve">5) </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The required outcomes described in this unit of competency contain applicable facets of Employability Skills. The Employability Skills Summary of the qualification in which this unit of competency is packaged will assist in ident</w:t>
            </w:r>
            <w:r w:rsidRPr="009F129F">
              <w:t>ifying Employability Skill requirements.</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7" w:name="O_464999"/>
      <w:bookmarkEnd w:id="7"/>
      <w:r w:rsidRPr="009F129F">
        <w:t>Elements and Performance Criteria Pre-Content</w:t>
      </w:r>
    </w:p>
    <w:tbl>
      <w:tblPr>
        <w:tblW w:w="0" w:type="auto"/>
        <w:tblLayout w:type="fixed"/>
        <w:tblCellMar>
          <w:left w:w="62" w:type="dxa"/>
          <w:right w:w="62" w:type="dxa"/>
        </w:tblCellMar>
        <w:tblLook w:val="0000"/>
      </w:tblPr>
      <w:tblGrid>
        <w:gridCol w:w="2700"/>
        <w:gridCol w:w="5760"/>
      </w:tblGrid>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6)</w:t>
            </w:r>
            <w:r w:rsidRPr="009F129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Performance Criteria describe the required performance needed to demonstrate achievement of the element. Assessment of performance is to be consistent with the Evidence Guide.</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8" w:name="O_464998"/>
      <w:bookmarkEnd w:id="8"/>
      <w:r w:rsidRPr="009F129F">
        <w:t>Elements and Performance Criteria</w:t>
      </w:r>
    </w:p>
    <w:tbl>
      <w:tblPr>
        <w:tblW w:w="0" w:type="auto"/>
        <w:tblLayout w:type="fixed"/>
        <w:tblCellMar>
          <w:left w:w="62" w:type="dxa"/>
          <w:right w:w="62" w:type="dxa"/>
        </w:tblCellMar>
        <w:tblLook w:val="0000"/>
      </w:tblPr>
      <w:tblGrid>
        <w:gridCol w:w="410"/>
        <w:gridCol w:w="2290"/>
        <w:gridCol w:w="945"/>
        <w:gridCol w:w="4815"/>
      </w:tblGrid>
      <w:tr w:rsidTr="00A125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PERFORMANCE CRITER</w:t>
            </w:r>
            <w:r w:rsidRPr="009F129F">
              <w:rPr>
                <w:rStyle w:val="SpecialBold"/>
              </w:rPr>
              <w:t>IA</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w:t>
            </w:r>
          </w:p>
        </w:tc>
        <w:tc>
          <w:tcPr>
            <w:tcW w:w="229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Plan and coordinate for the preparation of HV Transmission switching programs</w:t>
            </w: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1.1</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 xml:space="preserve">OHS practices/procedures and environmental and sustainable energy procedures, which may influence the preparation of the switching program, </w:t>
            </w:r>
            <w:r w:rsidRPr="009F129F">
              <w:t>are reviewed and determined.</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1.2</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Purpose of the switching program is established after data is analysed and expected outcomes of the work are confirmed with the appropriate personnel.</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1.3</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Established policies, procedures and specifications for the sw</w:t>
            </w:r>
            <w:r w:rsidRPr="009F129F">
              <w:t>itching program are obtained or established with the appropriate personnel.</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1.4</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Switching procedures are discussed with and/or directed to the appropriate personnel in order to ascertain the project brief.</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1.5</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Switching parameters are ascertained from established policies, procedures and specifications.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1.6</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Equipment/tools and personal protective equipment are selected based on specified Performance Criteria and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1.7</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Work roles and t</w:t>
            </w:r>
            <w:r w:rsidRPr="009F129F">
              <w:t>asks are allocated according to requirements and individuals’ competencies.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1.8</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 xml:space="preserve">Work is prioritised and sequenced for the most efficient/effective outcome, completed within an acceptable timeframe to a quality standard </w:t>
            </w:r>
            <w:r w:rsidRPr="009F129F">
              <w:t>and in accordance with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1.9</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Liaison and communication issues with other/authorised personnel, authorities and clients are resolved and activities coordinated to carry out work.</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1.10</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Risk control measures are identified, priorit</w:t>
            </w:r>
            <w:r w:rsidRPr="009F129F">
              <w:t>ised and evaluated against the work schedule.</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1.11</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Relevant work permits are secured to coordinate the performance of work according to requirements and/or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w:t>
            </w:r>
          </w:p>
        </w:tc>
        <w:tc>
          <w:tcPr>
            <w:tcW w:w="2290" w:type="dxa"/>
            <w:vMerge w:val="restart"/>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 xml:space="preserve">Carry out and coordinate the preparation of HV Transmission switching </w:t>
            </w:r>
            <w:r w:rsidRPr="009F129F">
              <w:t>programs</w:t>
            </w: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2.1</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Circuit/systems modelling is used to evaluate alternative proposals as per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2.2</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OHS and sustainable energy p</w:t>
            </w:r>
            <w:r w:rsidRPr="009F129F">
              <w:t>rinciples, functionality and practices to reduce the incidents of accidents and minimise waste are incorporated into the project in accordance with requirements and/or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2.3</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Decisions concerning the preparation of the HV Transmissi</w:t>
            </w:r>
            <w:r w:rsidRPr="009F129F">
              <w:t>on Switching program are made on the basis of safety and effective outcomes according to requirements and/or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2.4</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The effectiveness of the finished project is analysed as per requirements and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2.5</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Technical advice is given regarding potential hazards, safety risks and control measures so that monitoring and preventative action can be undertaken and/or appropriate authorities consulted, where necessary, in accordance with requirements and established</w:t>
            </w:r>
            <w:r w:rsidRPr="009F129F">
              <w:t xml:space="preserve">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2.6</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Essential knowledge and associated skills are applied to analyse specific data and compare it with compliance specifications to ensure completion of the project within an agreed timeframe according to requirements.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2.7</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Testing of the</w:t>
            </w:r>
            <w:r w:rsidRPr="009F129F">
              <w:t xml:space="preserve"> program is undertaken according to requirements and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2.8</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Work teams/groups are arranged/coordinated/evaluated to ensure planned goals are met according to established procedures.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2.9</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Solutions to non-routine problems are i</w:t>
            </w:r>
            <w:r w:rsidRPr="009F129F">
              <w:t>dentified and actioned, using acquired essential knowledge and associated skills, according to requirements.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2.10</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Quality of work is monitored against personal performance agreement and/or established organisational and professional standards.</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3</w:t>
            </w:r>
          </w:p>
        </w:tc>
        <w:tc>
          <w:tcPr>
            <w:tcW w:w="229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Comple</w:t>
            </w:r>
            <w:r w:rsidRPr="009F129F">
              <w:t>te and coordinate the preparation of HV Transmission switching programs</w:t>
            </w: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3.1</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Final review of the switching program is undertaken to ensure it complies with all requirements and include all specifications and documentations needed to complete the project.</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3.2</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Appropriate personnel are notified of completion and reports and/or completion documents are finalised/commissioned.</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3.3</w:t>
            </w:r>
          </w:p>
        </w:tc>
        <w:tc>
          <w:tcPr>
            <w:tcW w:w="481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Reports and/or completion documents are submitted to relevant personnel/organisations for approval and, where applicable, statutory or regulatory approval.</w:t>
            </w:r>
          </w:p>
        </w:tc>
      </w:tr>
      <w:tr w:rsidTr="00A12567">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3.4</w:t>
            </w:r>
          </w:p>
        </w:tc>
        <w:tc>
          <w:tcPr>
            <w:tcW w:w="4815"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Approved copies of switching program documents are issued and records are updated in accordan</w:t>
            </w:r>
            <w:r w:rsidRPr="009F129F">
              <w:t>ce with established procedures.</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9" w:name="O_465006"/>
      <w:bookmarkEnd w:id="9"/>
      <w:r w:rsidRPr="009F129F">
        <w:t>Required Skills and Knowledge</w:t>
      </w:r>
    </w:p>
    <w:tbl>
      <w:tblPr>
        <w:tblW w:w="0" w:type="auto"/>
        <w:tblLayout w:type="fixed"/>
        <w:tblCellMar>
          <w:left w:w="62" w:type="dxa"/>
          <w:right w:w="62" w:type="dxa"/>
        </w:tblCellMar>
        <w:tblLook w:val="0000"/>
      </w:tblPr>
      <w:tblGrid>
        <w:gridCol w:w="8460"/>
      </w:tblGrid>
      <w:tr w:rsidTr="00A125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REQUIRED SKILLS AND KNOWLEDGE</w:t>
            </w:r>
          </w:p>
        </w:tc>
      </w:tr>
      <w:tr w:rsidTr="00A1256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8)</w:t>
            </w:r>
            <w:r w:rsidRPr="009F129F">
              <w:t xml:space="preserve"> Essential Knowledge and Associated Skills (EKAS): This describes the essential skills and knowledge and their level, required for this unit.</w:t>
            </w:r>
          </w:p>
          <w:p w:rsidR="00000000" w:rsidRPr="009F129F" w:rsidP="009F129F">
            <w:pPr>
              <w:pStyle w:val="BodyText"/>
            </w:pPr>
            <w:r w:rsidRPr="009F129F">
              <w:t>Evidence shall show that knowledge has been acquired of developing and evaluating transmission switching programs.</w:t>
            </w:r>
          </w:p>
          <w:p w:rsidR="00000000" w:rsidRPr="009F129F" w:rsidP="009F129F">
            <w:pPr>
              <w:pStyle w:val="BodyText"/>
            </w:pPr>
            <w:r w:rsidRPr="009F129F">
              <w:t>All knowledge and skills detailed in this unit should be contextualised to current industry practices and technologies.</w:t>
            </w:r>
          </w:p>
          <w:p w:rsidR="00000000" w:rsidRPr="009F129F" w:rsidP="009F129F">
            <w:pPr>
              <w:pStyle w:val="BodyText"/>
            </w:pPr>
            <w:r w:rsidRPr="009F129F">
              <w:t>KS01-TSO38A</w:t>
            </w:r>
            <w:r w:rsidRPr="009F129F">
              <w:tab/>
              <w:t>Power sys</w:t>
            </w:r>
            <w:r w:rsidRPr="009F129F">
              <w:t>tems transmission switching programs</w:t>
            </w:r>
          </w:p>
          <w:p w:rsidR="00000000" w:rsidRPr="009F129F" w:rsidP="009F129F">
            <w:pPr>
              <w:pStyle w:val="BodyText"/>
            </w:pPr>
            <w:r w:rsidRPr="009F129F">
              <w:t xml:space="preserve">Evidence shall show an understanding of power systems transmission switching programs to an extent indicated by the following aspects: Develop and evaluate </w:t>
            </w:r>
          </w:p>
          <w:p w:rsidR="00000000" w:rsidRPr="009F129F" w:rsidP="009F129F">
            <w:pPr>
              <w:pStyle w:val="BodyText"/>
            </w:pPr>
            <w:r w:rsidRPr="009F129F">
              <w:t>T1</w:t>
            </w:r>
            <w:r w:rsidRPr="009F129F">
              <w:tab/>
              <w:t>Transmission, distribution and rail systems encompassing:</w:t>
            </w:r>
          </w:p>
          <w:p w:rsidR="00000000" w:rsidRPr="009F129F" w:rsidP="009F129F">
            <w:pPr>
              <w:pStyle w:val="ListBullet"/>
            </w:pPr>
            <w:r w:rsidRPr="009F129F">
              <w:t>Relationship between the transmission, distribution and rail/tram system within an overall power system - different organisations responsible for generation, transmission, distribution and rail/tram and, how they correlate and their functions</w:t>
            </w:r>
          </w:p>
          <w:p w:rsidR="00000000" w:rsidRPr="009F129F" w:rsidP="009F129F">
            <w:pPr>
              <w:pStyle w:val="ListBullet"/>
            </w:pPr>
            <w:r w:rsidRPr="009F129F">
              <w:t>Characteristi</w:t>
            </w:r>
            <w:r w:rsidRPr="009F129F">
              <w:t>cs of a transmission, a distribution and a rail system - principal components, typical voltage levels and methods of transmission and distribution including grid type transmission systems, radial, parallel and ring main feeders</w:t>
            </w:r>
          </w:p>
          <w:p w:rsidR="00000000" w:rsidRPr="009F129F" w:rsidP="009F129F">
            <w:pPr>
              <w:pStyle w:val="ListBullet"/>
            </w:pPr>
            <w:r w:rsidRPr="009F129F">
              <w:t>Relationship between an over</w:t>
            </w:r>
            <w:r w:rsidRPr="009F129F">
              <w:t>head and underground supply systems within an overall power system - advantages/disadvantages, applications and the basic steps for planning and installing an overhead and underground distribution system</w:t>
            </w:r>
          </w:p>
          <w:p w:rsidR="00000000" w:rsidRPr="009F129F" w:rsidP="009F129F">
            <w:pPr>
              <w:pStyle w:val="ListBullet"/>
            </w:pPr>
            <w:r w:rsidRPr="009F129F">
              <w:t>Single line drawings and layouts - drawings and layo</w:t>
            </w:r>
            <w:r w:rsidRPr="009F129F">
              <w:t>uts of transmission and distribution systems including, radial, parallel and ring main feeders and the HV equipment associated with substations.</w:t>
            </w:r>
          </w:p>
          <w:p w:rsidR="00000000" w:rsidRPr="009F129F" w:rsidP="009F129F">
            <w:pPr>
              <w:pStyle w:val="BodyText"/>
            </w:pPr>
            <w:r w:rsidRPr="009F129F">
              <w:t>T2</w:t>
            </w:r>
            <w:r w:rsidRPr="009F129F">
              <w:tab/>
              <w:t>Substations and power transformers encompassing:</w:t>
            </w:r>
          </w:p>
          <w:p w:rsidR="00000000" w:rsidRPr="009F129F" w:rsidP="009F129F">
            <w:pPr>
              <w:pStyle w:val="ListBullet"/>
            </w:pPr>
            <w:r w:rsidRPr="009F129F">
              <w:t>Relationship between the substations within an overall pow</w:t>
            </w:r>
            <w:r w:rsidRPr="009F129F">
              <w:t>er system - purpose, location in relation to load centres, layout of HV equipment within the substation and auxiliary equipment</w:t>
            </w:r>
          </w:p>
          <w:p w:rsidR="00000000" w:rsidRPr="009F129F" w:rsidP="009F129F">
            <w:pPr>
              <w:pStyle w:val="ListBullet"/>
            </w:pPr>
            <w:r w:rsidRPr="009F129F">
              <w:t>Characteristics of a power transformer - basic construction of distribution transformers, operation under load/no load condition</w:t>
            </w:r>
            <w:r w:rsidRPr="009F129F">
              <w:t>s, types and basic operation of tap changing switches including solid state types, efficiency and cooling</w:t>
            </w:r>
          </w:p>
          <w:p w:rsidR="00000000" w:rsidRPr="009F129F" w:rsidP="009F129F">
            <w:pPr>
              <w:pStyle w:val="ListBullet"/>
            </w:pPr>
            <w:r w:rsidRPr="009F129F">
              <w:t>Auxiliary equipment used on transformers - function and basic operation</w:t>
            </w:r>
          </w:p>
          <w:p w:rsidR="00000000" w:rsidRPr="009F129F" w:rsidP="009F129F">
            <w:pPr>
              <w:pStyle w:val="ListBullet"/>
            </w:pPr>
            <w:r w:rsidRPr="009F129F">
              <w:t>Maintenance of a power transformer - basic connections, restrictions to parall</w:t>
            </w:r>
            <w:r w:rsidRPr="009F129F">
              <w:t>el operation, problems and remedies associated with harmonics, testing and fault finding procedures</w:t>
            </w:r>
          </w:p>
          <w:p w:rsidR="00000000" w:rsidRPr="009F129F" w:rsidP="009F129F">
            <w:pPr>
              <w:pStyle w:val="ListBullet"/>
            </w:pPr>
            <w:r w:rsidRPr="009F129F">
              <w:t>Characteristics of a reactors - description and purpose</w:t>
            </w:r>
          </w:p>
          <w:p w:rsidR="00000000" w:rsidRPr="009F129F" w:rsidP="009F129F">
            <w:pPr>
              <w:pStyle w:val="BodyText"/>
            </w:pPr>
            <w:r w:rsidRPr="009F129F">
              <w:t>T3</w:t>
            </w:r>
            <w:r w:rsidRPr="009F129F">
              <w:tab/>
              <w:t>Co-ordinating access authority procedures encompassing:</w:t>
            </w:r>
          </w:p>
          <w:p w:rsidR="00000000" w:rsidRPr="009F129F" w:rsidP="009F129F">
            <w:pPr>
              <w:pStyle w:val="ListBullet"/>
            </w:pPr>
            <w:r w:rsidRPr="009F129F">
              <w:t>Specific enterprise processes, policies and procedures to be followed</w:t>
            </w:r>
          </w:p>
          <w:p w:rsidR="00000000" w:rsidRPr="009F129F" w:rsidP="009F129F">
            <w:pPr>
              <w:pStyle w:val="ListBullet"/>
            </w:pPr>
            <w:r w:rsidRPr="009F129F">
              <w:t xml:space="preserve">Processes of consultation, negotiation and co-ordination - clear and concise instructions and information, methods for the encouragement of feedback and contributions of information and </w:t>
            </w:r>
            <w:r w:rsidRPr="009F129F">
              <w:t>ideas, responsibilities of members of the team.</w:t>
            </w:r>
          </w:p>
          <w:p w:rsidR="00000000" w:rsidRPr="009F129F" w:rsidP="009F129F">
            <w:pPr>
              <w:pStyle w:val="ListBullet"/>
            </w:pPr>
            <w:r w:rsidRPr="009F129F">
              <w:t>Techniques in analysing, planning, co-ordination and organising work for a safe outcome and according to statutory requirements and regulations</w:t>
            </w:r>
          </w:p>
          <w:p w:rsidR="00000000" w:rsidRPr="009F129F" w:rsidP="009F129F">
            <w:pPr>
              <w:pStyle w:val="ListBullet"/>
            </w:pPr>
            <w:r w:rsidRPr="009F129F">
              <w:t>Techniques in the effective utilisation of available resources</w:t>
            </w:r>
          </w:p>
          <w:p w:rsidR="00000000" w:rsidRPr="009F129F" w:rsidP="009F129F">
            <w:pPr>
              <w:pStyle w:val="ListBullet"/>
            </w:pPr>
            <w:r w:rsidRPr="009F129F">
              <w:t>T</w:t>
            </w:r>
            <w:r w:rsidRPr="009F129F">
              <w:t>echniques in the development of an access authority/permit and/or access authority/permit issuing procedures</w:t>
            </w:r>
          </w:p>
          <w:p w:rsidR="00000000" w:rsidRPr="009F129F" w:rsidP="009F129F">
            <w:pPr>
              <w:pStyle w:val="ListBullet"/>
            </w:pPr>
            <w:r w:rsidRPr="009F129F">
              <w:t>Techniques in facilitating and co-ordinating the delivery and issuing of access authorities</w:t>
            </w:r>
          </w:p>
          <w:p w:rsidR="00000000" w:rsidRPr="009F129F" w:rsidP="009F129F">
            <w:pPr>
              <w:pStyle w:val="ListBullet"/>
            </w:pPr>
            <w:r w:rsidRPr="009F129F">
              <w:t xml:space="preserve">Techniques in gathering, collating and confirming data </w:t>
            </w:r>
            <w:r w:rsidRPr="009F129F">
              <w:t>on different worksites - electrical network diagrams for the specific work site, earth access authorities, safe working area, work to be carried out in confined space or in hazardous environment, specific outsourcing procedures, specific hazard identificat</w:t>
            </w:r>
            <w:r w:rsidRPr="009F129F">
              <w:t>ion, risk classification and management procedures, regulatory requirements such as Occupational Health and Safety and electrical safety</w:t>
            </w:r>
          </w:p>
          <w:p w:rsidR="00000000" w:rsidRPr="009F129F" w:rsidP="009F129F">
            <w:pPr>
              <w:pStyle w:val="ListBullet"/>
            </w:pPr>
            <w:r w:rsidRPr="009F129F">
              <w:t>Techniques in the receiving and co-ordinating the cancellation of access authorities in readiness for restoration</w:t>
            </w:r>
          </w:p>
          <w:p w:rsidR="00000000" w:rsidRPr="009F129F" w:rsidP="009F129F">
            <w:pPr>
              <w:pStyle w:val="ListBullet"/>
            </w:pPr>
            <w:r w:rsidRPr="009F129F">
              <w:t>Metho</w:t>
            </w:r>
            <w:r w:rsidRPr="009F129F">
              <w:t>ds of conducting audits on correct access authority procedures</w:t>
            </w:r>
          </w:p>
          <w:p w:rsidR="00000000" w:rsidRPr="009F129F" w:rsidP="009F129F">
            <w:pPr>
              <w:pStyle w:val="ListBullet"/>
            </w:pPr>
            <w:r w:rsidRPr="009F129F">
              <w:t>Process of issuing of other access authorities for work permits - working in confined space, if required, co-ordination of access authorities, engaging and briefing contractors on electrical an</w:t>
            </w:r>
            <w:r w:rsidRPr="009F129F">
              <w:t>d other work</w:t>
            </w:r>
          </w:p>
          <w:p w:rsidR="00000000" w:rsidRPr="009F129F" w:rsidP="009F129F">
            <w:pPr>
              <w:pStyle w:val="ListBullet"/>
            </w:pPr>
            <w:r w:rsidRPr="009F129F">
              <w:t>Issue and receipt of operating agreements.</w:t>
            </w:r>
          </w:p>
          <w:p w:rsidR="00000000" w:rsidRPr="009F129F" w:rsidP="009F129F">
            <w:pPr>
              <w:pStyle w:val="BodyText"/>
            </w:pPr>
            <w:r w:rsidRPr="009F129F">
              <w:t>T4</w:t>
            </w:r>
            <w:r w:rsidRPr="009F129F">
              <w:tab/>
              <w:t>Principles of Statutory and safety considerations encompassing:</w:t>
            </w:r>
          </w:p>
          <w:p w:rsidR="00000000" w:rsidRPr="009F129F" w:rsidP="009F129F">
            <w:pPr>
              <w:pStyle w:val="ListBullet"/>
            </w:pPr>
            <w:r w:rsidRPr="009F129F">
              <w:t>Commonwealth/State/Territory legislation, standards, codes, supply authority regulations and or enterprise requirements associated w</w:t>
            </w:r>
            <w:r w:rsidRPr="009F129F">
              <w:t>ith working on High Voltage</w:t>
            </w:r>
          </w:p>
          <w:p w:rsidR="00000000" w:rsidRPr="009F129F" w:rsidP="009F129F">
            <w:pPr>
              <w:pStyle w:val="ListBullet"/>
            </w:pPr>
            <w:r w:rsidRPr="009F129F">
              <w:t>Particular reference to State and Territory regulations regarding - working near energised conductors, electrical access, heights, confined space, testing procedures, licensing rules.</w:t>
            </w:r>
          </w:p>
          <w:p w:rsidR="00000000" w:rsidRPr="009F129F" w:rsidP="009F129F">
            <w:pPr>
              <w:pStyle w:val="BodyText"/>
            </w:pPr>
            <w:r w:rsidRPr="009F129F">
              <w:t>T5</w:t>
            </w:r>
            <w:r w:rsidRPr="009F129F">
              <w:tab/>
              <w:t>High voltage switching principles encompa</w:t>
            </w:r>
            <w:r w:rsidRPr="009F129F">
              <w:t>ssing:</w:t>
            </w:r>
          </w:p>
          <w:p w:rsidR="00000000" w:rsidRPr="009F129F" w:rsidP="009F129F">
            <w:pPr>
              <w:pStyle w:val="ListBullet"/>
            </w:pPr>
            <w:r w:rsidRPr="009F129F">
              <w:t>Standards, codes, legislation, supply authority regulations and or enterprise requirements applicable to switching of high voltage to a given schedule</w:t>
            </w:r>
          </w:p>
          <w:p w:rsidR="00000000" w:rsidRPr="009F129F" w:rsidP="009F129F">
            <w:pPr>
              <w:pStyle w:val="ListBullet"/>
            </w:pPr>
            <w:r w:rsidRPr="009F129F">
              <w:t xml:space="preserve">Requirements for the use of manuals, system diagrams/plans and drawings - types, characteristics </w:t>
            </w:r>
            <w:r w:rsidRPr="009F129F">
              <w:t>and capabilities of electrical apparatus, use, characteristics and capabilities of specialised tools and testing equipment, network interconnectors source of possible backfeed</w:t>
            </w:r>
          </w:p>
          <w:p w:rsidR="00000000" w:rsidRPr="009F129F" w:rsidP="009F129F">
            <w:pPr>
              <w:pStyle w:val="ListBullet"/>
            </w:pPr>
            <w:r w:rsidRPr="009F129F">
              <w:t>Role of the HV switching operator</w:t>
            </w:r>
          </w:p>
          <w:p w:rsidR="00000000" w:rsidRPr="009F129F" w:rsidP="009F129F">
            <w:pPr>
              <w:pStyle w:val="ListBullet"/>
            </w:pPr>
            <w:r w:rsidRPr="009F129F">
              <w:t>Operational forms, access authorities and permits associated with HV switching - types of operational forms, access authorities and permits, purpose and procedure for operational forms, access authorities and permits.</w:t>
            </w:r>
          </w:p>
          <w:p w:rsidR="00000000" w:rsidRPr="009F129F" w:rsidP="009F129F">
            <w:pPr>
              <w:pStyle w:val="ListBullet"/>
            </w:pPr>
            <w:r w:rsidRPr="009F129F">
              <w:t>Use and operation of equipment associa</w:t>
            </w:r>
            <w:r w:rsidRPr="009F129F">
              <w:t xml:space="preserve">ted with HV overhead and substation equipment - test instruments, sticks, interrupters, arc stranglers. </w:t>
            </w:r>
          </w:p>
          <w:p w:rsidR="00000000" w:rsidRPr="009F129F" w:rsidP="009F129F">
            <w:pPr>
              <w:pStyle w:val="ListBullet"/>
            </w:pPr>
            <w:r w:rsidRPr="009F129F">
              <w:t>Types and categories of HV switchgear</w:t>
            </w:r>
          </w:p>
          <w:p w:rsidR="00000000" w:rsidRPr="009F129F" w:rsidP="009F129F">
            <w:pPr>
              <w:pStyle w:val="ListBullet"/>
            </w:pPr>
            <w:r w:rsidRPr="009F129F">
              <w:t>Application, function and operating capabilities of switchgear</w:t>
            </w:r>
          </w:p>
          <w:p w:rsidR="00000000" w:rsidRPr="009F129F" w:rsidP="009F129F">
            <w:pPr>
              <w:pStyle w:val="ListBullet"/>
            </w:pPr>
            <w:r w:rsidRPr="009F129F">
              <w:t>Restrictions pertaining to HV switching equipment</w:t>
            </w:r>
          </w:p>
          <w:p w:rsidR="00000000" w:rsidRPr="009F129F" w:rsidP="009F129F">
            <w:pPr>
              <w:pStyle w:val="ListBullet"/>
            </w:pPr>
            <w:r w:rsidRPr="009F129F">
              <w:t>Procedures for the isolation of HV transmission main and working earths</w:t>
            </w:r>
          </w:p>
          <w:p w:rsidR="00000000" w:rsidRPr="009F129F" w:rsidP="009F129F">
            <w:pPr>
              <w:pStyle w:val="ListBullet"/>
            </w:pPr>
            <w:r w:rsidRPr="009F129F">
              <w:t>Earthing HV electrical apparatus practices and procedures for access - purposes of “Operational” and additional work part “on-site” earths, factors determining the location and effecti</w:t>
            </w:r>
            <w:r w:rsidRPr="009F129F">
              <w:t>veness of “Operational” earthing, acceptable industry procedures, personal protective equipment, high voltage switching techniques.</w:t>
            </w:r>
          </w:p>
          <w:p w:rsidR="00000000" w:rsidRPr="009F129F" w:rsidP="009F129F">
            <w:pPr>
              <w:pStyle w:val="ListBullet"/>
            </w:pPr>
            <w:r w:rsidRPr="009F129F">
              <w:t xml:space="preserve">Operate switching apparatus - identifying hazards, assessing and controlling risks associated with HV switchgear operation, </w:t>
            </w:r>
            <w:r w:rsidRPr="009F129F">
              <w:t>systematic and defensive techniques, mobile radio procedures, double isolation procedures.</w:t>
            </w:r>
          </w:p>
          <w:p w:rsidR="00000000" w:rsidRPr="009F129F" w:rsidP="009F129F">
            <w:pPr>
              <w:pStyle w:val="BodyText"/>
            </w:pPr>
            <w:r w:rsidRPr="009F129F">
              <w:t>T6</w:t>
            </w:r>
            <w:r w:rsidRPr="009F129F">
              <w:tab/>
              <w:t>HV system switching principles including switching authorisation procedures to an extent indicated by the following aspects:</w:t>
            </w:r>
          </w:p>
          <w:p w:rsidR="00000000" w:rsidRPr="009F129F" w:rsidP="009F129F">
            <w:pPr>
              <w:pStyle w:val="ListBullet"/>
            </w:pPr>
            <w:r w:rsidRPr="009F129F">
              <w:t>Legislation, Standards, codes, legis</w:t>
            </w:r>
            <w:r w:rsidRPr="009F129F">
              <w:t>lation, supply authority regulations and or enterprise requirements applicable to system switching</w:t>
            </w:r>
          </w:p>
          <w:p w:rsidR="00000000" w:rsidRPr="009F129F" w:rsidP="009F129F">
            <w:pPr>
              <w:pStyle w:val="ListBullet"/>
            </w:pPr>
            <w:r w:rsidRPr="009F129F">
              <w:t>Requirements for the use of manuals, system diagrams/plans and drawings</w:t>
            </w:r>
          </w:p>
          <w:p w:rsidR="00000000" w:rsidRPr="009F129F" w:rsidP="009F129F">
            <w:pPr>
              <w:pStyle w:val="ListBullet"/>
            </w:pPr>
            <w:r w:rsidRPr="009F129F">
              <w:t>Types and characteristics of HV systems and equipment to be switched</w:t>
            </w:r>
          </w:p>
          <w:p w:rsidR="00000000" w:rsidRPr="009F129F" w:rsidP="009F129F">
            <w:pPr>
              <w:pStyle w:val="ListBullet"/>
            </w:pPr>
            <w:r w:rsidRPr="009F129F">
              <w:t>Procedures for o</w:t>
            </w:r>
            <w:r w:rsidRPr="009F129F">
              <w:t>btaining correct HV switching authorisation - identification of OHS hazards, assessing and controlling risks, Safety procedures and precautions, safe approach distances</w:t>
            </w:r>
          </w:p>
          <w:p w:rsidR="00000000" w:rsidRPr="009F129F" w:rsidP="009F129F">
            <w:pPr>
              <w:pStyle w:val="ListBullet"/>
            </w:pPr>
            <w:r w:rsidRPr="009F129F">
              <w:t>responsibilities and protocols, identifying switching resources, procedures for obtaini</w:t>
            </w:r>
            <w:r w:rsidRPr="009F129F">
              <w:t>ng electrical access permits authorities, Requirements for team switching, procedures for coordination of operations.</w:t>
            </w:r>
          </w:p>
          <w:p w:rsidR="00000000" w:rsidRPr="009F129F" w:rsidP="009F129F">
            <w:pPr>
              <w:pStyle w:val="ListBullet"/>
            </w:pPr>
            <w:r w:rsidRPr="009F129F">
              <w:t>Techniques in HV system switching - pre-switching checks, switching operational procedures, isolation procedures and proving dead de-energ</w:t>
            </w:r>
            <w:r w:rsidRPr="009F129F">
              <w:t>ised, earthing procedures, switching operational procedures, emergency fault procedures, energisation procedures</w:t>
            </w:r>
          </w:p>
          <w:p w:rsidR="00000000" w:rsidRPr="009F129F" w:rsidP="009F129F">
            <w:pPr>
              <w:pStyle w:val="BodyText"/>
            </w:pPr>
            <w:r w:rsidRPr="009F129F">
              <w:t>T7</w:t>
            </w:r>
            <w:r w:rsidRPr="009F129F">
              <w:tab/>
              <w:t>HV overhead and substation switching principles encompassing:</w:t>
            </w:r>
          </w:p>
          <w:p w:rsidR="00000000" w:rsidRPr="009F129F" w:rsidP="009F129F">
            <w:pPr>
              <w:pStyle w:val="ListBullet"/>
            </w:pPr>
            <w:r w:rsidRPr="009F129F">
              <w:t xml:space="preserve">Legislation, Standards, codes, legislation, supply authority regulations and </w:t>
            </w:r>
            <w:r w:rsidRPr="009F129F">
              <w:t>or enterprise requirements applicable to HV overhead and substation switching</w:t>
            </w:r>
          </w:p>
          <w:p w:rsidR="00000000" w:rsidRPr="009F129F" w:rsidP="009F129F">
            <w:pPr>
              <w:pStyle w:val="ListBullet"/>
            </w:pPr>
            <w:r w:rsidRPr="009F129F">
              <w:t xml:space="preserve">Requirements for the use of manuals, system diagrams/plans and drawings - types, characteristics and capabilities of HV electrical equipment to be switched, use, characteristics </w:t>
            </w:r>
            <w:r w:rsidRPr="009F129F">
              <w:t>and capabilities of specialised tools and testing equipment.</w:t>
            </w:r>
          </w:p>
          <w:p w:rsidR="00000000" w:rsidRPr="009F129F" w:rsidP="009F129F">
            <w:pPr>
              <w:pStyle w:val="ListBullet"/>
            </w:pPr>
            <w:r w:rsidRPr="009F129F">
              <w:t>Role and responsibilities of the HV switching operator</w:t>
            </w:r>
          </w:p>
          <w:p w:rsidR="00000000" w:rsidRPr="009F129F" w:rsidP="009F129F">
            <w:pPr>
              <w:pStyle w:val="ListBullet"/>
            </w:pPr>
            <w:r w:rsidRPr="009F129F">
              <w:t xml:space="preserve">Operational forms, access authorities and permits hazard/risk assessments associated with HV switching - types of operational forms, access </w:t>
            </w:r>
            <w:r w:rsidRPr="009F129F">
              <w:t>authorities and permits hazard/risk assessments, purpose and procedure for operational forms, access authorities and hazard/risk assessments.</w:t>
            </w:r>
          </w:p>
          <w:p w:rsidR="00000000" w:rsidRPr="009F129F" w:rsidP="009F129F">
            <w:pPr>
              <w:pStyle w:val="ListBullet"/>
            </w:pPr>
            <w:r w:rsidRPr="009F129F">
              <w:t xml:space="preserve">Use and operation of equipment associated with HV overhead and substation equipment - test instruments, sticks, interrupters, arc stranglers. </w:t>
            </w:r>
          </w:p>
          <w:p w:rsidR="00000000" w:rsidRPr="009F129F" w:rsidP="009F129F">
            <w:pPr>
              <w:pStyle w:val="ListBullet"/>
            </w:pPr>
            <w:r w:rsidRPr="009F129F">
              <w:t>HV switchgear – types, categories, application, operating capabilities.</w:t>
            </w:r>
          </w:p>
          <w:p w:rsidR="00000000" w:rsidRPr="009F129F" w:rsidP="009F129F">
            <w:pPr>
              <w:pStyle w:val="ListBullet"/>
            </w:pPr>
            <w:r w:rsidRPr="009F129F">
              <w:t>Operation of HV overhead switching or ind</w:t>
            </w:r>
            <w:r w:rsidRPr="009F129F">
              <w:t>icating devices - fuses; disconnect fuses; load switching; live line indicators; capacitors; reclosers; sectionalisers, underslung links, airbreaks; switches, disconnects; live line clamps; phasing sticks; phasing tester</w:t>
            </w:r>
          </w:p>
          <w:p w:rsidR="00000000" w:rsidRPr="009F129F" w:rsidP="009F129F">
            <w:pPr>
              <w:pStyle w:val="ListBullet"/>
            </w:pPr>
            <w:r w:rsidRPr="009F129F">
              <w:t>Operation of protection systems and</w:t>
            </w:r>
            <w:r w:rsidRPr="009F129F">
              <w:t xml:space="preserve"> substation equipment - fault levels and settings; types and applications; protection systems and substation equipment fault levels and settings; types and applications.</w:t>
            </w:r>
          </w:p>
          <w:p w:rsidR="00000000" w:rsidRPr="009F129F" w:rsidP="009F129F">
            <w:pPr>
              <w:pStyle w:val="ListBullet"/>
            </w:pPr>
            <w:r w:rsidRPr="009F129F">
              <w:t>Restrictions pertaining to HV switching equipment</w:t>
            </w:r>
          </w:p>
          <w:p w:rsidR="00000000" w:rsidRPr="009F129F" w:rsidP="009F129F">
            <w:pPr>
              <w:pStyle w:val="ListBullet"/>
            </w:pPr>
            <w:r w:rsidRPr="009F129F">
              <w:t>Procedures for the isolation of HV m</w:t>
            </w:r>
            <w:r w:rsidRPr="009F129F">
              <w:t>ains and working earths - earthing HV electrical apparatus practices and procedures for access authority issuing; HV switching techniques.</w:t>
            </w:r>
          </w:p>
          <w:p w:rsidR="00000000" w:rsidRPr="009F129F" w:rsidP="009F129F">
            <w:pPr>
              <w:pStyle w:val="ListBullet"/>
            </w:pPr>
            <w:r w:rsidRPr="009F129F">
              <w:t>Operate switching apparatus - identifying hazards, assessing and controlling risks associated with HV switchgear oper</w:t>
            </w:r>
            <w:r w:rsidRPr="009F129F">
              <w:t>ation, systematic and defensive techniques, mobile radio procedures, double isolation procedures.</w:t>
            </w:r>
          </w:p>
          <w:p w:rsidR="00000000" w:rsidRPr="009F129F" w:rsidP="009F129F">
            <w:pPr>
              <w:pStyle w:val="BodyText"/>
            </w:pPr>
            <w:r w:rsidRPr="009F129F">
              <w:t>T8</w:t>
            </w:r>
            <w:r w:rsidRPr="009F129F">
              <w:tab/>
              <w:t>Preparation of a HV switching instruction schedule encompassing:</w:t>
            </w:r>
          </w:p>
          <w:p w:rsidR="00000000" w:rsidRPr="009F129F" w:rsidP="009F129F">
            <w:pPr>
              <w:pStyle w:val="ListBullet"/>
            </w:pPr>
            <w:r w:rsidRPr="009F129F">
              <w:t>Legislation, Standards, codes, legislation, supply authority regulations and or enterpris</w:t>
            </w:r>
            <w:r w:rsidRPr="009F129F">
              <w:t>e requirements applicable to switching instruction schedules</w:t>
            </w:r>
          </w:p>
          <w:p w:rsidR="00000000" w:rsidRPr="009F129F" w:rsidP="009F129F">
            <w:pPr>
              <w:pStyle w:val="ListBullet"/>
            </w:pPr>
            <w:r w:rsidRPr="009F129F">
              <w:t>Requirements for the use of manuals, system diagrams/plans and drawings - types, characteristics and capabilities of HV electrical equipment to be switched, points of isolation and earthing locat</w:t>
            </w:r>
            <w:r w:rsidRPr="009F129F">
              <w:t>ions (safety and working earths), responsibilities of the switching operator.</w:t>
            </w:r>
          </w:p>
          <w:p w:rsidR="00000000" w:rsidRPr="009F129F" w:rsidP="009F129F">
            <w:pPr>
              <w:pStyle w:val="ListBullet"/>
            </w:pPr>
            <w:r w:rsidRPr="009F129F">
              <w:t>Techniques in writing switching instructions - sequence of switching operations, isolation procedures, earthing procedures, switching completion notification procedures.</w:t>
            </w:r>
          </w:p>
          <w:p w:rsidR="00000000" w:rsidRPr="009F129F" w:rsidP="009F129F">
            <w:pPr>
              <w:pStyle w:val="BodyText"/>
            </w:pPr>
            <w:r w:rsidRPr="009F129F">
              <w:t>T9</w:t>
            </w:r>
            <w:r w:rsidRPr="009F129F">
              <w:tab/>
              <w:t>Enter</w:t>
            </w:r>
            <w:r w:rsidRPr="009F129F">
              <w:t>prise specific — policy and procedure instructions encompassing:</w:t>
            </w:r>
          </w:p>
          <w:p w:rsidR="00000000" w:rsidRPr="009F129F" w:rsidP="009F129F">
            <w:pPr>
              <w:pStyle w:val="ListBullet"/>
            </w:pPr>
            <w:r w:rsidRPr="009F129F">
              <w:t>Responsibilities and duty of care of employer and employee relationship</w:t>
            </w:r>
          </w:p>
          <w:p w:rsidR="00000000" w:rsidRPr="009F129F" w:rsidP="009F129F">
            <w:pPr>
              <w:pStyle w:val="ListBullet"/>
            </w:pPr>
            <w:r w:rsidRPr="009F129F">
              <w:t>Methods of obtaining the up-to-date information on enterprise policy and procedures</w:t>
            </w:r>
          </w:p>
          <w:p w:rsidR="00000000" w:rsidRPr="009F129F" w:rsidP="009F129F">
            <w:pPr>
              <w:pStyle w:val="ListBullet"/>
            </w:pPr>
            <w:r w:rsidRPr="009F129F">
              <w:t>Rules and regulations</w:t>
            </w:r>
          </w:p>
          <w:p w:rsidR="00000000" w:rsidRPr="009F129F" w:rsidP="009F129F">
            <w:pPr>
              <w:pStyle w:val="ListBullet"/>
            </w:pPr>
            <w:r w:rsidRPr="009F129F">
              <w:t>Induction in</w:t>
            </w:r>
            <w:r w:rsidRPr="009F129F">
              <w:t>to workplace - location of work area and storage area, timetable, uniform, personal well-being, housekeeping rules, emergency procedures, evacuation procedures</w:t>
            </w:r>
          </w:p>
          <w:p w:rsidR="00000000" w:rsidRPr="009F129F" w:rsidP="009F129F">
            <w:pPr>
              <w:pStyle w:val="ListBullet"/>
            </w:pPr>
            <w:r w:rsidRPr="009F129F">
              <w:t>Techniques when deal with others - working in teams, customer relation, complaint and issues pro</w:t>
            </w:r>
            <w:r w:rsidRPr="009F129F">
              <w:t>cedures.</w:t>
            </w:r>
          </w:p>
          <w:p w:rsidR="00000000" w:rsidRPr="009F129F" w:rsidP="009F129F">
            <w:pPr>
              <w:pStyle w:val="ListBullet"/>
            </w:pPr>
            <w:r w:rsidRPr="009F129F">
              <w:t>Overview of enterprise professional development - fire fighting procedures, fatigue management, training and competency development - understanding and promotion</w:t>
            </w:r>
          </w:p>
          <w:p w:rsidR="00000000" w:rsidRPr="009F129F" w:rsidP="009F129F">
            <w:pPr>
              <w:pStyle w:val="BodyText"/>
            </w:pPr>
            <w:r w:rsidRPr="009F129F">
              <w:t>T10</w:t>
            </w:r>
            <w:r w:rsidRPr="009F129F">
              <w:tab/>
              <w:t>Enterprises specific — OHS instructions encompassing:</w:t>
            </w:r>
          </w:p>
          <w:p w:rsidR="00000000" w:rsidRPr="009F129F" w:rsidP="009F129F">
            <w:pPr>
              <w:pStyle w:val="ListBullet"/>
            </w:pPr>
            <w:r w:rsidRPr="009F129F">
              <w:t>Standards, codes, legislat</w:t>
            </w:r>
            <w:r w:rsidRPr="009F129F">
              <w:t>ion, supply authority regulations and specific enterprise regulations pertaining to the OHS policies and procedures</w:t>
            </w:r>
          </w:p>
          <w:p w:rsidR="00000000" w:rsidRPr="009F129F" w:rsidP="009F129F">
            <w:pPr>
              <w:pStyle w:val="ListBullet"/>
            </w:pPr>
            <w:r w:rsidRPr="009F129F">
              <w:t>Methods of obtaining the up-to-date information on enterprise OHS policy and procedures</w:t>
            </w:r>
          </w:p>
          <w:p w:rsidR="00000000" w:rsidRPr="009F129F" w:rsidP="009F129F">
            <w:pPr>
              <w:pStyle w:val="ListBullet"/>
            </w:pPr>
            <w:r w:rsidRPr="009F129F">
              <w:t>Specific enterprise personal protection equipment - type and application, where and when to be used, method of replacement, responsibility of maintenance including cleaning inspection and testing, emergency response, rescue, evacuation and First Aid proced</w:t>
            </w:r>
            <w:r w:rsidRPr="009F129F">
              <w:t>ures</w:t>
            </w:r>
          </w:p>
          <w:p w:rsidR="00000000" w:rsidRPr="009F129F" w:rsidP="009F129F">
            <w:pPr>
              <w:pStyle w:val="ListBullet"/>
            </w:pPr>
            <w:r w:rsidRPr="009F129F">
              <w:t>Personal well-being – hygiene, fatigue/stress management, drugs/alcohol</w:t>
            </w:r>
          </w:p>
          <w:p w:rsidR="00000000" w:rsidRPr="009F129F" w:rsidP="009F129F">
            <w:pPr>
              <w:pStyle w:val="ListBullet"/>
            </w:pPr>
            <w:r w:rsidRPr="009F129F">
              <w:t>OHS training - induction training, specific hazard training, specific task or equipment training, emergency and evacuation training, training as part of broader programs such as e</w:t>
            </w:r>
            <w:r w:rsidRPr="009F129F">
              <w:t>quipment operation</w:t>
            </w:r>
          </w:p>
          <w:p w:rsidR="00000000" w:rsidRPr="009F129F" w:rsidP="009F129F">
            <w:pPr>
              <w:pStyle w:val="ListBullet"/>
            </w:pPr>
            <w:r w:rsidRPr="009F129F">
              <w:t>OHS records including audits, inspection reports, workplace health and environmental monitoring records, training and instruction records, manufacturers and suppliers information such as MSDSs, registers, maintenance reports, workers com</w:t>
            </w:r>
            <w:r w:rsidRPr="009F129F">
              <w:t>pensation and rehabilitation records and First Aid/medical records</w:t>
            </w:r>
          </w:p>
          <w:p w:rsidR="00000000" w:rsidRPr="009F129F" w:rsidP="009F129F">
            <w:pPr>
              <w:pStyle w:val="BodyText"/>
            </w:pPr>
            <w:r w:rsidRPr="009F129F">
              <w:t>T11</w:t>
            </w:r>
            <w:r w:rsidRPr="009F129F">
              <w:tab/>
              <w:t xml:space="preserve">Substation switching practices encompassing: </w:t>
            </w:r>
          </w:p>
          <w:p w:rsidR="00000000" w:rsidRPr="009F129F" w:rsidP="009F129F">
            <w:pPr>
              <w:pStyle w:val="ListBullet"/>
            </w:pPr>
            <w:r w:rsidRPr="009F129F">
              <w:t>Standards, codes, legislation, supply authority regulations and or enterprise requirements applicable to substation switching</w:t>
            </w:r>
          </w:p>
          <w:p w:rsidR="00000000" w:rsidRPr="009F129F" w:rsidP="009F129F">
            <w:pPr>
              <w:pStyle w:val="ListBullet"/>
            </w:pPr>
            <w:r w:rsidRPr="009F129F">
              <w:t>Requirements</w:t>
            </w:r>
            <w:r w:rsidRPr="009F129F">
              <w:t xml:space="preserve"> for the use of manuals, substation diagrams/plans and drawings</w:t>
            </w:r>
          </w:p>
          <w:p w:rsidR="00000000" w:rsidRPr="009F129F" w:rsidP="009F129F">
            <w:pPr>
              <w:pStyle w:val="ListBullet"/>
            </w:pPr>
            <w:r w:rsidRPr="009F129F">
              <w:t>Types, characteristics and capabilities of HV substation equipment to be switched</w:t>
            </w:r>
          </w:p>
          <w:p w:rsidR="00000000" w:rsidRPr="009F129F" w:rsidP="009F129F">
            <w:pPr>
              <w:pStyle w:val="ListBullet"/>
            </w:pPr>
            <w:r w:rsidRPr="009F129F">
              <w:t>Procedures for obtaining correct HV switching authorization - identification of hazards and controlling risks,</w:t>
            </w:r>
            <w:r w:rsidRPr="009F129F">
              <w:t xml:space="preserve"> safety procedures and precautions, responsibilities and protocols, identifying switching resources, </w:t>
            </w:r>
          </w:p>
          <w:p w:rsidR="00000000" w:rsidRPr="009F129F" w:rsidP="009F129F">
            <w:pPr>
              <w:pStyle w:val="ListBullet"/>
            </w:pPr>
            <w:r w:rsidRPr="009F129F">
              <w:t>Techniques in HV substation switching - isolation procedures and proving dead, earthing procedures, pre-switching checks, switching operational procedures</w:t>
            </w:r>
            <w:r w:rsidRPr="009F129F">
              <w:t>, emergency fault procedures, commissioning procedures</w:t>
            </w:r>
          </w:p>
          <w:p w:rsidR="00000000" w:rsidRPr="009F129F" w:rsidP="009F129F">
            <w:pPr>
              <w:pStyle w:val="ListBullet"/>
            </w:pPr>
            <w:r w:rsidRPr="009F129F">
              <w:t xml:space="preserve">Use, care and operation of equipment associated with HV substation equipment - test instruments, sticks, </w:t>
            </w:r>
          </w:p>
          <w:p w:rsidR="00000000" w:rsidRPr="009F129F" w:rsidP="009F129F">
            <w:pPr>
              <w:pStyle w:val="ListBullet"/>
            </w:pPr>
            <w:r w:rsidRPr="009F129F">
              <w:t>HV switchgear – types, categories, application, operating capabilities</w:t>
            </w:r>
          </w:p>
          <w:p w:rsidR="00000000" w:rsidRPr="009F129F" w:rsidP="009F129F">
            <w:pPr>
              <w:pStyle w:val="ListBullet"/>
            </w:pPr>
            <w:r w:rsidRPr="009F129F">
              <w:t>Basic Operation of prote</w:t>
            </w:r>
            <w:r w:rsidRPr="009F129F">
              <w:t>ction systems</w:t>
            </w:r>
          </w:p>
          <w:p w:rsidR="00000000" w:rsidRPr="009F129F" w:rsidP="009F129F">
            <w:pPr>
              <w:pStyle w:val="ListBullet"/>
            </w:pPr>
            <w:r w:rsidRPr="009F129F">
              <w:t>Restrictions pertaining to HV substation switching equipment</w:t>
            </w:r>
          </w:p>
          <w:p w:rsidR="00000000" w:rsidRPr="009F129F" w:rsidP="009F129F">
            <w:pPr>
              <w:pStyle w:val="ListBullet"/>
            </w:pPr>
            <w:r w:rsidRPr="009F129F">
              <w:t>Restrictions pertaining to Enterprise Specific procedures</w:t>
            </w:r>
          </w:p>
          <w:p w:rsidR="00000000" w:rsidRPr="009F129F" w:rsidP="009F129F">
            <w:pPr>
              <w:pStyle w:val="BodyText"/>
            </w:pPr>
            <w:r w:rsidRPr="009F129F">
              <w:t>T12</w:t>
            </w:r>
            <w:r w:rsidRPr="009F129F">
              <w:tab/>
              <w:t>Transient overvoltages encompassing:</w:t>
            </w:r>
          </w:p>
          <w:p w:rsidR="00000000" w:rsidRPr="009F129F" w:rsidP="009F129F">
            <w:pPr>
              <w:pStyle w:val="ListBullet"/>
            </w:pPr>
            <w:r w:rsidRPr="009F129F">
              <w:t>Causes and effects of transient overvoltages - switching transients and lightning</w:t>
            </w:r>
            <w:r w:rsidRPr="009F129F">
              <w:t xml:space="preserve"> transients, effects on plant items</w:t>
            </w:r>
          </w:p>
          <w:p w:rsidR="00000000" w:rsidRPr="009F129F" w:rsidP="009F129F">
            <w:pPr>
              <w:pStyle w:val="ListBullet"/>
            </w:pPr>
            <w:r w:rsidRPr="009F129F">
              <w:t>Control techniques and systems - diverters, shield wires and CB arc control</w:t>
            </w:r>
          </w:p>
          <w:p w:rsidR="00000000" w:rsidRPr="009F129F" w:rsidP="009F129F">
            <w:pPr>
              <w:pStyle w:val="ListBullet"/>
            </w:pPr>
            <w:r w:rsidRPr="009F129F">
              <w:t>Insulation systems - insulation coordination and insulation grading.</w:t>
            </w:r>
          </w:p>
          <w:p w:rsidR="00000000" w:rsidRPr="009F129F" w:rsidP="009F129F">
            <w:pPr>
              <w:pStyle w:val="BodyText"/>
            </w:pPr>
            <w:r w:rsidRPr="009F129F">
              <w:t>T13</w:t>
            </w:r>
            <w:r w:rsidRPr="009F129F">
              <w:tab/>
            </w:r>
            <w:r w:rsidRPr="009F129F">
              <w:t>Commissioning procedures associated with relevant equipment encompassing:</w:t>
            </w:r>
          </w:p>
          <w:p w:rsidR="00000000" w:rsidRPr="009F129F" w:rsidP="009F129F">
            <w:pPr>
              <w:pStyle w:val="ListBullet"/>
            </w:pPr>
            <w:r w:rsidRPr="009F129F">
              <w:t>Standards, codes, Commonwealth/State/Territory legislation, supply authority regulations and or enterprise requirements associated with the commissioning procedures</w:t>
            </w:r>
          </w:p>
          <w:p w:rsidR="00000000" w:rsidRPr="009F129F" w:rsidP="009F129F">
            <w:pPr>
              <w:pStyle w:val="ListBullet"/>
            </w:pPr>
            <w:r w:rsidRPr="009F129F">
              <w:t>Requirements for</w:t>
            </w:r>
            <w:r w:rsidRPr="009F129F">
              <w:t xml:space="preserve"> the use of commissioning manuals, system diagrams/plans and drawings</w:t>
            </w:r>
          </w:p>
          <w:p w:rsidR="00000000" w:rsidRPr="009F129F" w:rsidP="009F129F">
            <w:pPr>
              <w:pStyle w:val="ListBullet"/>
            </w:pPr>
            <w:r w:rsidRPr="009F129F">
              <w:t>Techniques in commissioning procedures – planning, policy, testing techniques, close out requirements.</w:t>
            </w:r>
          </w:p>
          <w:p w:rsidR="00000000" w:rsidRPr="009F129F" w:rsidP="009F129F">
            <w:pPr>
              <w:pStyle w:val="BodyText"/>
            </w:pPr>
            <w:r w:rsidRPr="009F129F">
              <w:t>T14</w:t>
            </w:r>
            <w:r w:rsidRPr="009F129F">
              <w:tab/>
              <w:t>EHV generator control systems encompassing:</w:t>
            </w:r>
          </w:p>
          <w:p w:rsidR="00000000" w:rsidRPr="009F129F" w:rsidP="009F129F">
            <w:pPr>
              <w:pStyle w:val="ListBullet"/>
            </w:pPr>
            <w:r w:rsidRPr="009F129F">
              <w:t>Legislation, Standards, codes, leg</w:t>
            </w:r>
            <w:r w:rsidRPr="009F129F">
              <w:t>islation, supply authority regulations and or enterprise requirements pertaining to the operation of a portable generator</w:t>
            </w:r>
          </w:p>
          <w:p w:rsidR="00000000" w:rsidRPr="009F129F" w:rsidP="009F129F">
            <w:pPr>
              <w:pStyle w:val="ListBullet"/>
            </w:pPr>
            <w:r w:rsidRPr="009F129F">
              <w:t xml:space="preserve">Safety precautions specific to the synchronisation of generator sets - safe working policies, practices and procedures, synchronising </w:t>
            </w:r>
            <w:r w:rsidRPr="009F129F">
              <w:t>procedures</w:t>
            </w:r>
          </w:p>
          <w:p w:rsidR="00000000" w:rsidRPr="009F129F" w:rsidP="009F129F">
            <w:pPr>
              <w:pStyle w:val="ListBullet"/>
            </w:pPr>
            <w:r w:rsidRPr="009F129F">
              <w:t>Techniques in the installation of generator sets control systems - the synchronising of generator control systems onto and off the network without interruption to supply, estimation of EHV load, assessing the appropriateness of the generator</w:t>
            </w:r>
          </w:p>
          <w:p w:rsidR="00000000" w:rsidRPr="009F129F" w:rsidP="009F129F">
            <w:pPr>
              <w:pStyle w:val="ListBullet"/>
            </w:pPr>
            <w:r w:rsidRPr="009F129F">
              <w:t>Ope</w:t>
            </w:r>
            <w:r w:rsidRPr="009F129F">
              <w:t>rating a generator in parallel to a single EHV job - overhead systems, indoor systems, customer installations, kiosk substations</w:t>
            </w:r>
          </w:p>
          <w:p w:rsidR="00000000" w:rsidRPr="009F129F" w:rsidP="009F129F">
            <w:pPr>
              <w:pStyle w:val="ListBullet"/>
            </w:pPr>
            <w:r w:rsidRPr="009F129F">
              <w:t>EHV generator set and control system to EHV Distribution assets.</w:t>
            </w:r>
          </w:p>
          <w:p w:rsidR="00000000" w:rsidRPr="009F129F" w:rsidP="009F129F">
            <w:pPr>
              <w:pStyle w:val="BodyText"/>
            </w:pPr>
            <w:r w:rsidRPr="009F129F">
              <w:t>T15</w:t>
            </w:r>
            <w:r w:rsidRPr="009F129F">
              <w:tab/>
              <w:t>Different types and function of transmission components en</w:t>
            </w:r>
            <w:r w:rsidRPr="009F129F">
              <w:t>compassing:</w:t>
            </w:r>
          </w:p>
          <w:p w:rsidR="00000000" w:rsidRPr="009F129F" w:rsidP="009F129F">
            <w:pPr>
              <w:pStyle w:val="ListBullet"/>
            </w:pPr>
            <w:r w:rsidRPr="009F129F">
              <w:t>Commonwealth, State/Territory and local government legislation, supply authority regulations Standards, codes, and or enterprise requirements applicable to the use and application of transmission components</w:t>
            </w:r>
          </w:p>
          <w:p w:rsidR="00000000" w:rsidRPr="009F129F" w:rsidP="009F129F">
            <w:pPr>
              <w:pStyle w:val="ListBullet"/>
            </w:pPr>
            <w:r w:rsidRPr="009F129F">
              <w:t>Requirements for the use of transmis</w:t>
            </w:r>
            <w:r w:rsidRPr="009F129F">
              <w:t>sion line construction manuals, system diagrams/plans and drawings</w:t>
            </w:r>
          </w:p>
          <w:p w:rsidR="00000000" w:rsidRPr="009F129F" w:rsidP="009F129F">
            <w:pPr>
              <w:pStyle w:val="ListBullet"/>
            </w:pPr>
            <w:r w:rsidRPr="009F129F">
              <w:t>Types, function and characteristics of transmission components</w:t>
            </w:r>
          </w:p>
          <w:p w:rsidR="00000000" w:rsidRPr="009F129F" w:rsidP="009F129F">
            <w:pPr>
              <w:pStyle w:val="ListBullet"/>
            </w:pPr>
            <w:r w:rsidRPr="009F129F">
              <w:t>Safety policies and procedures precautions related to the handling and installing transmission components</w:t>
            </w:r>
          </w:p>
          <w:p w:rsidR="00000000" w:rsidRPr="009F129F" w:rsidP="009F129F">
            <w:pPr>
              <w:pStyle w:val="BodyText"/>
            </w:pPr>
            <w:r w:rsidRPr="009F129F">
              <w:t>T16</w:t>
            </w:r>
            <w:r w:rsidRPr="009F129F">
              <w:tab/>
              <w:t xml:space="preserve">EHV system load </w:t>
            </w:r>
            <w:r w:rsidRPr="009F129F">
              <w:t>calculation principles encompassing:</w:t>
            </w:r>
          </w:p>
          <w:p w:rsidR="00000000" w:rsidRPr="009F129F" w:rsidP="009F129F">
            <w:pPr>
              <w:pStyle w:val="ListBullet"/>
            </w:pPr>
            <w:r w:rsidRPr="009F129F">
              <w:t>Structure of EHV transmission systems</w:t>
            </w:r>
          </w:p>
          <w:p w:rsidR="00000000" w:rsidRPr="009F129F" w:rsidP="009F129F">
            <w:pPr>
              <w:pStyle w:val="ListBullet"/>
            </w:pPr>
            <w:r w:rsidRPr="009F129F">
              <w:t>Ratings of EHV system components</w:t>
            </w:r>
          </w:p>
          <w:p w:rsidR="00000000" w:rsidRPr="009F129F" w:rsidP="009F129F">
            <w:pPr>
              <w:pStyle w:val="ListBullet"/>
            </w:pPr>
            <w:r w:rsidRPr="009F129F">
              <w:t>Relationship to EHV customers</w:t>
            </w:r>
          </w:p>
          <w:p w:rsidR="00000000" w:rsidRPr="009F129F" w:rsidP="009F129F">
            <w:pPr>
              <w:pStyle w:val="ListBullet"/>
            </w:pPr>
            <w:r w:rsidRPr="009F129F">
              <w:t>Relationship to generation sources</w:t>
            </w:r>
          </w:p>
          <w:p w:rsidR="00000000" w:rsidRPr="009F129F" w:rsidP="009F129F">
            <w:pPr>
              <w:pStyle w:val="ListBullet"/>
            </w:pPr>
            <w:r w:rsidRPr="009F129F">
              <w:t>Methods of determining load on EHV systems</w:t>
            </w:r>
          </w:p>
          <w:p w:rsidR="00000000" w:rsidRPr="009F129F" w:rsidP="009F129F">
            <w:pPr>
              <w:pStyle w:val="ListBullet"/>
            </w:pPr>
            <w:r w:rsidRPr="009F129F">
              <w:t>Records of load on EHV systems</w:t>
            </w:r>
          </w:p>
          <w:p w:rsidR="00000000" w:rsidRPr="009F129F" w:rsidP="009F129F">
            <w:pPr>
              <w:pStyle w:val="ListBullet"/>
            </w:pPr>
            <w:r w:rsidRPr="009F129F">
              <w:t>Effect of added load on EHV transmission systems - variation of current, voltage, power, reactive power and power factor</w:t>
            </w:r>
          </w:p>
          <w:p w:rsidR="00000000" w:rsidRPr="009F129F" w:rsidP="009F129F">
            <w:pPr>
              <w:pStyle w:val="ListBullet"/>
            </w:pPr>
            <w:r w:rsidRPr="009F129F">
              <w:t>Load flows in parallel or loop operation</w:t>
            </w:r>
          </w:p>
          <w:p w:rsidR="00000000" w:rsidRPr="009F129F" w:rsidP="009F129F">
            <w:pPr>
              <w:pStyle w:val="ListBullet"/>
            </w:pPr>
            <w:r w:rsidRPr="009F129F">
              <w:t>Enterprise specific network coordination tools</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10" w:name="O_465001"/>
      <w:bookmarkEnd w:id="10"/>
      <w:r w:rsidRPr="009F129F">
        <w:t>Evidence Guide</w:t>
      </w:r>
    </w:p>
    <w:tbl>
      <w:tblPr>
        <w:tblW w:w="0" w:type="auto"/>
        <w:tblLayout w:type="fixed"/>
        <w:tblCellMar>
          <w:left w:w="62" w:type="dxa"/>
          <w:right w:w="62" w:type="dxa"/>
        </w:tblCellMar>
        <w:tblLook w:val="0000"/>
      </w:tblPr>
      <w:tblGrid>
        <w:gridCol w:w="8460"/>
      </w:tblGrid>
      <w:tr w:rsidTr="00A125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EVIDENCE GUID</w:t>
            </w:r>
            <w:r w:rsidRPr="009F129F">
              <w:rPr>
                <w:rStyle w:val="SpecialBold"/>
              </w:rPr>
              <w:t>E</w:t>
            </w:r>
          </w:p>
        </w:tc>
      </w:tr>
      <w:tr w:rsidTr="00A125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9)</w:t>
            </w:r>
            <w:r w:rsidRPr="009F129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9F129F" w:rsidP="009F129F">
            <w:pPr>
              <w:pStyle w:val="BodyText"/>
            </w:pPr>
            <w:r w:rsidRPr="009F129F">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9F129F" w:rsidP="009F129F">
      <w:pPr>
        <w:pStyle w:val="BodyText"/>
      </w:pPr>
    </w:p>
    <w:tbl>
      <w:tblPr>
        <w:tblW w:w="0" w:type="auto"/>
        <w:tblLayout w:type="fixed"/>
        <w:tblCellMar>
          <w:left w:w="62" w:type="dxa"/>
          <w:right w:w="62" w:type="dxa"/>
        </w:tblCellMar>
        <w:tblLook w:val="0000"/>
      </w:tblPr>
      <w:tblGrid>
        <w:gridCol w:w="1890"/>
        <w:gridCol w:w="6570"/>
      </w:tblGrid>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9.1)</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Longitudinal competency development approaches to assessment, such as Profiling, require data to be reliably gathered in a form that can be consistently interpreted over time. This approach is best utilised in Apprenticeship programs and reduces as</w:t>
            </w:r>
            <w:r w:rsidRPr="009F129F">
              <w:t>sessment intervention. It is the Industry’s preferred model for apprenticeships. However, where summative (or final) assessment is used it is to include the application of the competency in the normal work environment or, at a minimum, the application of t</w:t>
            </w:r>
            <w:r w:rsidRPr="009F129F">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9F129F" w:rsidP="009F129F">
            <w:pPr>
              <w:pStyle w:val="BodyText"/>
            </w:pPr>
            <w:r w:rsidRPr="009F129F">
              <w:t>Method</w:t>
            </w:r>
            <w:r w:rsidRPr="009F129F">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9F129F">
              <w:t>may be required and the critical nature of the competencies being assessed.</w:t>
            </w:r>
          </w:p>
          <w:p w:rsidR="00000000" w:rsidRPr="009F129F" w:rsidP="009F129F">
            <w:pPr>
              <w:pStyle w:val="BodyText"/>
            </w:pPr>
            <w:r w:rsidRPr="009F129F">
              <w:t>The critical safety nature of working with electricity, electrical equipment, gas or any other hazardous substance/material carries risk in deeming a person competent. Hence, sourc</w:t>
            </w:r>
            <w:r w:rsidRPr="009F129F">
              <w:t>es of evidence need to be ‘rich’ in nature so as to minimise error in judgment.</w:t>
            </w:r>
          </w:p>
          <w:p w:rsidR="00000000" w:rsidRPr="009F129F" w:rsidP="009F129F">
            <w:pPr>
              <w:pStyle w:val="BodyText"/>
            </w:pPr>
            <w:r w:rsidRPr="009F129F">
              <w:t>Activities associated with normal every day work have a bearing on the decision as to how much and how detailed the data gathered will contribute to its ‘richness’</w:t>
            </w:r>
            <w:r w:rsidRPr="009F129F">
              <w:t>. Some skills are more critical to safety and operational requirements while the same skills may be more or less frequently practiced. These points are raised for the assessors to consider when choosing an assessment method and developing assessment instru</w:t>
            </w:r>
            <w:r w:rsidRPr="009F129F">
              <w:t>ments. Sample assessment instruments are included for Assessors in the Assessment Guidelines of this Training Package.</w:t>
            </w:r>
          </w:p>
        </w:tc>
      </w:tr>
    </w:tbl>
    <w:p w:rsidR="00000000" w:rsidRPr="009F129F" w:rsidP="009F129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9.2)</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Before the critical aspects of evidence are cons</w:t>
            </w:r>
            <w:r w:rsidRPr="009F129F">
              <w:t>idered all prerequisites shall be met.</w:t>
            </w:r>
          </w:p>
          <w:p w:rsidR="00000000" w:rsidRPr="009F129F" w:rsidP="009F129F">
            <w:pPr>
              <w:pStyle w:val="BodyText"/>
            </w:pPr>
            <w:r w:rsidRPr="009F129F">
              <w:t>Evidence for competence in this unit shall be considered holistically. Each Element and associated Performance Criteria shall be demonstrated on at least two occasions in accordance with the “Assessment Guidelines – U</w:t>
            </w:r>
            <w:r w:rsidRPr="009F129F">
              <w:t>ET12”. Evidence shall also comprise:</w:t>
            </w:r>
          </w:p>
          <w:p w:rsidR="00000000" w:rsidRPr="009F129F" w:rsidP="009F129F">
            <w:pPr>
              <w:pStyle w:val="ListBullet"/>
            </w:pPr>
            <w:r w:rsidRPr="009F129F">
              <w:t xml:space="preserve">A representative body of Performance Criteria demonstrated within the timeframes typically expected of the discipline, work function and industrial environment. In particular this shall incorporate evidence that shows </w:t>
            </w:r>
            <w:r w:rsidRPr="009F129F">
              <w:t>a candidate is able to:</w:t>
            </w:r>
          </w:p>
          <w:p w:rsidR="00000000" w:rsidRPr="009F129F" w:rsidP="009F129F">
            <w:pPr>
              <w:pStyle w:val="ListBullet2"/>
            </w:pPr>
            <w:r w:rsidRPr="009F129F">
              <w:t>Implement Occupational Health and Safety workplace procedures and practices including the use of risk control measures as specified in the Performance Criteria and range; and</w:t>
            </w:r>
          </w:p>
          <w:p w:rsidR="00000000" w:rsidRPr="009F129F" w:rsidP="009F129F">
            <w:pPr>
              <w:pStyle w:val="ListBullet2"/>
            </w:pPr>
            <w:r w:rsidRPr="009F129F">
              <w:t>Apply sustainable energy principles and practices as specified in the Performance Criteria and range; and</w:t>
            </w:r>
          </w:p>
          <w:p w:rsidR="00000000" w:rsidRPr="009F129F" w:rsidP="009F129F">
            <w:pPr>
              <w:pStyle w:val="ListBullet2"/>
            </w:pPr>
            <w:r w:rsidRPr="009F129F">
              <w:t xml:space="preserve">Demonstrate an understanding of the essential knowledge and associated skills described in this unit to such an extent that the learner’s performance </w:t>
            </w:r>
            <w:r w:rsidRPr="009F129F">
              <w:t>outcome is reported in accordance with the preferred approach; namely a percentile graded result, where required by the regulated environment; and</w:t>
            </w:r>
          </w:p>
          <w:p w:rsidR="00000000" w:rsidRPr="009F129F" w:rsidP="009F129F">
            <w:pPr>
              <w:pStyle w:val="ListBullet2"/>
            </w:pPr>
            <w:r w:rsidRPr="009F129F">
              <w:t>Demonstrate an appropriate level of employability skills; and</w:t>
            </w:r>
          </w:p>
          <w:p w:rsidR="00000000" w:rsidRPr="009F129F" w:rsidP="009F129F">
            <w:pPr>
              <w:pStyle w:val="ListBullet"/>
            </w:pPr>
            <w:r w:rsidRPr="009F129F">
              <w:t>Conduct work observing the relevant Anti Discr</w:t>
            </w:r>
            <w:r w:rsidRPr="009F129F">
              <w:t>imination legislation, regulations, policies and workplace procedures; and</w:t>
            </w:r>
          </w:p>
          <w:p w:rsidR="00000000" w:rsidP="009F129F">
            <w:pPr>
              <w:pStyle w:val="ListBullet2"/>
              <w:rPr>
                <w:lang w:val="en-NZ"/>
              </w:rPr>
            </w:pPr>
            <w:r w:rsidRPr="009F129F">
              <w:t>Demonstrated performance across a representative range of contexts from the prescribed items below:</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F129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rPr>
                <w:rStyle w:val="SpecialBold"/>
              </w:rPr>
              <w:t>Range of tools/equipment/materials/procedures/workplaces/other variables</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F129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9F" w:rsidP="009F129F">
            <w:pPr>
              <w:pStyle w:val="BodyText"/>
            </w:pPr>
            <w:r w:rsidRPr="009F129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9F" w:rsidP="009F129F">
            <w:pPr>
              <w:pStyle w:val="BodyText"/>
            </w:pPr>
            <w:r w:rsidRPr="009F129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rPr>
                <w:rStyle w:val="SpecialBold"/>
              </w:rPr>
              <w:t>Item List</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Develop and evaluate, at least four (4) switching programs that between them integrates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9F" w:rsidP="009F129F">
            <w:pPr>
              <w:pStyle w:val="BodyText"/>
            </w:pPr>
            <w:r w:rsidRPr="009F129F">
              <w:t>A transformer with an EHV winding</w:t>
            </w:r>
          </w:p>
          <w:p w:rsidR="00000000" w:rsidRPr="009F129F" w:rsidP="009F129F">
            <w:pPr>
              <w:pStyle w:val="BodyText"/>
            </w:pPr>
            <w:r w:rsidRPr="009F129F">
              <w:t xml:space="preserve">EHV Busbars; </w:t>
            </w:r>
          </w:p>
          <w:p w:rsidR="00000000" w:rsidRPr="009F129F" w:rsidP="009F129F">
            <w:pPr>
              <w:pStyle w:val="BodyText"/>
            </w:pPr>
            <w:r w:rsidRPr="009F129F">
              <w:t>EHV Isolators</w:t>
            </w:r>
          </w:p>
          <w:p w:rsidR="00000000" w:rsidRPr="009F129F" w:rsidP="009F129F">
            <w:pPr>
              <w:pStyle w:val="BodyText"/>
            </w:pPr>
            <w:r w:rsidRPr="009F129F">
              <w:t>EHV Switchgear (applicable to enterprise equipment)</w:t>
            </w:r>
          </w:p>
          <w:p w:rsidR="00000000" w:rsidRPr="009F129F" w:rsidP="009F129F">
            <w:pPr>
              <w:pStyle w:val="BodyText"/>
            </w:pPr>
            <w:r w:rsidRPr="009F129F">
              <w:t>Phasing and phase rotation</w:t>
            </w:r>
          </w:p>
          <w:p w:rsidR="00000000" w:rsidRPr="009F129F" w:rsidP="009F129F">
            <w:pPr>
              <w:pStyle w:val="BodyText"/>
            </w:pPr>
            <w:r w:rsidRPr="009F129F">
              <w:t>Commissioning a project that includes more than one item of EHV plant that includes a transformer</w:t>
            </w:r>
          </w:p>
          <w:p w:rsidR="00000000" w:rsidRPr="009F129F" w:rsidP="009F129F">
            <w:pPr>
              <w:pStyle w:val="BodyText"/>
            </w:pPr>
            <w:r w:rsidRPr="009F129F">
              <w:t>A planned liaison with a HV customer/s</w:t>
            </w:r>
          </w:p>
          <w:p w:rsidR="00000000" w:rsidP="009F129F">
            <w:pPr>
              <w:pStyle w:val="BodyText"/>
              <w:rPr>
                <w:lang w:val="en-NZ"/>
              </w:rPr>
            </w:pPr>
            <w:r w:rsidRPr="009F129F">
              <w:t>Activities that address th</w:t>
            </w:r>
            <w:r w:rsidRPr="009F129F">
              <w:t>e correction of errors in the process</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Prepare switching instructions, test and earth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9F" w:rsidP="009F129F">
            <w:pPr>
              <w:pStyle w:val="BodyText"/>
            </w:pPr>
            <w:r w:rsidRPr="009F129F">
              <w:t>Transformer types</w:t>
            </w:r>
          </w:p>
          <w:p w:rsidR="00000000" w:rsidRPr="009F129F" w:rsidP="009F129F">
            <w:pPr>
              <w:pStyle w:val="BodyText"/>
            </w:pPr>
            <w:r w:rsidRPr="009F129F">
              <w:t>Busbar types</w:t>
            </w:r>
          </w:p>
          <w:p w:rsidR="00000000" w:rsidRPr="009F129F" w:rsidP="009F129F">
            <w:pPr>
              <w:pStyle w:val="BodyText"/>
            </w:pPr>
            <w:r w:rsidRPr="009F129F">
              <w:t>Transmission line types</w:t>
            </w:r>
          </w:p>
          <w:p w:rsidR="00000000" w:rsidP="009F129F">
            <w:pPr>
              <w:pStyle w:val="BodyText"/>
              <w:rPr>
                <w:lang w:val="en-NZ"/>
              </w:rPr>
            </w:pPr>
            <w:r w:rsidRPr="009F129F">
              <w:t>Circuit breakers, isolators or switches</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9F" w:rsidP="009F129F">
            <w:pPr>
              <w:pStyle w:val="BodyText"/>
            </w:pPr>
            <w:r w:rsidRPr="009F129F">
              <w:t xml:space="preserve">Check switching instructions; </w:t>
            </w:r>
          </w:p>
          <w:p w:rsidR="00000000" w:rsidRPr="009F129F" w:rsidP="009F129F">
            <w:pPr>
              <w:pStyle w:val="BodyText"/>
            </w:pPr>
            <w:r w:rsidRPr="009F129F">
              <w:t xml:space="preserve">Calculate plant loading; </w:t>
            </w:r>
          </w:p>
          <w:p w:rsidR="00000000" w:rsidP="009F129F">
            <w:pPr>
              <w:pStyle w:val="BodyText"/>
              <w:rPr>
                <w:lang w:val="en-NZ"/>
              </w:rPr>
            </w:pPr>
            <w:r w:rsidRPr="009F129F">
              <w:t>Manage the development of multiple switching programs</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29F">
            <w:pPr>
              <w:pStyle w:val="BodyText"/>
              <w:rPr>
                <w:lang w:val="en-NZ"/>
              </w:rPr>
            </w:pPr>
            <w:r w:rsidRPr="009F129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29F" w:rsidP="009F129F">
            <w:pPr>
              <w:pStyle w:val="BodyText"/>
            </w:pPr>
            <w:r w:rsidRPr="009F129F">
              <w:t>Dealing with an unplanned event by drawing on essential knowledge and associated skills to provide appropriate solutio</w:t>
            </w:r>
            <w:r w:rsidRPr="009F129F">
              <w:t>ns incorporated in the holistic assessment with the above listed items.</w:t>
            </w:r>
          </w:p>
        </w:tc>
      </w:tr>
    </w:tbl>
    <w:p w:rsidR="00000000" w:rsidRPr="009F129F" w:rsidP="009F129F">
      <w:pPr>
        <w:pStyle w:val="BodyText"/>
      </w:pPr>
    </w:p>
    <w:tbl>
      <w:tblPr>
        <w:tblW w:w="0" w:type="auto"/>
        <w:tblLayout w:type="fixed"/>
        <w:tblCellMar>
          <w:left w:w="62" w:type="dxa"/>
          <w:right w:w="62" w:type="dxa"/>
        </w:tblCellMar>
        <w:tblLook w:val="0000"/>
      </w:tblPr>
      <w:tblGrid>
        <w:gridCol w:w="1890"/>
        <w:gridCol w:w="6570"/>
      </w:tblGrid>
      <w:tr w:rsidTr="00A1256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9.3)</w:t>
            </w:r>
          </w:p>
        </w:tc>
      </w:tr>
      <w:tr w:rsidTr="00A1256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This unit should be assessed as it relates to normal work practice using procedures, information and resources typical of a workplace. This should include:</w:t>
            </w:r>
          </w:p>
          <w:p w:rsidR="00000000" w:rsidRPr="009F129F" w:rsidP="009F129F">
            <w:pPr>
              <w:pStyle w:val="ListBullet"/>
            </w:pPr>
            <w:r w:rsidRPr="009F129F">
              <w:t>OHS policy and work procedures and instructions.</w:t>
            </w:r>
          </w:p>
          <w:p w:rsidR="00000000" w:rsidRPr="009F129F" w:rsidP="009F129F">
            <w:pPr>
              <w:pStyle w:val="ListBullet"/>
            </w:pPr>
            <w:r w:rsidRPr="009F129F">
              <w:t>Suitable work environment, facilities, equipment a</w:t>
            </w:r>
            <w:r w:rsidRPr="009F129F">
              <w:t>nd materials to undertake actual preparation of HV Transmission Switching programs</w:t>
            </w:r>
          </w:p>
          <w:p w:rsidR="00000000" w:rsidRPr="009F129F" w:rsidP="009F129F">
            <w:pPr>
              <w:pStyle w:val="BodyText"/>
            </w:pPr>
            <w:r w:rsidRPr="009F129F">
              <w:t>Note:</w:t>
            </w:r>
          </w:p>
          <w:p w:rsidR="00000000" w:rsidRPr="009F129F" w:rsidP="009F129F">
            <w:pPr>
              <w:pStyle w:val="BodyText"/>
            </w:pPr>
            <w:r w:rsidRPr="009F129F">
              <w:t>Access will be needed to: relevant modelling tools, drawings, computerised electrical plant control and monitoring facilities and enterprise operational policies, proc</w:t>
            </w:r>
            <w:r w:rsidRPr="009F129F">
              <w:t>edures and work practices.</w:t>
            </w:r>
          </w:p>
          <w:p w:rsidR="00000000" w:rsidRPr="009F129F" w:rsidP="009F129F">
            <w:pPr>
              <w:pStyle w:val="BodyText"/>
            </w:pPr>
            <w:r w:rsidRPr="009F129F">
              <w:t>In addition to the resources listed above, in Context of and specific resources for assessment, evidence should show demonstrated competency working in realistic environment and a variety of conditions.</w:t>
            </w:r>
          </w:p>
        </w:tc>
      </w:tr>
    </w:tbl>
    <w:p w:rsidR="00000000" w:rsidRPr="009F129F" w:rsidP="009F129F">
      <w:pPr>
        <w:pStyle w:val="BodyText"/>
      </w:pPr>
    </w:p>
    <w:tbl>
      <w:tblPr>
        <w:tblW w:w="0" w:type="auto"/>
        <w:tblLayout w:type="fixed"/>
        <w:tblCellMar>
          <w:left w:w="62" w:type="dxa"/>
          <w:right w:w="62" w:type="dxa"/>
        </w:tblCellMar>
        <w:tblLook w:val="0000"/>
      </w:tblPr>
      <w:tblGrid>
        <w:gridCol w:w="1890"/>
        <w:gridCol w:w="6570"/>
      </w:tblGrid>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9.4)</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This Competency Standard Unit shall be assessed by methods given in Volume 1, Part 3 “Assessment Guidelines”.</w:t>
            </w:r>
          </w:p>
          <w:p w:rsidR="00000000" w:rsidRPr="009F129F" w:rsidP="009F129F">
            <w:pPr>
              <w:pStyle w:val="BodyText"/>
            </w:pPr>
            <w:r w:rsidRPr="009F129F">
              <w:t>Note:</w:t>
            </w:r>
          </w:p>
          <w:p w:rsidR="00000000" w:rsidRPr="009F129F" w:rsidP="009F129F">
            <w:pPr>
              <w:pStyle w:val="BodyText"/>
            </w:pPr>
            <w:r w:rsidRPr="009F129F">
              <w:t xml:space="preserve">Competent performance with inherent safe working practices is expected in the Transmission, Distribution and Rail Traction Industry. </w:t>
            </w:r>
            <w:r w:rsidRPr="009F129F">
              <w:t>This requires that the specified essential knowledge and associated skills are assessed in a structured environment which is primarily intended for learning/assessment and incorporates all necessary equipment and facilities for learners to develop and demo</w:t>
            </w:r>
            <w:r w:rsidRPr="009F129F">
              <w:t>nstrate the essential knowledge and associated skills described in this unit.</w:t>
            </w:r>
          </w:p>
        </w:tc>
      </w:tr>
    </w:tbl>
    <w:p w:rsidR="00000000" w:rsidRPr="009F129F" w:rsidP="009F129F">
      <w:pPr>
        <w:pStyle w:val="BodyText"/>
      </w:pPr>
    </w:p>
    <w:tbl>
      <w:tblPr>
        <w:tblW w:w="0" w:type="auto"/>
        <w:tblLayout w:type="fixed"/>
        <w:tblCellMar>
          <w:left w:w="62" w:type="dxa"/>
          <w:right w:w="62" w:type="dxa"/>
        </w:tblCellMar>
        <w:tblLook w:val="0000"/>
      </w:tblPr>
      <w:tblGrid>
        <w:gridCol w:w="1890"/>
        <w:gridCol w:w="1530"/>
        <w:gridCol w:w="5040"/>
      </w:tblGrid>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9.5)</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For optimisation of training and assessment effort, competence in this unit may be assessed concurrently with units:</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UETTDRSO36A</w:t>
            </w:r>
          </w:p>
        </w:tc>
        <w:tc>
          <w:tcPr>
            <w:tcW w:w="504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Develop low voltage distribution switching programs</w:t>
            </w:r>
          </w:p>
        </w:tc>
      </w:tr>
      <w:tr w:rsidTr="00A125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t>UETTDRSO37A</w:t>
            </w:r>
          </w:p>
        </w:tc>
        <w:tc>
          <w:tcPr>
            <w:tcW w:w="504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Develop high voltage distribution and subtransmission swit</w:t>
            </w:r>
            <w:r w:rsidRPr="009F129F">
              <w:t>ching programs</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11" w:name="O_465005"/>
      <w:bookmarkEnd w:id="11"/>
      <w:r w:rsidRPr="009F129F">
        <w:t>Range Statement</w:t>
      </w:r>
    </w:p>
    <w:tbl>
      <w:tblPr>
        <w:tblW w:w="0" w:type="auto"/>
        <w:tblLayout w:type="fixed"/>
        <w:tblCellMar>
          <w:left w:w="62" w:type="dxa"/>
          <w:right w:w="62" w:type="dxa"/>
        </w:tblCellMar>
        <w:tblLook w:val="0000"/>
      </w:tblPr>
      <w:tblGrid>
        <w:gridCol w:w="8460"/>
      </w:tblGrid>
      <w:tr w:rsidTr="00A125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RANGE STATEMENT</w:t>
            </w:r>
          </w:p>
        </w:tc>
      </w:tr>
      <w:tr w:rsidTr="00A125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10)</w:t>
            </w:r>
            <w:r w:rsidRPr="009F129F">
              <w:t xml:space="preserve"> This relates to the competency standard unit as a whole providing the range of contexts and conditions to w</w:t>
            </w:r>
            <w:r w:rsidRPr="009F129F">
              <w:t>hich the Performance Criteria apply. It allows for different work environments and situations that will affect performance.</w:t>
            </w:r>
          </w:p>
          <w:p w:rsidR="00000000" w:rsidRPr="009F129F" w:rsidP="009F129F">
            <w:pPr>
              <w:pStyle w:val="BodyText"/>
            </w:pPr>
            <w:r w:rsidRPr="009F129F">
              <w:t>This Competency Standard Unit shall be demonstrated in relation to the development and evaluation of activities required to place th</w:t>
            </w:r>
            <w:r w:rsidRPr="009F129F">
              <w:t>e transmission network in a state in which work can safely be performed whilst minimising customer outages and may include the following:</w:t>
            </w:r>
          </w:p>
          <w:p w:rsidR="00000000" w:rsidRPr="009F129F" w:rsidP="009F129F">
            <w:pPr>
              <w:pStyle w:val="BodyText"/>
            </w:pPr>
            <w:r w:rsidRPr="009F129F">
              <w:t>EHV transmission network; EHV transmission lines; Transformers with EHV windings ; EHV busbars – indoor and/or outdoor</w:t>
            </w:r>
            <w:r w:rsidRPr="009F129F">
              <w:t xml:space="preserve"> as applicable to enterprise; EHV isolators ; EHV switchgear (applicable to enterprise equipment); switching instructions (applicable to enterprise equipment); computers (applicable to enterprise equipment); network diagrams (applicable to enterprise equip</w:t>
            </w:r>
            <w:r w:rsidRPr="009F129F">
              <w:t>ment); access authorities; regulatory requirements.</w:t>
            </w:r>
          </w:p>
          <w:p w:rsidR="00000000" w:rsidRPr="009F129F" w:rsidP="009F129F">
            <w:pPr>
              <w:pStyle w:val="BodyText"/>
            </w:pPr>
            <w:r w:rsidRPr="009F129F">
              <w:t>Conditions and facilities for the calculation of network loading, planning for the management of the network and multiple outages.</w:t>
            </w:r>
          </w:p>
          <w:p w:rsidR="00000000" w:rsidRPr="009F129F" w:rsidP="009F129F">
            <w:pPr>
              <w:pStyle w:val="BodyText"/>
            </w:pPr>
            <w:r w:rsidRPr="009F129F">
              <w:t>Regulatory and enterprise procedures for the compliance with national ele</w:t>
            </w:r>
            <w:r w:rsidRPr="009F129F">
              <w:t>ctricity code.</w:t>
            </w:r>
          </w:p>
          <w:p w:rsidR="00000000" w:rsidRPr="009F129F" w:rsidP="009F129F">
            <w:pPr>
              <w:pStyle w:val="BodyText"/>
            </w:pPr>
            <w:r w:rsidRPr="009F129F">
              <w:t>The following constants and variables included in the Element/Performance Criteria in this unit are fully described in the Definitions Section 1 of this volume and form an integral part of the Range Statement of this unit:</w:t>
            </w:r>
          </w:p>
          <w:p w:rsidR="00000000" w:rsidRPr="009F129F" w:rsidP="009F129F">
            <w:pPr>
              <w:pStyle w:val="ListBullet3"/>
            </w:pPr>
            <w:r w:rsidRPr="009F129F">
              <w:t>Appropriate and r</w:t>
            </w:r>
            <w:r w:rsidRPr="009F129F">
              <w:t>elevant persons (see Personnel)</w:t>
            </w:r>
          </w:p>
          <w:p w:rsidR="00000000" w:rsidRPr="009F129F" w:rsidP="009F129F">
            <w:pPr>
              <w:pStyle w:val="ListBullet3"/>
            </w:pPr>
            <w:r w:rsidRPr="009F129F">
              <w:t>Appropriate authorities</w:t>
            </w:r>
          </w:p>
          <w:p w:rsidR="00000000" w:rsidRPr="009F129F" w:rsidP="009F129F">
            <w:pPr>
              <w:pStyle w:val="ListBullet3"/>
            </w:pPr>
            <w:r w:rsidRPr="009F129F">
              <w:t>Appropriate work platform</w:t>
            </w:r>
          </w:p>
          <w:p w:rsidR="00000000" w:rsidRPr="009F129F" w:rsidP="009F129F">
            <w:pPr>
              <w:pStyle w:val="ListBullet3"/>
            </w:pPr>
            <w:r w:rsidRPr="009F129F">
              <w:t>Assessing risk</w:t>
            </w:r>
          </w:p>
          <w:p w:rsidR="00000000" w:rsidRPr="009F129F" w:rsidP="009F129F">
            <w:pPr>
              <w:pStyle w:val="ListBullet3"/>
            </w:pPr>
            <w:r w:rsidRPr="009F129F">
              <w:t>Assessment</w:t>
            </w:r>
          </w:p>
          <w:p w:rsidR="00000000" w:rsidRPr="009F129F" w:rsidP="009F129F">
            <w:pPr>
              <w:pStyle w:val="ListBullet3"/>
            </w:pPr>
            <w:r w:rsidRPr="009F129F">
              <w:t>Authorisation</w:t>
            </w:r>
          </w:p>
          <w:p w:rsidR="00000000" w:rsidRPr="009F129F" w:rsidP="009F129F">
            <w:pPr>
              <w:pStyle w:val="ListBullet3"/>
            </w:pPr>
            <w:r w:rsidRPr="009F129F">
              <w:t>Confined space</w:t>
            </w:r>
          </w:p>
          <w:p w:rsidR="00000000" w:rsidRPr="009F129F" w:rsidP="009F129F">
            <w:pPr>
              <w:pStyle w:val="ListBullet3"/>
            </w:pPr>
            <w:r w:rsidRPr="009F129F">
              <w:t>Diagnostic, testing and restoration</w:t>
            </w:r>
          </w:p>
          <w:p w:rsidR="00000000" w:rsidRPr="009F129F" w:rsidP="009F129F">
            <w:pPr>
              <w:pStyle w:val="ListBullet3"/>
            </w:pPr>
            <w:r w:rsidRPr="009F129F">
              <w:t>Documenting detail work events, record keeping and or storage of information</w:t>
            </w:r>
          </w:p>
          <w:p w:rsidR="00000000" w:rsidRPr="009F129F" w:rsidP="009F129F">
            <w:pPr>
              <w:pStyle w:val="ListBullet3"/>
            </w:pPr>
            <w:r w:rsidRPr="009F129F">
              <w:t xml:space="preserve">Drawings and specifications </w:t>
            </w:r>
          </w:p>
          <w:p w:rsidR="00000000" w:rsidRPr="009F129F" w:rsidP="009F129F">
            <w:pPr>
              <w:pStyle w:val="ListBullet3"/>
            </w:pPr>
            <w:r w:rsidRPr="009F129F">
              <w:t>Emergency</w:t>
            </w:r>
          </w:p>
          <w:p w:rsidR="00000000" w:rsidRPr="009F129F" w:rsidP="009F129F">
            <w:pPr>
              <w:pStyle w:val="ListBullet3"/>
            </w:pPr>
            <w:r w:rsidRPr="009F129F">
              <w:t>Environmental and sustainable energy procedures</w:t>
            </w:r>
          </w:p>
          <w:p w:rsidR="00000000" w:rsidRPr="009F129F" w:rsidP="009F129F">
            <w:pPr>
              <w:pStyle w:val="ListBullet3"/>
            </w:pPr>
            <w:r w:rsidRPr="009F129F">
              <w:t>Environmental legislation</w:t>
            </w:r>
          </w:p>
          <w:p w:rsidR="00000000" w:rsidRPr="009F129F" w:rsidP="009F129F">
            <w:pPr>
              <w:pStyle w:val="ListBullet3"/>
            </w:pPr>
            <w:r w:rsidRPr="009F129F">
              <w:t>Environmental management documentation</w:t>
            </w:r>
          </w:p>
          <w:p w:rsidR="00000000" w:rsidRPr="009F129F" w:rsidP="009F129F">
            <w:pPr>
              <w:pStyle w:val="ListBullet3"/>
            </w:pPr>
            <w:r w:rsidRPr="009F129F">
              <w:t>Established procedures</w:t>
            </w:r>
          </w:p>
          <w:p w:rsidR="00000000" w:rsidRPr="009F129F" w:rsidP="009F129F">
            <w:pPr>
              <w:pStyle w:val="ListBullet3"/>
            </w:pPr>
            <w:r w:rsidRPr="009F129F">
              <w:t>Fall prevention</w:t>
            </w:r>
          </w:p>
          <w:p w:rsidR="00000000" w:rsidRPr="009F129F" w:rsidP="009F129F">
            <w:pPr>
              <w:pStyle w:val="ListBullet3"/>
            </w:pPr>
            <w:r w:rsidRPr="009F129F">
              <w:t>Hazards</w:t>
            </w:r>
          </w:p>
          <w:p w:rsidR="00000000" w:rsidRPr="009F129F" w:rsidP="009F129F">
            <w:pPr>
              <w:pStyle w:val="ListBullet3"/>
            </w:pPr>
            <w:r w:rsidRPr="009F129F">
              <w:t>Identifying hazards</w:t>
            </w:r>
          </w:p>
          <w:p w:rsidR="00000000" w:rsidRPr="009F129F" w:rsidP="009F129F">
            <w:pPr>
              <w:pStyle w:val="ListBullet3"/>
            </w:pPr>
            <w:r w:rsidRPr="009F129F">
              <w:t>Inspect</w:t>
            </w:r>
          </w:p>
          <w:p w:rsidR="00000000" w:rsidRPr="009F129F" w:rsidP="009F129F">
            <w:pPr>
              <w:pStyle w:val="ListBullet3"/>
            </w:pPr>
            <w:r w:rsidRPr="009F129F">
              <w:t>Legislation</w:t>
            </w:r>
          </w:p>
          <w:p w:rsidR="00000000" w:rsidRPr="009F129F" w:rsidP="009F129F">
            <w:pPr>
              <w:pStyle w:val="ListBullet3"/>
            </w:pPr>
            <w:r w:rsidRPr="009F129F">
              <w:t>MSDS</w:t>
            </w:r>
          </w:p>
          <w:p w:rsidR="00000000" w:rsidRPr="009F129F" w:rsidP="009F129F">
            <w:pPr>
              <w:pStyle w:val="ListBullet3"/>
            </w:pPr>
            <w:r w:rsidRPr="009F129F">
              <w:t>Notification</w:t>
            </w:r>
          </w:p>
          <w:p w:rsidR="00000000" w:rsidRPr="009F129F" w:rsidP="009F129F">
            <w:pPr>
              <w:pStyle w:val="ListBullet3"/>
            </w:pPr>
            <w:r w:rsidRPr="009F129F">
              <w:t>OHS practices</w:t>
            </w:r>
          </w:p>
          <w:p w:rsidR="00000000" w:rsidRPr="009F129F" w:rsidP="009F129F">
            <w:pPr>
              <w:pStyle w:val="ListBullet3"/>
            </w:pPr>
            <w:r w:rsidRPr="009F129F">
              <w:t>OHS issues</w:t>
            </w:r>
          </w:p>
          <w:p w:rsidR="00000000" w:rsidRPr="009F129F" w:rsidP="009F129F">
            <w:pPr>
              <w:pStyle w:val="ListBullet3"/>
            </w:pPr>
            <w:r w:rsidRPr="009F129F">
              <w:t>Permits and/or permits to work</w:t>
            </w:r>
          </w:p>
          <w:p w:rsidR="00000000" w:rsidRPr="009F129F" w:rsidP="009F129F">
            <w:pPr>
              <w:pStyle w:val="ListBullet3"/>
            </w:pPr>
            <w:r w:rsidRPr="009F129F">
              <w:t>Personnel</w:t>
            </w:r>
          </w:p>
          <w:p w:rsidR="00000000" w:rsidRPr="009F129F" w:rsidP="009F129F">
            <w:pPr>
              <w:pStyle w:val="ListBullet3"/>
            </w:pPr>
            <w:r w:rsidRPr="009F129F">
              <w:t>Quality assurance systems</w:t>
            </w:r>
          </w:p>
          <w:p w:rsidR="00000000" w:rsidRPr="009F129F" w:rsidP="009F129F">
            <w:pPr>
              <w:pStyle w:val="ListBullet3"/>
            </w:pPr>
            <w:r w:rsidRPr="009F129F">
              <w:t>Requirements</w:t>
            </w:r>
          </w:p>
          <w:p w:rsidR="00000000" w:rsidRPr="009F129F" w:rsidP="009F129F">
            <w:pPr>
              <w:pStyle w:val="ListBullet3"/>
            </w:pPr>
            <w:r w:rsidRPr="009F129F">
              <w:t>Testing procedures</w:t>
            </w:r>
          </w:p>
          <w:p w:rsidR="00000000" w:rsidRPr="009F129F" w:rsidP="009F129F">
            <w:pPr>
              <w:pStyle w:val="ListBullet3"/>
            </w:pPr>
            <w:r w:rsidRPr="009F129F">
              <w:t>Work clearance systems</w:t>
            </w:r>
          </w:p>
        </w:tc>
      </w:tr>
    </w:tbl>
    <w:p w:rsidR="00000000" w:rsidRPr="009F129F" w:rsidP="009F129F">
      <w:pPr>
        <w:pStyle w:val="BodyText"/>
      </w:pPr>
    </w:p>
    <w:p w:rsidR="00000000" w:rsidRPr="009F129F" w:rsidP="009F129F">
      <w:pPr>
        <w:pStyle w:val="AllowPageBreak"/>
      </w:pPr>
    </w:p>
    <w:p w:rsidR="00000000" w:rsidRPr="009F129F" w:rsidP="009F129F">
      <w:pPr>
        <w:pStyle w:val="Heading1"/>
      </w:pPr>
      <w:bookmarkStart w:id="12" w:name="O_465008"/>
      <w:bookmarkEnd w:id="12"/>
      <w:r w:rsidRPr="009F129F">
        <w:t>Unit Sector(s)</w:t>
      </w:r>
    </w:p>
    <w:p w:rsidR="00000000" w:rsidRPr="009F129F" w:rsidP="009F129F">
      <w:pPr>
        <w:pStyle w:val="BodyText"/>
      </w:pPr>
      <w:r w:rsidRPr="009F129F">
        <w:t>Not applicable.</w:t>
      </w:r>
    </w:p>
    <w:p w:rsidR="00000000" w:rsidRPr="009F129F" w:rsidP="009F129F">
      <w:pPr>
        <w:pStyle w:val="AllowPageBreak"/>
      </w:pPr>
    </w:p>
    <w:p w:rsidR="00000000" w:rsidRPr="009F129F" w:rsidP="009F129F">
      <w:pPr>
        <w:pStyle w:val="Heading1"/>
      </w:pPr>
      <w:bookmarkStart w:id="13" w:name="O_464997"/>
      <w:bookmarkEnd w:id="13"/>
      <w:r w:rsidRPr="009F129F">
        <w:t>Competency Field</w:t>
      </w:r>
    </w:p>
    <w:tbl>
      <w:tblPr>
        <w:tblW w:w="0" w:type="auto"/>
        <w:tblLayout w:type="fixed"/>
        <w:tblCellMar>
          <w:left w:w="62" w:type="dxa"/>
          <w:right w:w="62" w:type="dxa"/>
        </w:tblCellMar>
        <w:tblLook w:val="0000"/>
      </w:tblPr>
      <w:tblGrid>
        <w:gridCol w:w="2700"/>
        <w:gridCol w:w="5760"/>
      </w:tblGrid>
      <w:tr w:rsidTr="00A125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F129F">
            <w:pPr>
              <w:pStyle w:val="BodyText"/>
              <w:rPr>
                <w:lang w:val="en-NZ"/>
              </w:rPr>
            </w:pPr>
            <w:r w:rsidRPr="009F129F">
              <w:rPr>
                <w:rStyle w:val="SpecialBold"/>
              </w:rPr>
              <w:t xml:space="preserve">11) </w:t>
            </w:r>
          </w:p>
        </w:tc>
      </w:tr>
      <w:tr w:rsidTr="00A125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129F" w:rsidP="009F129F">
            <w:pPr>
              <w:pStyle w:val="BodyText"/>
            </w:pPr>
            <w:r w:rsidRPr="009F129F">
              <w:t>System Operation Units</w:t>
            </w:r>
          </w:p>
        </w:tc>
      </w:tr>
    </w:tbl>
    <w:p w:rsidR="00000000" w:rsidRPr="009F129F" w:rsidP="009F129F">
      <w:pPr>
        <w:pStyle w:val="BodyText"/>
      </w:pPr>
    </w:p>
    <w:p w:rsidR="00000000" w:rsidRPr="009F129F" w:rsidP="009F129F"/>
    <w:sectPr w:rsidSect="009F1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567" w:rsidP="00A12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67" w:rsidP="009F1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2567" w:rsidP="009F1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2567" w:rsidP="009F1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567" w:rsidP="00A125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67" w:rsidP="009F129F">
    <w:pPr>
      <w:pStyle w:val="Header"/>
      <w:framePr w:wrap="around"/>
    </w:pPr>
    <w:r>
      <w:fldChar w:fldCharType="begin"/>
    </w:r>
    <w:r>
      <w:instrText xml:space="preserve"> TITLE   \* MERGEFORMAT </w:instrText>
    </w:r>
    <w:r>
      <w:fldChar w:fldCharType="separate"/>
    </w:r>
    <w:r>
      <w:t>UETTDRSO38A Develop and evaluate power systems 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2567" w:rsidP="009F12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8A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2E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C7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2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29F"/>
    <w:pPr>
      <w:spacing w:before="360" w:after="60"/>
      <w:outlineLvl w:val="0"/>
    </w:pPr>
    <w:rPr>
      <w:sz w:val="32"/>
    </w:rPr>
  </w:style>
  <w:style w:type="paragraph" w:styleId="Heading2">
    <w:name w:val="heading 2"/>
    <w:basedOn w:val="HeadingBase"/>
    <w:next w:val="BodyText"/>
    <w:link w:val="Heading2Char"/>
    <w:qFormat/>
    <w:rsid w:val="009F129F"/>
    <w:pPr>
      <w:keepLines/>
      <w:spacing w:before="240" w:after="120"/>
      <w:outlineLvl w:val="1"/>
    </w:pPr>
    <w:rPr>
      <w:sz w:val="28"/>
      <w:szCs w:val="40"/>
    </w:rPr>
  </w:style>
  <w:style w:type="paragraph" w:styleId="Heading3">
    <w:name w:val="heading 3"/>
    <w:basedOn w:val="HeadingBase"/>
    <w:next w:val="BodyText"/>
    <w:link w:val="Heading3Char"/>
    <w:qFormat/>
    <w:rsid w:val="009F129F"/>
    <w:pPr>
      <w:spacing w:before="180" w:after="120"/>
      <w:outlineLvl w:val="2"/>
    </w:pPr>
    <w:rPr>
      <w:spacing w:val="-10"/>
      <w:kern w:val="32"/>
    </w:rPr>
  </w:style>
  <w:style w:type="paragraph" w:styleId="Heading4">
    <w:name w:val="heading 4"/>
    <w:basedOn w:val="HeadingBase"/>
    <w:next w:val="BodyText"/>
    <w:link w:val="Heading4Char"/>
    <w:qFormat/>
    <w:rsid w:val="009F129F"/>
    <w:pPr>
      <w:spacing w:before="160" w:after="120"/>
      <w:outlineLvl w:val="3"/>
    </w:pPr>
    <w:rPr>
      <w:sz w:val="22"/>
    </w:rPr>
  </w:style>
  <w:style w:type="paragraph" w:styleId="Heading5">
    <w:name w:val="heading 5"/>
    <w:basedOn w:val="HeadingBase"/>
    <w:next w:val="Normal"/>
    <w:link w:val="Heading5Char"/>
    <w:qFormat/>
    <w:rsid w:val="009F129F"/>
    <w:pPr>
      <w:spacing w:before="80"/>
      <w:outlineLvl w:val="4"/>
    </w:pPr>
    <w:rPr>
      <w:color w:val="918585"/>
      <w:sz w:val="20"/>
    </w:rPr>
  </w:style>
  <w:style w:type="paragraph" w:styleId="Heading6">
    <w:name w:val="heading 6"/>
    <w:basedOn w:val="HeadingBase"/>
    <w:next w:val="Normal"/>
    <w:link w:val="Heading6Char"/>
    <w:qFormat/>
    <w:rsid w:val="009F129F"/>
    <w:pPr>
      <w:spacing w:before="60"/>
      <w:outlineLvl w:val="5"/>
    </w:pPr>
    <w:rPr>
      <w:color w:val="918585"/>
      <w:sz w:val="20"/>
    </w:rPr>
  </w:style>
  <w:style w:type="paragraph" w:styleId="Heading7">
    <w:name w:val="heading 7"/>
    <w:basedOn w:val="Normal"/>
    <w:next w:val="Normal"/>
    <w:link w:val="Heading7Char"/>
    <w:qFormat/>
    <w:rsid w:val="009F129F"/>
    <w:pPr>
      <w:ind w:left="720"/>
      <w:outlineLvl w:val="6"/>
    </w:pPr>
    <w:rPr>
      <w:i/>
    </w:rPr>
  </w:style>
  <w:style w:type="paragraph" w:styleId="Heading8">
    <w:name w:val="heading 8"/>
    <w:basedOn w:val="Normal"/>
    <w:next w:val="Normal"/>
    <w:link w:val="Heading8Char"/>
    <w:qFormat/>
    <w:rsid w:val="009F129F"/>
    <w:pPr>
      <w:ind w:left="720"/>
      <w:outlineLvl w:val="7"/>
    </w:pPr>
    <w:rPr>
      <w:i/>
    </w:rPr>
  </w:style>
  <w:style w:type="paragraph" w:styleId="Heading9">
    <w:name w:val="heading 9"/>
    <w:basedOn w:val="Normal"/>
    <w:next w:val="Normal"/>
    <w:link w:val="Heading9Char"/>
    <w:qFormat/>
    <w:rsid w:val="009F129F"/>
    <w:pPr>
      <w:ind w:left="720"/>
      <w:outlineLvl w:val="8"/>
    </w:pPr>
    <w:rPr>
      <w:i/>
    </w:rPr>
  </w:style>
  <w:style w:type="character" w:default="1" w:styleId="DefaultParagraphFont">
    <w:name w:val="Default Paragraph Font"/>
    <w:uiPriority w:val="1"/>
    <w:unhideWhenUsed/>
    <w:rsid w:val="009F1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29F"/>
  </w:style>
  <w:style w:type="character" w:customStyle="1" w:styleId="Heading1Char">
    <w:name w:val="Heading 1 Char"/>
    <w:basedOn w:val="DefaultParagraphFont"/>
    <w:link w:val="Heading1"/>
    <w:rsid w:val="009F129F"/>
    <w:rPr>
      <w:rFonts w:ascii="Times New Roman" w:eastAsia="Times New Roman" w:hAnsi="Times New Roman" w:cs="Times New Roman"/>
      <w:b/>
      <w:sz w:val="32"/>
      <w:szCs w:val="20"/>
      <w:lang w:eastAsia="en-US"/>
    </w:rPr>
  </w:style>
  <w:style w:type="paragraph" w:styleId="BodyText">
    <w:name w:val="Body Text"/>
    <w:basedOn w:val="Normal"/>
    <w:link w:val="BodyTextChar"/>
    <w:rsid w:val="009F1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29F"/>
    <w:rPr>
      <w:rFonts w:ascii="Times New Roman" w:eastAsia="Times New Roman" w:hAnsi="Times New Roman" w:cs="Times New Roman"/>
      <w:sz w:val="24"/>
      <w:lang w:val="en-US" w:eastAsia="en-US"/>
    </w:rPr>
  </w:style>
  <w:style w:type="paragraph" w:styleId="Footer">
    <w:name w:val="footer"/>
    <w:basedOn w:val="Normal"/>
    <w:link w:val="FooterChar"/>
    <w:rsid w:val="009F1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29F"/>
    <w:rPr>
      <w:rFonts w:ascii="Times New Roman" w:eastAsia="Times New Roman" w:hAnsi="Times New Roman" w:cs="Times New Roman"/>
      <w:sz w:val="16"/>
      <w:lang w:val="en-US" w:eastAsia="en-US"/>
    </w:rPr>
  </w:style>
  <w:style w:type="paragraph" w:styleId="ListBullet">
    <w:name w:val="List Bullet"/>
    <w:basedOn w:val="List"/>
    <w:rsid w:val="009F129F"/>
    <w:pPr>
      <w:numPr>
        <w:numId w:val="14"/>
      </w:numPr>
      <w:tabs>
        <w:tab w:val="clear" w:pos="340"/>
      </w:tabs>
      <w:spacing w:before="40" w:after="40"/>
    </w:pPr>
  </w:style>
  <w:style w:type="character" w:customStyle="1" w:styleId="SpecialBold">
    <w:name w:val="Special Bold"/>
    <w:basedOn w:val="DefaultParagraphFont"/>
    <w:rsid w:val="009F129F"/>
    <w:rPr>
      <w:b/>
      <w:spacing w:val="0"/>
    </w:rPr>
  </w:style>
  <w:style w:type="paragraph" w:styleId="ListBullet2">
    <w:name w:val="List Bullet 2"/>
    <w:basedOn w:val="List2"/>
    <w:rsid w:val="009F129F"/>
    <w:pPr>
      <w:numPr>
        <w:numId w:val="15"/>
      </w:numPr>
      <w:tabs>
        <w:tab w:val="clear" w:pos="680"/>
      </w:tabs>
    </w:pPr>
  </w:style>
  <w:style w:type="paragraph" w:styleId="Header">
    <w:name w:val="header"/>
    <w:basedOn w:val="Normal"/>
    <w:link w:val="HeaderChar"/>
    <w:rsid w:val="009F1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2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129F"/>
    <w:pPr>
      <w:spacing w:before="240" w:after="120"/>
      <w:outlineLvl w:val="0"/>
    </w:pPr>
    <w:rPr>
      <w:rFonts w:ascii="Times New Roman" w:hAnsi="Times New Roman"/>
      <w:b/>
      <w:sz w:val="28"/>
    </w:rPr>
  </w:style>
  <w:style w:type="paragraph" w:customStyle="1" w:styleId="AllowPageBreak">
    <w:name w:val="AllowPageBreak"/>
    <w:rsid w:val="009F12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129F"/>
    <w:pPr>
      <w:numPr>
        <w:numId w:val="3"/>
      </w:numPr>
      <w:tabs>
        <w:tab w:val="clear" w:pos="1021"/>
      </w:tabs>
      <w:ind w:left="1037" w:hanging="357"/>
    </w:pPr>
  </w:style>
  <w:style w:type="character" w:customStyle="1" w:styleId="Heading2Char">
    <w:name w:val="Heading 2 Char"/>
    <w:basedOn w:val="DefaultParagraphFont"/>
    <w:link w:val="Heading2"/>
    <w:rsid w:val="009F1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2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2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29F"/>
    <w:rPr>
      <w:rFonts w:ascii="Courier New" w:eastAsia="Times New Roman" w:hAnsi="Courier New" w:cs="Times New Roman"/>
      <w:i/>
      <w:szCs w:val="20"/>
      <w:lang w:val="en-US" w:eastAsia="en-US"/>
    </w:rPr>
  </w:style>
  <w:style w:type="paragraph" w:customStyle="1" w:styleId="HeadingBase">
    <w:name w:val="Heading Base"/>
    <w:rsid w:val="009F1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29F"/>
    <w:pPr>
      <w:tabs>
        <w:tab w:val="right" w:leader="dot" w:pos="9072"/>
      </w:tabs>
      <w:ind w:left="567"/>
    </w:pPr>
    <w:rPr>
      <w:szCs w:val="22"/>
    </w:rPr>
  </w:style>
  <w:style w:type="paragraph" w:customStyle="1" w:styleId="TOCBase">
    <w:name w:val="TOC Base"/>
    <w:rsid w:val="009F1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29F"/>
    <w:pPr>
      <w:tabs>
        <w:tab w:val="right" w:leader="dot" w:pos="9072"/>
      </w:tabs>
      <w:spacing w:before="40" w:after="40"/>
      <w:ind w:left="284"/>
    </w:pPr>
    <w:rPr>
      <w:rFonts w:ascii="Times New Roman" w:hAnsi="Times New Roman"/>
    </w:rPr>
  </w:style>
  <w:style w:type="paragraph" w:styleId="TOC1">
    <w:name w:val="toc 1"/>
    <w:basedOn w:val="TOCBase"/>
    <w:next w:val="Normal"/>
    <w:rsid w:val="009F1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29F"/>
    <w:pPr>
      <w:spacing w:before="5040"/>
      <w:jc w:val="center"/>
    </w:pPr>
    <w:rPr>
      <w:sz w:val="48"/>
      <w:szCs w:val="72"/>
      <w:lang w:val="en-US"/>
    </w:rPr>
  </w:style>
  <w:style w:type="character" w:customStyle="1" w:styleId="TitleChar">
    <w:name w:val="Title Char"/>
    <w:basedOn w:val="DefaultParagraphFont"/>
    <w:link w:val="Title"/>
    <w:rsid w:val="009F1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29F"/>
    <w:pPr>
      <w:tabs>
        <w:tab w:val="left" w:pos="3600"/>
        <w:tab w:val="left" w:pos="3958"/>
      </w:tabs>
    </w:pPr>
  </w:style>
  <w:style w:type="paragraph" w:styleId="List">
    <w:name w:val="List"/>
    <w:basedOn w:val="BodyText"/>
    <w:next w:val="BodyText"/>
    <w:rsid w:val="009F129F"/>
    <w:pPr>
      <w:tabs>
        <w:tab w:val="left" w:pos="340"/>
      </w:tabs>
      <w:spacing w:before="60" w:after="60"/>
      <w:ind w:left="340" w:hanging="340"/>
    </w:pPr>
  </w:style>
  <w:style w:type="paragraph" w:customStyle="1" w:styleId="Note">
    <w:name w:val="Note"/>
    <w:basedOn w:val="BodyText"/>
    <w:rsid w:val="009F1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29F"/>
    <w:pPr>
      <w:framePr w:wrap="auto" w:hAnchor="text" w:y="6049"/>
    </w:pPr>
    <w:rPr>
      <w:color w:val="000000"/>
      <w:sz w:val="40"/>
    </w:rPr>
  </w:style>
  <w:style w:type="paragraph" w:customStyle="1" w:styleId="TOCTitle">
    <w:name w:val="TOCTitle"/>
    <w:basedOn w:val="Heading1"/>
    <w:rsid w:val="009F129F"/>
    <w:pPr>
      <w:spacing w:after="240"/>
      <w:jc w:val="center"/>
      <w:outlineLvl w:val="9"/>
    </w:pPr>
    <w:rPr>
      <w:caps/>
    </w:rPr>
  </w:style>
  <w:style w:type="paragraph" w:customStyle="1" w:styleId="Version">
    <w:name w:val="Version"/>
    <w:rsid w:val="009F1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29F"/>
    <w:pPr>
      <w:keepNext w:val="0"/>
      <w:tabs>
        <w:tab w:val="right" w:pos="4176"/>
      </w:tabs>
      <w:ind w:left="198" w:hanging="198"/>
    </w:pPr>
    <w:rPr>
      <w:rFonts w:ascii="Garamond" w:hAnsi="Garamond"/>
    </w:rPr>
  </w:style>
  <w:style w:type="paragraph" w:styleId="IndexHeading">
    <w:name w:val="index heading"/>
    <w:basedOn w:val="Normal"/>
    <w:next w:val="Index1"/>
    <w:semiHidden/>
    <w:rsid w:val="009F129F"/>
    <w:pPr>
      <w:spacing w:before="120" w:after="120"/>
    </w:pPr>
    <w:rPr>
      <w:rFonts w:ascii="Arial" w:hAnsi="Arial"/>
      <w:b/>
      <w:color w:val="918585"/>
      <w:sz w:val="24"/>
    </w:rPr>
  </w:style>
  <w:style w:type="paragraph" w:customStyle="1" w:styleId="Chapter">
    <w:name w:val="Chapter"/>
    <w:basedOn w:val="Normal"/>
    <w:rsid w:val="009F129F"/>
    <w:pPr>
      <w:spacing w:before="240"/>
    </w:pPr>
    <w:rPr>
      <w:rFonts w:ascii="Times New Roman" w:hAnsi="Times New Roman"/>
      <w:smallCaps/>
      <w:spacing w:val="80"/>
      <w:sz w:val="28"/>
    </w:rPr>
  </w:style>
  <w:style w:type="paragraph" w:customStyle="1" w:styleId="InChapter">
    <w:name w:val="InChapter"/>
    <w:basedOn w:val="Heading3"/>
    <w:rsid w:val="009F129F"/>
    <w:pPr>
      <w:spacing w:after="240"/>
      <w:outlineLvl w:val="9"/>
    </w:pPr>
    <w:rPr>
      <w:noProof/>
    </w:rPr>
  </w:style>
  <w:style w:type="paragraph" w:styleId="Index2">
    <w:name w:val="index 2"/>
    <w:basedOn w:val="Normal"/>
    <w:next w:val="Normal"/>
    <w:semiHidden/>
    <w:rsid w:val="009F129F"/>
    <w:pPr>
      <w:tabs>
        <w:tab w:val="right" w:pos="4176"/>
      </w:tabs>
      <w:ind w:left="568" w:hanging="284"/>
    </w:pPr>
    <w:rPr>
      <w:rFonts w:ascii="Garamond" w:hAnsi="Garamond"/>
    </w:rPr>
  </w:style>
  <w:style w:type="paragraph" w:customStyle="1" w:styleId="Byline">
    <w:name w:val="Byline"/>
    <w:rsid w:val="009F1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29F"/>
    <w:pPr>
      <w:tabs>
        <w:tab w:val="clear" w:pos="3600"/>
        <w:tab w:val="clear" w:pos="3958"/>
      </w:tabs>
      <w:jc w:val="right"/>
    </w:pPr>
  </w:style>
  <w:style w:type="character" w:styleId="Emphasis">
    <w:name w:val="Emphasis"/>
    <w:basedOn w:val="DefaultParagraphFont"/>
    <w:qFormat/>
    <w:rsid w:val="009F129F"/>
    <w:rPr>
      <w:i/>
    </w:rPr>
  </w:style>
  <w:style w:type="paragraph" w:styleId="Caption">
    <w:name w:val="caption"/>
    <w:basedOn w:val="BodyText"/>
    <w:next w:val="Normal"/>
    <w:qFormat/>
    <w:rsid w:val="009F129F"/>
    <w:pPr>
      <w:framePr w:w="2268" w:hSpace="181" w:vSpace="181" w:wrap="around" w:vAnchor="text" w:hAnchor="page" w:x="1135" w:y="285" w:anchorLock="1"/>
    </w:pPr>
    <w:rPr>
      <w:i/>
    </w:rPr>
  </w:style>
  <w:style w:type="paragraph" w:customStyle="1" w:styleId="MiniTOCTitle">
    <w:name w:val="MiniTOCTitle"/>
    <w:basedOn w:val="Heading4"/>
    <w:rsid w:val="009F129F"/>
    <w:pPr>
      <w:spacing w:before="240"/>
      <w:outlineLvl w:val="9"/>
    </w:pPr>
    <w:rPr>
      <w:noProof/>
      <w:sz w:val="24"/>
    </w:rPr>
  </w:style>
  <w:style w:type="paragraph" w:customStyle="1" w:styleId="MiniTOCItem">
    <w:name w:val="MiniTOCItem"/>
    <w:basedOn w:val="ListBullet"/>
    <w:rsid w:val="009F129F"/>
    <w:pPr>
      <w:numPr>
        <w:numId w:val="0"/>
      </w:numPr>
      <w:tabs>
        <w:tab w:val="right" w:leader="dot" w:pos="6521"/>
      </w:tabs>
      <w:spacing w:before="0" w:after="0"/>
    </w:pPr>
  </w:style>
  <w:style w:type="paragraph" w:customStyle="1" w:styleId="TOFTitle">
    <w:name w:val="TOFTitle"/>
    <w:basedOn w:val="TOCTitle"/>
    <w:rsid w:val="009F129F"/>
  </w:style>
  <w:style w:type="paragraph" w:styleId="TableofFigures">
    <w:name w:val="table of figures"/>
    <w:basedOn w:val="Normal"/>
    <w:next w:val="Normal"/>
    <w:semiHidden/>
    <w:rsid w:val="009F129F"/>
    <w:pPr>
      <w:tabs>
        <w:tab w:val="right" w:leader="dot" w:pos="9072"/>
      </w:tabs>
      <w:ind w:left="970" w:hanging="403"/>
    </w:pPr>
    <w:rPr>
      <w:rFonts w:ascii="Times New Roman" w:hAnsi="Times New Roman"/>
      <w:b/>
    </w:rPr>
  </w:style>
  <w:style w:type="paragraph" w:styleId="ListNumber">
    <w:name w:val="List Number"/>
    <w:basedOn w:val="List"/>
    <w:rsid w:val="009F129F"/>
    <w:pPr>
      <w:numPr>
        <w:numId w:val="12"/>
      </w:numPr>
    </w:pPr>
  </w:style>
  <w:style w:type="character" w:customStyle="1" w:styleId="WingdingSymbols">
    <w:name w:val="Wingding Symbols"/>
    <w:rsid w:val="009F129F"/>
    <w:rPr>
      <w:rFonts w:ascii="Wingdings" w:hAnsi="Wingdings"/>
    </w:rPr>
  </w:style>
  <w:style w:type="paragraph" w:customStyle="1" w:styleId="TableHeading">
    <w:name w:val="Table Heading"/>
    <w:basedOn w:val="HeadingBase"/>
    <w:rsid w:val="009F129F"/>
    <w:pPr>
      <w:keepLines/>
      <w:pBdr>
        <w:bottom w:val="single" w:sz="6" w:space="1" w:color="918585"/>
      </w:pBdr>
      <w:spacing w:before="240"/>
    </w:pPr>
  </w:style>
  <w:style w:type="character" w:customStyle="1" w:styleId="HotSpot">
    <w:name w:val="HotSpot"/>
    <w:rsid w:val="009F129F"/>
    <w:rPr>
      <w:color w:val="0033CC"/>
      <w:u w:val="none"/>
    </w:rPr>
  </w:style>
  <w:style w:type="paragraph" w:customStyle="1" w:styleId="BodyTextRight">
    <w:name w:val="Body Text Right"/>
    <w:basedOn w:val="BodyText"/>
    <w:rsid w:val="009F129F"/>
    <w:pPr>
      <w:spacing w:before="0" w:after="0"/>
      <w:jc w:val="right"/>
    </w:pPr>
  </w:style>
  <w:style w:type="paragraph" w:styleId="Index3">
    <w:name w:val="index 3"/>
    <w:basedOn w:val="ListNumber2"/>
    <w:next w:val="Normal"/>
    <w:semiHidden/>
    <w:rsid w:val="009F129F"/>
    <w:pPr>
      <w:numPr>
        <w:numId w:val="0"/>
      </w:numPr>
      <w:tabs>
        <w:tab w:val="right" w:leader="dot" w:pos="4176"/>
      </w:tabs>
    </w:pPr>
  </w:style>
  <w:style w:type="paragraph" w:styleId="ListNumber2">
    <w:name w:val="List Number 2"/>
    <w:basedOn w:val="List2"/>
    <w:rsid w:val="009F129F"/>
    <w:pPr>
      <w:numPr>
        <w:numId w:val="11"/>
      </w:numPr>
      <w:tabs>
        <w:tab w:val="clear" w:pos="1060"/>
      </w:tabs>
    </w:pPr>
  </w:style>
  <w:style w:type="paragraph" w:customStyle="1" w:styleId="MarginNote">
    <w:name w:val="Margin Note"/>
    <w:basedOn w:val="BodyText"/>
    <w:rsid w:val="009F1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2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29F"/>
    <w:rPr>
      <w:sz w:val="32"/>
    </w:rPr>
  </w:style>
  <w:style w:type="paragraph" w:customStyle="1" w:styleId="HeadingProcedure">
    <w:name w:val="Heading Procedure"/>
    <w:basedOn w:val="HeadingBase"/>
    <w:next w:val="Normal"/>
    <w:rsid w:val="009F129F"/>
    <w:pPr>
      <w:tabs>
        <w:tab w:val="left" w:pos="0"/>
      </w:tabs>
      <w:spacing w:before="120" w:after="60"/>
    </w:pPr>
    <w:rPr>
      <w:i/>
      <w:color w:val="918585"/>
      <w:sz w:val="22"/>
    </w:rPr>
  </w:style>
  <w:style w:type="paragraph" w:customStyle="1" w:styleId="TableBodyText">
    <w:name w:val="Table Body Text"/>
    <w:basedOn w:val="BodyText"/>
    <w:rsid w:val="009F129F"/>
    <w:pPr>
      <w:spacing w:before="60" w:after="60"/>
    </w:pPr>
  </w:style>
  <w:style w:type="paragraph" w:styleId="ListContinue">
    <w:name w:val="List Continue"/>
    <w:basedOn w:val="List"/>
    <w:rsid w:val="009F129F"/>
    <w:pPr>
      <w:ind w:firstLine="0"/>
    </w:pPr>
  </w:style>
  <w:style w:type="paragraph" w:customStyle="1" w:styleId="ListNote">
    <w:name w:val="List Note"/>
    <w:basedOn w:val="List"/>
    <w:rsid w:val="009F129F"/>
    <w:pPr>
      <w:pBdr>
        <w:top w:val="single" w:sz="6" w:space="2" w:color="918585"/>
        <w:bottom w:val="single" w:sz="6" w:space="2" w:color="918585"/>
      </w:pBdr>
      <w:tabs>
        <w:tab w:val="left" w:pos="1021"/>
      </w:tabs>
      <w:ind w:firstLine="0"/>
    </w:pPr>
  </w:style>
  <w:style w:type="paragraph" w:customStyle="1" w:styleId="Warning">
    <w:name w:val="Warning"/>
    <w:basedOn w:val="BodyText"/>
    <w:rsid w:val="009F129F"/>
    <w:pPr>
      <w:shd w:val="clear" w:color="auto" w:fill="D9D9D9"/>
      <w:tabs>
        <w:tab w:val="left" w:pos="992"/>
      </w:tabs>
      <w:ind w:left="119" w:right="119"/>
    </w:pPr>
    <w:rPr>
      <w:sz w:val="20"/>
    </w:rPr>
  </w:style>
  <w:style w:type="paragraph" w:customStyle="1" w:styleId="MarginIcons">
    <w:name w:val="Margin Icons"/>
    <w:basedOn w:val="BodyText"/>
    <w:rsid w:val="009F1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29F"/>
    <w:rPr>
      <w:rFonts w:ascii="Courier New" w:hAnsi="Courier New"/>
    </w:rPr>
  </w:style>
  <w:style w:type="paragraph" w:customStyle="1" w:styleId="NoteBullet">
    <w:name w:val="Note Bullet"/>
    <w:basedOn w:val="Note"/>
    <w:rsid w:val="009F129F"/>
    <w:pPr>
      <w:tabs>
        <w:tab w:val="clear" w:pos="680"/>
      </w:tabs>
      <w:spacing w:before="60" w:after="60"/>
    </w:pPr>
  </w:style>
  <w:style w:type="paragraph" w:customStyle="1" w:styleId="SubHeading2">
    <w:name w:val="SubHeading2"/>
    <w:basedOn w:val="HeadingBase"/>
    <w:rsid w:val="009F129F"/>
    <w:pPr>
      <w:spacing w:before="240" w:after="60"/>
    </w:pPr>
    <w:rPr>
      <w:sz w:val="20"/>
    </w:rPr>
  </w:style>
  <w:style w:type="paragraph" w:customStyle="1" w:styleId="SubHeading1">
    <w:name w:val="SubHeading1"/>
    <w:basedOn w:val="HeadingBase"/>
    <w:rsid w:val="009F129F"/>
    <w:pPr>
      <w:spacing w:before="240" w:after="60"/>
    </w:pPr>
    <w:rPr>
      <w:color w:val="918585"/>
      <w:sz w:val="22"/>
    </w:rPr>
  </w:style>
  <w:style w:type="paragraph" w:customStyle="1" w:styleId="SideHeading">
    <w:name w:val="Side Heading"/>
    <w:basedOn w:val="HeadingBase"/>
    <w:rsid w:val="009F1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29F"/>
    <w:pPr>
      <w:numPr>
        <w:numId w:val="13"/>
      </w:numPr>
    </w:pPr>
  </w:style>
  <w:style w:type="paragraph" w:styleId="PlainText">
    <w:name w:val="Plain Text"/>
    <w:basedOn w:val="Normal"/>
    <w:link w:val="PlainTextChar"/>
    <w:rsid w:val="009F129F"/>
    <w:rPr>
      <w:sz w:val="20"/>
    </w:rPr>
  </w:style>
  <w:style w:type="character" w:customStyle="1" w:styleId="PlainTextChar">
    <w:name w:val="Plain Text Char"/>
    <w:basedOn w:val="DefaultParagraphFont"/>
    <w:link w:val="PlainText"/>
    <w:rsid w:val="009F12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129F"/>
    <w:rPr>
      <w:b/>
      <w:smallCaps/>
    </w:rPr>
  </w:style>
  <w:style w:type="paragraph" w:customStyle="1" w:styleId="TableListNumber">
    <w:name w:val="Table List Number"/>
    <w:basedOn w:val="ListNumber"/>
    <w:rsid w:val="009F129F"/>
    <w:pPr>
      <w:numPr>
        <w:numId w:val="0"/>
      </w:numPr>
    </w:pPr>
  </w:style>
  <w:style w:type="paragraph" w:styleId="TOC4">
    <w:name w:val="toc 4"/>
    <w:basedOn w:val="TOCBase"/>
    <w:next w:val="Normal"/>
    <w:semiHidden/>
    <w:rsid w:val="009F129F"/>
    <w:pPr>
      <w:tabs>
        <w:tab w:val="right" w:leader="dot" w:pos="9071"/>
      </w:tabs>
      <w:ind w:left="1701"/>
    </w:pPr>
  </w:style>
  <w:style w:type="paragraph" w:customStyle="1" w:styleId="ListAlpha">
    <w:name w:val="List Alpha"/>
    <w:basedOn w:val="List"/>
    <w:rsid w:val="009F129F"/>
    <w:pPr>
      <w:numPr>
        <w:numId w:val="10"/>
      </w:numPr>
    </w:pPr>
  </w:style>
  <w:style w:type="paragraph" w:customStyle="1" w:styleId="ListAlpha2">
    <w:name w:val="List Alpha 2"/>
    <w:basedOn w:val="List2"/>
    <w:rsid w:val="009F129F"/>
    <w:pPr>
      <w:numPr>
        <w:numId w:val="9"/>
      </w:numPr>
    </w:pPr>
  </w:style>
  <w:style w:type="paragraph" w:styleId="List2">
    <w:name w:val="List 2"/>
    <w:basedOn w:val="BodyText"/>
    <w:rsid w:val="009F129F"/>
    <w:pPr>
      <w:tabs>
        <w:tab w:val="left" w:pos="680"/>
      </w:tabs>
      <w:spacing w:before="60" w:after="60"/>
      <w:ind w:left="680" w:hanging="340"/>
    </w:pPr>
  </w:style>
  <w:style w:type="paragraph" w:styleId="List3">
    <w:name w:val="List 3"/>
    <w:basedOn w:val="BodyText"/>
    <w:rsid w:val="009F129F"/>
    <w:pPr>
      <w:tabs>
        <w:tab w:val="left" w:pos="1021"/>
      </w:tabs>
      <w:spacing w:before="60" w:after="60"/>
      <w:ind w:left="1020" w:hanging="340"/>
    </w:pPr>
  </w:style>
  <w:style w:type="paragraph" w:styleId="List4">
    <w:name w:val="List 4"/>
    <w:basedOn w:val="BodyText"/>
    <w:rsid w:val="009F129F"/>
    <w:pPr>
      <w:tabs>
        <w:tab w:val="left" w:pos="1361"/>
      </w:tabs>
      <w:spacing w:before="60" w:after="60"/>
      <w:ind w:left="1361" w:hanging="340"/>
    </w:pPr>
  </w:style>
  <w:style w:type="paragraph" w:styleId="List5">
    <w:name w:val="List 5"/>
    <w:basedOn w:val="BodyText"/>
    <w:rsid w:val="009F129F"/>
    <w:pPr>
      <w:tabs>
        <w:tab w:val="left" w:pos="1701"/>
      </w:tabs>
      <w:spacing w:before="60" w:after="60"/>
      <w:ind w:left="1701" w:hanging="340"/>
    </w:pPr>
  </w:style>
  <w:style w:type="paragraph" w:styleId="ListBullet4">
    <w:name w:val="List Bullet 4"/>
    <w:basedOn w:val="List4"/>
    <w:rsid w:val="009F129F"/>
    <w:pPr>
      <w:numPr>
        <w:numId w:val="4"/>
      </w:numPr>
    </w:pPr>
  </w:style>
  <w:style w:type="paragraph" w:styleId="ListBullet5">
    <w:name w:val="List Bullet 5"/>
    <w:basedOn w:val="List5"/>
    <w:rsid w:val="009F129F"/>
    <w:pPr>
      <w:numPr>
        <w:numId w:val="5"/>
      </w:numPr>
    </w:pPr>
  </w:style>
  <w:style w:type="paragraph" w:styleId="ListContinue2">
    <w:name w:val="List Continue 2"/>
    <w:basedOn w:val="List2"/>
    <w:rsid w:val="009F129F"/>
    <w:pPr>
      <w:ind w:firstLine="0"/>
    </w:pPr>
  </w:style>
  <w:style w:type="paragraph" w:styleId="ListContinue3">
    <w:name w:val="List Continue 3"/>
    <w:basedOn w:val="List3"/>
    <w:rsid w:val="009F129F"/>
    <w:pPr>
      <w:ind w:left="1021" w:firstLine="0"/>
    </w:pPr>
  </w:style>
  <w:style w:type="paragraph" w:styleId="ListContinue4">
    <w:name w:val="List Continue 4"/>
    <w:basedOn w:val="List4"/>
    <w:rsid w:val="009F129F"/>
    <w:pPr>
      <w:ind w:firstLine="0"/>
    </w:pPr>
  </w:style>
  <w:style w:type="paragraph" w:styleId="ListContinue5">
    <w:name w:val="List Continue 5"/>
    <w:basedOn w:val="List5"/>
    <w:rsid w:val="009F129F"/>
    <w:pPr>
      <w:ind w:firstLine="0"/>
    </w:pPr>
  </w:style>
  <w:style w:type="paragraph" w:styleId="ListNumber3">
    <w:name w:val="List Number 3"/>
    <w:basedOn w:val="List3"/>
    <w:rsid w:val="009F129F"/>
    <w:pPr>
      <w:numPr>
        <w:numId w:val="6"/>
      </w:numPr>
    </w:pPr>
  </w:style>
  <w:style w:type="paragraph" w:styleId="ListNumber4">
    <w:name w:val="List Number 4"/>
    <w:basedOn w:val="List4"/>
    <w:rsid w:val="009F129F"/>
    <w:pPr>
      <w:numPr>
        <w:numId w:val="7"/>
      </w:numPr>
    </w:pPr>
  </w:style>
  <w:style w:type="paragraph" w:styleId="ListNumber5">
    <w:name w:val="List Number 5"/>
    <w:basedOn w:val="List5"/>
    <w:rsid w:val="009F129F"/>
    <w:pPr>
      <w:numPr>
        <w:numId w:val="8"/>
      </w:numPr>
    </w:pPr>
  </w:style>
  <w:style w:type="paragraph" w:styleId="BlockText">
    <w:name w:val="Block Text"/>
    <w:basedOn w:val="Normal"/>
    <w:rsid w:val="009F129F"/>
    <w:pPr>
      <w:spacing w:after="120"/>
      <w:ind w:left="1440" w:right="1440"/>
    </w:pPr>
  </w:style>
  <w:style w:type="character" w:customStyle="1" w:styleId="Subscript">
    <w:name w:val="Subscript"/>
    <w:basedOn w:val="DefaultParagraphFont"/>
    <w:rsid w:val="009F129F"/>
    <w:rPr>
      <w:sz w:val="16"/>
      <w:vertAlign w:val="subscript"/>
    </w:rPr>
  </w:style>
  <w:style w:type="character" w:customStyle="1" w:styleId="Superscript">
    <w:name w:val="Superscript"/>
    <w:basedOn w:val="DefaultParagraphFont"/>
    <w:rsid w:val="009F129F"/>
    <w:rPr>
      <w:sz w:val="16"/>
      <w:vertAlign w:val="superscript"/>
    </w:rPr>
  </w:style>
  <w:style w:type="character" w:customStyle="1" w:styleId="Symbols">
    <w:name w:val="Symbols"/>
    <w:basedOn w:val="DefaultParagraphFont"/>
    <w:rsid w:val="009F129F"/>
    <w:rPr>
      <w:rFonts w:ascii="Symbol" w:hAnsi="Symbol"/>
    </w:rPr>
  </w:style>
  <w:style w:type="character" w:customStyle="1" w:styleId="MenuOptions">
    <w:name w:val="Menu Options"/>
    <w:basedOn w:val="DefaultParagraphFont"/>
    <w:rsid w:val="009F129F"/>
    <w:rPr>
      <w:rFonts w:ascii="Arial Narrow" w:hAnsi="Arial Narrow"/>
      <w:smallCaps/>
    </w:rPr>
  </w:style>
  <w:style w:type="character" w:customStyle="1" w:styleId="Buttons">
    <w:name w:val="Buttons"/>
    <w:basedOn w:val="DefaultParagraphFont"/>
    <w:rsid w:val="009F129F"/>
    <w:rPr>
      <w:b/>
    </w:rPr>
  </w:style>
  <w:style w:type="character" w:customStyle="1" w:styleId="Underlined">
    <w:name w:val="Underlined"/>
    <w:basedOn w:val="DefaultParagraphFont"/>
    <w:rsid w:val="009F129F"/>
    <w:rPr>
      <w:u w:val="single"/>
    </w:rPr>
  </w:style>
  <w:style w:type="paragraph" w:customStyle="1" w:styleId="TableBodyTextRight">
    <w:name w:val="Table Body Text Right"/>
    <w:basedOn w:val="TableBodyText"/>
    <w:rsid w:val="009F129F"/>
    <w:pPr>
      <w:widowControl w:val="0"/>
      <w:autoSpaceDE w:val="0"/>
      <w:autoSpaceDN w:val="0"/>
      <w:adjustRightInd w:val="0"/>
      <w:jc w:val="right"/>
    </w:pPr>
    <w:rPr>
      <w:rFonts w:cs="Arial"/>
      <w:szCs w:val="18"/>
    </w:rPr>
  </w:style>
  <w:style w:type="paragraph" w:customStyle="1" w:styleId="CopyrightText">
    <w:name w:val="Copyright Text"/>
    <w:basedOn w:val="BodyText"/>
    <w:rsid w:val="009F129F"/>
    <w:rPr>
      <w:sz w:val="18"/>
    </w:rPr>
  </w:style>
  <w:style w:type="paragraph" w:customStyle="1" w:styleId="BodySmallRight">
    <w:name w:val="Body Small Right"/>
    <w:basedOn w:val="BodyTextRight"/>
    <w:rsid w:val="009F129F"/>
    <w:rPr>
      <w:sz w:val="18"/>
      <w:szCs w:val="18"/>
    </w:rPr>
  </w:style>
  <w:style w:type="paragraph" w:customStyle="1" w:styleId="MarginEdition">
    <w:name w:val="Margin Edition"/>
    <w:basedOn w:val="MarginNote"/>
    <w:rsid w:val="009F129F"/>
    <w:pPr>
      <w:spacing w:before="0" w:after="0"/>
    </w:pPr>
    <w:rPr>
      <w:rFonts w:ascii="Times New Roman" w:hAnsi="Times New Roman"/>
      <w:color w:val="999999"/>
    </w:rPr>
  </w:style>
  <w:style w:type="paragraph" w:customStyle="1" w:styleId="Spacer">
    <w:name w:val="Spacer"/>
    <w:basedOn w:val="Normal"/>
    <w:rsid w:val="009F129F"/>
    <w:rPr>
      <w:sz w:val="2"/>
      <w:szCs w:val="2"/>
    </w:rPr>
  </w:style>
  <w:style w:type="character" w:customStyle="1" w:styleId="Small">
    <w:name w:val="Small"/>
    <w:basedOn w:val="DefaultParagraphFont"/>
    <w:rsid w:val="009F129F"/>
    <w:rPr>
      <w:sz w:val="16"/>
    </w:rPr>
  </w:style>
  <w:style w:type="paragraph" w:customStyle="1" w:styleId="WideTable">
    <w:name w:val="Wide Table"/>
    <w:basedOn w:val="Normal"/>
    <w:rsid w:val="009F129F"/>
    <w:pPr>
      <w:ind w:left="-1418"/>
    </w:pPr>
    <w:rPr>
      <w:sz w:val="2"/>
      <w:szCs w:val="2"/>
    </w:rPr>
  </w:style>
  <w:style w:type="character" w:styleId="PageNumber">
    <w:name w:val="page number"/>
    <w:basedOn w:val="DefaultParagraphFont"/>
    <w:rsid w:val="009F129F"/>
  </w:style>
  <w:style w:type="paragraph" w:styleId="Quote">
    <w:name w:val="Quote"/>
    <w:basedOn w:val="Heading1"/>
    <w:link w:val="QuoteChar"/>
    <w:qFormat/>
    <w:rsid w:val="009F129F"/>
    <w:rPr>
      <w:b w:val="0"/>
      <w:sz w:val="72"/>
      <w:szCs w:val="72"/>
      <w:lang w:val="en-NZ"/>
    </w:rPr>
  </w:style>
  <w:style w:type="character" w:customStyle="1" w:styleId="QuoteChar">
    <w:name w:val="Quote Char"/>
    <w:basedOn w:val="DefaultParagraphFont"/>
    <w:link w:val="Quote"/>
    <w:rsid w:val="009F1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29F"/>
    <w:pPr>
      <w:pageBreakBefore/>
    </w:pPr>
  </w:style>
  <w:style w:type="paragraph" w:customStyle="1" w:styleId="Border">
    <w:name w:val="Border"/>
    <w:basedOn w:val="Normal"/>
    <w:qFormat/>
    <w:rsid w:val="009F1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29F"/>
    <w:rPr>
      <w:b/>
      <w:bCs/>
      <w:i/>
      <w:iCs/>
      <w:color w:val="auto"/>
    </w:rPr>
  </w:style>
  <w:style w:type="paragraph" w:styleId="IntenseQuote">
    <w:name w:val="Intense Quote"/>
    <w:basedOn w:val="Normal"/>
    <w:next w:val="Normal"/>
    <w:link w:val="IntenseQuoteChar"/>
    <w:uiPriority w:val="30"/>
    <w:qFormat/>
    <w:rsid w:val="009F1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2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129F"/>
    <w:rPr>
      <w:smallCaps/>
      <w:color w:val="auto"/>
      <w:u w:val="single"/>
    </w:rPr>
  </w:style>
  <w:style w:type="character" w:styleId="IntenseReference">
    <w:name w:val="Intense Reference"/>
    <w:basedOn w:val="DefaultParagraphFont"/>
    <w:uiPriority w:val="32"/>
    <w:qFormat/>
    <w:rsid w:val="009F129F"/>
    <w:rPr>
      <w:b/>
      <w:bCs/>
      <w:smallCaps/>
      <w:color w:val="auto"/>
      <w:spacing w:val="5"/>
      <w:u w:val="single"/>
    </w:rPr>
  </w:style>
  <w:style w:type="paragraph" w:customStyle="1" w:styleId="2ColumnHeading">
    <w:name w:val="2Column Heading"/>
    <w:basedOn w:val="BodyText"/>
    <w:qFormat/>
    <w:rsid w:val="009F129F"/>
    <w:pPr>
      <w:spacing w:after="60"/>
      <w:ind w:left="-2268"/>
    </w:pPr>
    <w:rPr>
      <w:b/>
    </w:rPr>
  </w:style>
  <w:style w:type="paragraph" w:customStyle="1" w:styleId="Heading1TOC">
    <w:name w:val="Heading1 TOC"/>
    <w:basedOn w:val="Normal"/>
    <w:qFormat/>
    <w:rsid w:val="009F129F"/>
    <w:pPr>
      <w:spacing w:before="240" w:after="120"/>
    </w:pPr>
    <w:rPr>
      <w:rFonts w:ascii="Times New Roman" w:hAnsi="Times New Roman"/>
      <w:b/>
      <w:sz w:val="32"/>
    </w:rPr>
  </w:style>
  <w:style w:type="paragraph" w:customStyle="1" w:styleId="Heading2TOC">
    <w:name w:val="Heading2 TOC"/>
    <w:basedOn w:val="Normal"/>
    <w:qFormat/>
    <w:rsid w:val="009F129F"/>
    <w:pPr>
      <w:spacing w:before="240" w:after="60"/>
    </w:pPr>
    <w:rPr>
      <w:rFonts w:ascii="Times New Roman" w:hAnsi="Times New Roman"/>
      <w:b/>
      <w:sz w:val="28"/>
    </w:rPr>
  </w:style>
  <w:style w:type="character" w:customStyle="1" w:styleId="Underline">
    <w:name w:val="Underline"/>
    <w:basedOn w:val="DefaultParagraphFont"/>
    <w:qFormat/>
    <w:rsid w:val="009F129F"/>
    <w:rPr>
      <w:u w:val="single"/>
    </w:rPr>
  </w:style>
  <w:style w:type="character" w:customStyle="1" w:styleId="BoldandItalics">
    <w:name w:val="Bold and Italics"/>
    <w:qFormat/>
    <w:rsid w:val="009F129F"/>
    <w:rPr>
      <w:b/>
      <w:i/>
      <w:u w:val="none"/>
    </w:rPr>
  </w:style>
  <w:style w:type="paragraph" w:styleId="BalloonText">
    <w:name w:val="Balloon Text"/>
    <w:basedOn w:val="Normal"/>
    <w:link w:val="BalloonTextChar"/>
    <w:rsid w:val="009F129F"/>
    <w:rPr>
      <w:rFonts w:ascii="Tahoma" w:hAnsi="Tahoma" w:cs="Tahoma"/>
      <w:sz w:val="16"/>
      <w:szCs w:val="16"/>
    </w:rPr>
  </w:style>
  <w:style w:type="character" w:customStyle="1" w:styleId="BalloonTextChar">
    <w:name w:val="Balloon Text Char"/>
    <w:basedOn w:val="DefaultParagraphFont"/>
    <w:link w:val="BalloonText"/>
    <w:rsid w:val="009F12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2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4273</Words>
  <Characters>28215</Characters>
  <Application>Microsoft Office Word</Application>
  <DocSecurity>0</DocSecurity>
  <Lines>883</Lines>
  <Paragraphs>368</Paragraphs>
  <ScaleCrop>false</ScaleCrop>
  <Company>Author-it Software Corporation Ltd.</Company>
  <LinksUpToDate>false</LinksUpToDate>
  <CharactersWithSpaces>32282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UETTDRSO38A Develop and evaluate power systems transmission switching programs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