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6F3" w:rsidP="005D06F3">
      <w:pPr>
        <w:pStyle w:val="Title"/>
      </w:pPr>
      <w:bookmarkStart w:id="0" w:name="_GoBack"/>
      <w:bookmarkEnd w:id="0"/>
      <w:r>
        <w:fldChar w:fldCharType="begin"/>
      </w:r>
      <w:r>
        <w:instrText xml:space="preserve"> TITLE   \* MERGEFORMAT </w:instrText>
      </w:r>
      <w:r>
        <w:fldChar w:fldCharType="separate"/>
      </w:r>
      <w:r>
        <w:t>UETTDRSO37A Develop high voltage distribution and subtransmission switching programs</w:t>
      </w:r>
      <w:r>
        <w:fldChar w:fldCharType="end"/>
      </w:r>
    </w:p>
    <w:p w:rsidR="005D06F3" w:rsidP="005D06F3">
      <w:pPr>
        <w:pStyle w:val="Version"/>
        <w:sectPr w:rsidSect="00D45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419" w:rsidP="00D45419">
      <w:pPr>
        <w:pStyle w:val="SuperHeading"/>
      </w:pPr>
      <w:r w:rsidRPr="00D45419">
        <w:t>UETTDRSO37A Develop high voltage distribution and subtransmission switching programs</w:t>
      </w:r>
    </w:p>
    <w:p w:rsidR="00000000" w:rsidRPr="00D45419" w:rsidP="00D45419">
      <w:pPr>
        <w:pStyle w:val="Heading1"/>
      </w:pPr>
      <w:bookmarkStart w:id="1" w:name="O_464994"/>
      <w:bookmarkEnd w:id="1"/>
      <w:r w:rsidRPr="00D45419">
        <w:t>Modification History</w:t>
      </w:r>
    </w:p>
    <w:p w:rsidR="00000000" w:rsidRPr="00D45419" w:rsidP="00D45419">
      <w:pPr>
        <w:pStyle w:val="BodyText"/>
      </w:pPr>
      <w:r w:rsidRPr="00D45419">
        <w:t>Not applicable.</w:t>
      </w:r>
    </w:p>
    <w:p w:rsidR="00000000" w:rsidRPr="00D45419" w:rsidP="00D45419">
      <w:pPr>
        <w:pStyle w:val="AllowPageBreak"/>
      </w:pPr>
    </w:p>
    <w:p w:rsidR="00000000" w:rsidRPr="00D45419" w:rsidP="00D45419">
      <w:pPr>
        <w:pStyle w:val="Heading1"/>
      </w:pPr>
      <w:bookmarkStart w:id="2" w:name="O_464992"/>
      <w:bookmarkEnd w:id="2"/>
      <w:r w:rsidRPr="00D45419">
        <w:t>Unit Descri</w:t>
      </w:r>
      <w:r w:rsidRPr="00D45419">
        <w:t>ptor</w:t>
      </w:r>
    </w:p>
    <w:tbl>
      <w:tblPr>
        <w:tblW w:w="0" w:type="auto"/>
        <w:tblLayout w:type="fixed"/>
        <w:tblCellMar>
          <w:left w:w="62" w:type="dxa"/>
          <w:right w:w="62" w:type="dxa"/>
        </w:tblCellMar>
        <w:tblLook w:val="0000"/>
      </w:tblPr>
      <w:tblGrid>
        <w:gridCol w:w="2700"/>
        <w:gridCol w:w="5760"/>
      </w:tblGrid>
      <w:tr w:rsidTr="005D06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1)</w:t>
            </w:r>
            <w:r w:rsidRPr="00D45419">
              <w:t xml:space="preserve"> </w:t>
            </w:r>
            <w:r w:rsidRPr="00D45419">
              <w:rPr>
                <w:rStyle w:val="SpecialBold"/>
              </w:rPr>
              <w:t>Scope:</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54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1.1) Descriptor</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 xml:space="preserve">This Competency Standard Unit covers the preparation and/or checking of activities required to place the HV distribution and sub transmission </w:t>
            </w:r>
            <w:r w:rsidRPr="00D45419">
              <w:t>network in a state in which work can safely be performed whilst minimising customer outages. The format is typically a written sequence of switching items in a pre-defined format. It includes planning outages and taking into account loading of network comp</w:t>
            </w:r>
            <w:r w:rsidRPr="00D45419">
              <w:t>onents. It also includes planning the management of multiple outages on the HV distribution and sub transmission network and the calculation of network loading conditions to ensure the network is operating within designed parameters.</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3" w:name="O_464981"/>
      <w:bookmarkEnd w:id="3"/>
      <w:r w:rsidRPr="00D45419">
        <w:t>App</w:t>
      </w:r>
      <w:r w:rsidRPr="00D45419">
        <w:t>lication of the Unit</w:t>
      </w:r>
    </w:p>
    <w:tbl>
      <w:tblPr>
        <w:tblW w:w="0" w:type="auto"/>
        <w:tblLayout w:type="fixed"/>
        <w:tblCellMar>
          <w:left w:w="62" w:type="dxa"/>
          <w:right w:w="62" w:type="dxa"/>
        </w:tblCellMar>
        <w:tblLook w:val="0000"/>
      </w:tblPr>
      <w:tblGrid>
        <w:gridCol w:w="2672"/>
        <w:gridCol w:w="5699"/>
      </w:tblGrid>
      <w:tr w:rsidTr="005D06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2)</w:t>
            </w:r>
          </w:p>
        </w:tc>
      </w:tr>
      <w:tr w:rsidTr="005D06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This Competency Standard Unit is intended to augment formally acquired competencies. It is suitable for employment-based programs under an approved contract of training.</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4" w:name="O_464988"/>
      <w:bookmarkEnd w:id="4"/>
      <w:r w:rsidRPr="00D45419">
        <w:t>Licensing/Regulatory Information</w:t>
      </w:r>
    </w:p>
    <w:tbl>
      <w:tblPr>
        <w:tblW w:w="0" w:type="auto"/>
        <w:tblLayout w:type="fixed"/>
        <w:tblCellMar>
          <w:left w:w="62" w:type="dxa"/>
          <w:right w:w="62" w:type="dxa"/>
        </w:tblCellMar>
        <w:tblLook w:val="0000"/>
      </w:tblPr>
      <w:tblGrid>
        <w:gridCol w:w="2700"/>
        <w:gridCol w:w="5760"/>
      </w:tblGrid>
      <w:tr w:rsidTr="005D06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 xml:space="preserve">3)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 xml:space="preserve">The skills and knowledge described in this unit may require a licence/registration to practice in the work place </w:t>
            </w:r>
            <w:r w:rsidRPr="00D45419">
              <w:t>subject to regulations for undertaking of electrical work. Practice in workplace and</w:t>
            </w:r>
            <w:r w:rsidRPr="00D45419">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D45419">
              <w:t>ommonwealth, State/Territory or Local Government legislation and regulations may exist that limits the age of operating certain equipment.</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5" w:name="O_464989"/>
      <w:bookmarkEnd w:id="5"/>
      <w:r w:rsidRPr="00D45419">
        <w:t>Pre-Requisites</w:t>
      </w:r>
    </w:p>
    <w:tbl>
      <w:tblPr>
        <w:tblW w:w="0" w:type="auto"/>
        <w:tblLayout w:type="fixed"/>
        <w:tblCellMar>
          <w:left w:w="62" w:type="dxa"/>
          <w:right w:w="62" w:type="dxa"/>
        </w:tblCellMar>
        <w:tblLook w:val="0000"/>
      </w:tblPr>
      <w:tblGrid>
        <w:gridCol w:w="2700"/>
        <w:gridCol w:w="1980"/>
        <w:gridCol w:w="3780"/>
      </w:tblGrid>
      <w:tr w:rsidTr="005D06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 xml:space="preserve">4)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4.1)</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Granting of competency in this unit shall be made only after competency in the following unit(s) has/have been confirmed.</w:t>
            </w:r>
          </w:p>
          <w:p w:rsidR="00000000" w:rsidRPr="00D45419" w:rsidP="00D45419">
            <w:pPr>
              <w:pStyle w:val="BodyText"/>
            </w:pPr>
            <w:r w:rsidRPr="00D45419">
              <w:t xml:space="preserve">Where pre-requisite pathways have been identified. All competencies in the Common Unit Group must be have been completed plus all the </w:t>
            </w:r>
            <w:r w:rsidRPr="00D45419">
              <w:t>competencies in one (1) of the identified Pathway Unit Group(s):</w:t>
            </w:r>
          </w:p>
          <w:p w:rsidR="00000000" w:rsidP="00D45419">
            <w:pPr>
              <w:pStyle w:val="BodyText"/>
              <w:rPr>
                <w:lang w:val="en-NZ"/>
              </w:rPr>
            </w:pPr>
            <w:r w:rsidRPr="00D45419">
              <w:t>Common Unit Group</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Unit Code</w:t>
            </w:r>
            <w:r w:rsidRPr="00D45419">
              <w:tab/>
            </w:r>
          </w:p>
        </w:tc>
        <w:tc>
          <w:tcPr>
            <w:tcW w:w="3780" w:type="dxa"/>
            <w:tcBorders>
              <w:top w:val="nil"/>
              <w:left w:val="nil"/>
              <w:bottom w:val="nil"/>
              <w:right w:val="nil"/>
            </w:tcBorders>
            <w:tcMar>
              <w:top w:w="0" w:type="dxa"/>
              <w:left w:w="62" w:type="dxa"/>
              <w:bottom w:w="0" w:type="dxa"/>
              <w:right w:w="62" w:type="dxa"/>
            </w:tcMar>
            <w:vAlign w:val="bottom"/>
          </w:tcPr>
          <w:p w:rsidR="00000000" w:rsidP="00D45419">
            <w:pPr>
              <w:pStyle w:val="BodyText"/>
              <w:rPr>
                <w:lang w:val="en-NZ"/>
              </w:rPr>
            </w:pPr>
            <w:r w:rsidRPr="00D45419">
              <w:t>Unit Title</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D45419">
            <w:pPr>
              <w:pStyle w:val="BodyText"/>
              <w:rPr>
                <w:lang w:val="en-NZ"/>
              </w:rPr>
            </w:pPr>
            <w:r w:rsidRPr="00D45419">
              <w:t>Use engineering applications software on personal computers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Apply Occupational Health and Safety regulations, codes and practices in the workplace</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Fabricate, assemble and dismantle utilities industry components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Solve problems in d.c. Circuits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Use drawings, diagrams, schedules, standards, codes and specifications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UEENEEE124A</w:t>
            </w:r>
          </w:p>
        </w:tc>
        <w:tc>
          <w:tcPr>
            <w:tcW w:w="378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Compile and produce an energy sector detailed report</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Provide engineering solutions for problems in complex multiple path circuits problems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Prov</w:t>
            </w:r>
            <w:r w:rsidRPr="00D45419">
              <w:t>ide solutions to basic engineering computational problems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Solve problems in electromagnetic devices and related circuits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Solve problems in electromagnetic devices and related circuits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Provide engineering solutions to problems in complex polyphase power circuits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Apply sustainable energy and environmental procedures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 xml:space="preserve">Working safely near live electrical apparatus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Implement and monitor the power sys</w:t>
            </w:r>
            <w:r w:rsidRPr="00D45419">
              <w:t>tem organisational OHS policies, procedures and programs</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45419">
            <w:pPr>
              <w:pStyle w:val="BodyText"/>
              <w:rPr>
                <w:lang w:val="en-NZ"/>
              </w:rPr>
            </w:pPr>
            <w:r w:rsidRPr="00D45419">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D45419" w:rsidP="00D45419">
            <w:pPr>
              <w:pStyle w:val="BodyText"/>
            </w:pPr>
            <w:r w:rsidRPr="00D45419">
              <w:t>Implement and monitor the power system environmental and sustainable energy management policies and procedures</w:t>
            </w:r>
          </w:p>
        </w:tc>
      </w:tr>
    </w:tbl>
    <w:p w:rsidR="00000000" w:rsidRPr="00D45419" w:rsidP="00D454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D06F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 xml:space="preserve">4.2)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Participants are best equipped to achieve this unit if they have reading, writing and numeracy skills indicated by the following scales. Description of each scale is given in Volume 2, Part 3 “Literacy and Numeracy”</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Reading</w:t>
            </w:r>
          </w:p>
        </w:tc>
        <w:tc>
          <w:tcPr>
            <w:tcW w:w="81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5</w:t>
            </w:r>
          </w:p>
        </w:tc>
        <w:tc>
          <w:tcPr>
            <w:tcW w:w="99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Writing</w:t>
            </w: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5</w:t>
            </w:r>
          </w:p>
        </w:tc>
        <w:tc>
          <w:tcPr>
            <w:tcW w:w="12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Numeracy</w:t>
            </w:r>
          </w:p>
        </w:tc>
        <w:tc>
          <w:tcPr>
            <w:tcW w:w="72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5</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6" w:name="O_464985"/>
      <w:bookmarkEnd w:id="6"/>
      <w:r w:rsidRPr="00D45419">
        <w:t>Employability Skills Information</w:t>
      </w:r>
    </w:p>
    <w:tbl>
      <w:tblPr>
        <w:tblW w:w="0" w:type="auto"/>
        <w:tblLayout w:type="fixed"/>
        <w:tblCellMar>
          <w:left w:w="62" w:type="dxa"/>
          <w:right w:w="62" w:type="dxa"/>
        </w:tblCellMar>
        <w:tblLook w:val="0000"/>
      </w:tblPr>
      <w:tblGrid>
        <w:gridCol w:w="2700"/>
        <w:gridCol w:w="5760"/>
      </w:tblGrid>
      <w:tr w:rsidTr="005D06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 xml:space="preserve">5)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The required outcomes described in this unit of competency contain applicable facets of Employability Skills. The Employability Skills Summary of the qualification in which this u</w:t>
            </w:r>
            <w:r w:rsidRPr="00D45419">
              <w:t>nit of competency is packaged will assist in identifying Employability Skill requirements.</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7" w:name="O_464984"/>
      <w:bookmarkEnd w:id="7"/>
      <w:r w:rsidRPr="00D45419">
        <w:t>Elements and Performance Criteria Pre-Content</w:t>
      </w:r>
    </w:p>
    <w:tbl>
      <w:tblPr>
        <w:tblW w:w="0" w:type="auto"/>
        <w:tblLayout w:type="fixed"/>
        <w:tblCellMar>
          <w:left w:w="62" w:type="dxa"/>
          <w:right w:w="62" w:type="dxa"/>
        </w:tblCellMar>
        <w:tblLook w:val="0000"/>
      </w:tblPr>
      <w:tblGrid>
        <w:gridCol w:w="2700"/>
        <w:gridCol w:w="5760"/>
      </w:tblGrid>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6)</w:t>
            </w:r>
            <w:r w:rsidRPr="00D454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Performance Criteria describe the required performance needed to demonstrate achievement of the element. Assessment of performance is to be consistent with the Evidence Guide.</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8" w:name="O_464983"/>
      <w:bookmarkEnd w:id="8"/>
      <w:r w:rsidRPr="00D4541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06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PERFORMANCE CRITER</w:t>
            </w:r>
            <w:r w:rsidRPr="00D45419">
              <w:rPr>
                <w:rStyle w:val="SpecialBold"/>
              </w:rPr>
              <w:t>IA</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w:t>
            </w:r>
          </w:p>
        </w:tc>
        <w:tc>
          <w:tcPr>
            <w:tcW w:w="2296"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Plan for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1.1</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 xml:space="preserve">OHS practices/procedures and environmental and sustainable energy procedures, which may influence the preparation of HV Distribution and Sub </w:t>
            </w:r>
            <w:r w:rsidRPr="00D45419">
              <w:t>transmission Switching system programs, are reviewed and determined.</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1.2</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Purpose for the preparation of HV Distribution and sub transmission switching programs is established after data is analysed and expected outcomes of the work are confirmed with th</w:t>
            </w:r>
            <w:r w:rsidRPr="00D45419">
              <w:t>e appropriate personnel.</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1.3</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Organisational established procedures on policies and specifications for the preparation of HV Distribution and sub transmission switching programs are obtained or established with the appropriate personnel.</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1.4</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Testing/switching procedures are discussed with/directed to the appropriate personnel in order to ascertain the project brief.</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1.5</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Testing/switching parameters are established from organisational established procedures on policies and specifications.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1.6</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Equipment/tools and personal protective equipment are selected based on specified Performance Criteria and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1.7</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Work roles and tasks are allocated according to requirements and individuals’ competencies.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1.8</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Work is prioritised and sequenced for the most efficient/effective outcome, completed within an acceptable timeframe to a quality standard and in accordance with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1.9</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Liaison and communication issues with other/authorised personne</w:t>
            </w:r>
            <w:r w:rsidRPr="00D45419">
              <w:t>l, authorities, clients and land owners are resolved and activities coordinated to carry out work.</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1.10</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Risk control measures are identified, prioritised and evaluated against the work schedule.</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1.11</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Relevant work permits are secured to coordinate th</w:t>
            </w:r>
            <w:r w:rsidRPr="00D45419">
              <w:t>e performance of work according to requirements and/or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w:t>
            </w:r>
          </w:p>
        </w:tc>
        <w:tc>
          <w:tcPr>
            <w:tcW w:w="2296" w:type="dxa"/>
            <w:vMerge w:val="restart"/>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Carry out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2.1</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Circ</w:t>
            </w:r>
            <w:r w:rsidRPr="00D45419">
              <w:t>uit/systems modelling is used to evaluate alternative proposals as per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2.2</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OHS and sustainable energy principles, functionality and practices to reduce the incidents of accidents and minimise waste are incorporated into the proje</w:t>
            </w:r>
            <w:r w:rsidRPr="00D45419">
              <w:t>ct in accordance with requirements and/or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2.3</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Preparation of HV Distribution and sub transmission switching program decisions are made on the basis of safety and effective outcomes according to requirements and/or established pro</w:t>
            </w:r>
            <w:r w:rsidRPr="00D45419">
              <w:t>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2.4</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Mathematical and/or engineering models of the program is used to analyse the effectiveness of the finished project as per requirements and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2.5</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Technical advice is given regarding potential hazards, safety risks and control measures so that monitoring and preventative action can be undertaken and/or appropriate authorities consulted, where necessary, in accordance with requirements and established</w:t>
            </w:r>
            <w:r w:rsidRPr="00D45419">
              <w:t xml:space="preserve">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2.6</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Essential knowledge and associated skills are applied to analyse specific data and compare it with compliance specifications to ensure completion of the project within an agreed timeframe according to requirements.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2.7</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Testing of the</w:t>
            </w:r>
            <w:r w:rsidRPr="00D45419">
              <w:t xml:space="preserve"> program is undertaken according to requirements and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2.8</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Work teams/groups are arranged/coordinated/evaluated to ensure planned goals are met according to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2.9</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Solutions to non-routine problems are identified and actioned, using acquired essential knowledge and associated skills, according to requirements.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2.10</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Quality of work is monitored against personal performance agreement and/or established organisationa</w:t>
            </w:r>
            <w:r w:rsidRPr="00D45419">
              <w:t>l and professional standards.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2.11</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Strategic plans are developed incorporating organisation initiatives as per established procedures.</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3</w:t>
            </w:r>
          </w:p>
        </w:tc>
        <w:tc>
          <w:tcPr>
            <w:tcW w:w="2296" w:type="dxa"/>
            <w:vMerge w:val="restart"/>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Complete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3.1</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Final review of the switchi</w:t>
            </w:r>
            <w:r w:rsidRPr="00D45419">
              <w:t>ng program is undertaken to ensure they comply with all requirements and include all specifications and documentations needed to complete the project.</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3.2</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Appropriate personnel are notified of completion and reports and/or completion documents are finalised/commissioned.</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3.3</w:t>
            </w:r>
          </w:p>
        </w:tc>
        <w:tc>
          <w:tcPr>
            <w:tcW w:w="48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 xml:space="preserve">Reports and/or completion documents are submitted to relevant personnel/organisations for approval and, where applicable, statutory </w:t>
            </w:r>
            <w:r w:rsidRPr="00D45419">
              <w:t>or regulatory approval.</w:t>
            </w:r>
          </w:p>
        </w:tc>
      </w:tr>
      <w:tr w:rsidTr="005D06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3.4</w:t>
            </w:r>
          </w:p>
        </w:tc>
        <w:tc>
          <w:tcPr>
            <w:tcW w:w="48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Approved copies of prepared HV Distribution and sub transmission switching program documents are issued and records are updated in accordance with established procedures.</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9" w:name="O_464991"/>
      <w:bookmarkEnd w:id="9"/>
      <w:r w:rsidRPr="00D45419">
        <w:t>Required Skills and Knowledge</w:t>
      </w:r>
    </w:p>
    <w:tbl>
      <w:tblPr>
        <w:tblW w:w="0" w:type="auto"/>
        <w:tblLayout w:type="fixed"/>
        <w:tblCellMar>
          <w:left w:w="62" w:type="dxa"/>
          <w:right w:w="62" w:type="dxa"/>
        </w:tblCellMar>
        <w:tblLook w:val="0000"/>
      </w:tblPr>
      <w:tblGrid>
        <w:gridCol w:w="8460"/>
      </w:tblGrid>
      <w:tr w:rsidTr="005D06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REQUIRED SKILLS AND KNOWLEDGE</w:t>
            </w:r>
          </w:p>
        </w:tc>
      </w:tr>
      <w:tr w:rsidTr="005D06F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8)</w:t>
            </w:r>
            <w:r w:rsidRPr="00D45419">
              <w:t xml:space="preserve"> Essential Knowledge and Associated Skills (EKAS): This describes the essential skills and knowledge and their level, required for this unit.</w:t>
            </w:r>
          </w:p>
          <w:p w:rsidR="00000000" w:rsidRPr="00D45419" w:rsidP="00D45419">
            <w:pPr>
              <w:pStyle w:val="BodyText"/>
            </w:pPr>
            <w:r w:rsidRPr="00D45419">
              <w:t>Evidence shall show that knowledge has been acquired of developing HV distributio</w:t>
            </w:r>
            <w:r w:rsidRPr="00D45419">
              <w:t>n and sub transmission switching programs.</w:t>
            </w:r>
          </w:p>
          <w:p w:rsidR="00000000" w:rsidRPr="00D45419" w:rsidP="00D45419">
            <w:pPr>
              <w:pStyle w:val="BodyText"/>
            </w:pPr>
            <w:r w:rsidRPr="00D45419">
              <w:t>All knowledge and skills detailed in this unit should be contextualised to current industry practices and technologies.</w:t>
            </w:r>
          </w:p>
          <w:p w:rsidR="00000000" w:rsidRPr="00D45419" w:rsidP="00D45419">
            <w:pPr>
              <w:pStyle w:val="BodyText"/>
            </w:pPr>
            <w:r w:rsidRPr="00D45419">
              <w:t>KS01-TSO37A</w:t>
            </w:r>
            <w:r w:rsidRPr="00D45419">
              <w:tab/>
              <w:t>High voltage distribution and subtransmission switching programs</w:t>
            </w:r>
          </w:p>
          <w:p w:rsidR="00000000" w:rsidRPr="00D45419" w:rsidP="00D45419">
            <w:pPr>
              <w:pStyle w:val="BodyText"/>
            </w:pPr>
            <w:r w:rsidRPr="00D45419">
              <w:t>Evidence shall s</w:t>
            </w:r>
            <w:r w:rsidRPr="00D45419">
              <w:t>how an understanding of high voltage distribution and subtransmission switching programs to an extent indicated by the following aspects:</w:t>
            </w:r>
          </w:p>
          <w:p w:rsidR="00000000" w:rsidRPr="00D45419" w:rsidP="00D45419">
            <w:pPr>
              <w:pStyle w:val="BodyText"/>
            </w:pPr>
            <w:r w:rsidRPr="00D45419">
              <w:t>T1</w:t>
            </w:r>
            <w:r w:rsidRPr="00D45419">
              <w:tab/>
              <w:t>Transmission, distribution and rail systems encompassing:</w:t>
            </w:r>
          </w:p>
          <w:p w:rsidR="00000000" w:rsidRPr="00D45419" w:rsidP="00D45419">
            <w:pPr>
              <w:pStyle w:val="ListBullet"/>
            </w:pPr>
            <w:r w:rsidRPr="00D45419">
              <w:t xml:space="preserve">Relationship between the </w:t>
            </w:r>
            <w:r w:rsidRPr="00D45419">
              <w:t>transmission, distribution and rail/tram system within an overall power system - different organisations responsible for generation, transmission, distribution and rail/tram and, how they correlate and their functions</w:t>
            </w:r>
          </w:p>
          <w:p w:rsidR="00000000" w:rsidRPr="00D45419" w:rsidP="00D45419">
            <w:pPr>
              <w:pStyle w:val="ListBullet"/>
            </w:pPr>
            <w:r w:rsidRPr="00D45419">
              <w:t>Characteristics of a transmission, a d</w:t>
            </w:r>
            <w:r w:rsidRPr="00D45419">
              <w:t>istribution and a rail system - principal components, typical voltage levels and methods of transmission and distribution including grid type transmission systems, radial, parallel and ring main feeders</w:t>
            </w:r>
          </w:p>
          <w:p w:rsidR="00000000" w:rsidRPr="00D45419" w:rsidP="00D45419">
            <w:pPr>
              <w:pStyle w:val="ListBullet"/>
            </w:pPr>
            <w:r w:rsidRPr="00D45419">
              <w:t>Relationship between an overhead and underground supp</w:t>
            </w:r>
            <w:r w:rsidRPr="00D45419">
              <w:t>ly systems within an overall power system - advantages/disadvantages, applications and the basic steps for planning and installing an overhead and underground distribution system</w:t>
            </w:r>
          </w:p>
          <w:p w:rsidR="00000000" w:rsidRPr="00D45419" w:rsidP="00D45419">
            <w:pPr>
              <w:pStyle w:val="ListBullet"/>
            </w:pPr>
            <w:r w:rsidRPr="00D45419">
              <w:t>Single line drawings and layouts - drawings and layouts of transmission and d</w:t>
            </w:r>
            <w:r w:rsidRPr="00D45419">
              <w:t>istribution systems including, radial, parallel and ring main feeders and the HV equipment associated with substations.</w:t>
            </w:r>
          </w:p>
          <w:p w:rsidR="00000000" w:rsidRPr="00D45419" w:rsidP="00D45419">
            <w:pPr>
              <w:pStyle w:val="BodyText"/>
            </w:pPr>
            <w:r w:rsidRPr="00D45419">
              <w:t>T2</w:t>
            </w:r>
            <w:r w:rsidRPr="00D45419">
              <w:tab/>
              <w:t>Different types and function of distribution components encompassing:</w:t>
            </w:r>
          </w:p>
          <w:p w:rsidR="00000000" w:rsidRPr="00D45419" w:rsidP="00D45419">
            <w:pPr>
              <w:pStyle w:val="ListBullet"/>
            </w:pPr>
            <w:r w:rsidRPr="00D45419">
              <w:t xml:space="preserve">Commonwealth/State/Territory and local government legislation, </w:t>
            </w:r>
            <w:r w:rsidRPr="00D45419">
              <w:t>Standards, codes, Commonwealth, State/Territory and local government legislation, supply authority regulations and or enterprise requirements applicable to the use and application of distribution components</w:t>
            </w:r>
          </w:p>
          <w:p w:rsidR="00000000" w:rsidRPr="00D45419" w:rsidP="00D45419">
            <w:pPr>
              <w:pStyle w:val="ListBullet"/>
            </w:pPr>
            <w:r w:rsidRPr="00D45419">
              <w:t>Requirements for the use of overhead line constru</w:t>
            </w:r>
            <w:r w:rsidRPr="00D45419">
              <w:t>ction manuals, system diagrams/plans and drawings</w:t>
            </w:r>
          </w:p>
          <w:p w:rsidR="00000000" w:rsidRPr="00D45419" w:rsidP="00D45419">
            <w:pPr>
              <w:pStyle w:val="ListBullet"/>
            </w:pPr>
            <w:r w:rsidRPr="00D45419">
              <w:t>Types, function and characteristics of distribution components</w:t>
            </w:r>
          </w:p>
          <w:p w:rsidR="00000000" w:rsidRPr="00D45419" w:rsidP="00D45419">
            <w:pPr>
              <w:pStyle w:val="ListBullet"/>
            </w:pPr>
            <w:r w:rsidRPr="00D45419">
              <w:t>Safety policies and procedures precautions related to the handling and installing distribution components</w:t>
            </w:r>
          </w:p>
          <w:p w:rsidR="00000000" w:rsidRPr="00D45419" w:rsidP="00D45419">
            <w:pPr>
              <w:pStyle w:val="BodyText"/>
            </w:pPr>
            <w:r w:rsidRPr="00D45419">
              <w:t>T3</w:t>
            </w:r>
            <w:r w:rsidRPr="00D45419">
              <w:tab/>
              <w:t>Co-ordinating access authority pro</w:t>
            </w:r>
            <w:r w:rsidRPr="00D45419">
              <w:t>cedures encompassing:</w:t>
            </w:r>
          </w:p>
          <w:p w:rsidR="00000000" w:rsidRPr="00D45419" w:rsidP="00D45419">
            <w:pPr>
              <w:pStyle w:val="ListBullet"/>
            </w:pPr>
            <w:r w:rsidRPr="00D45419">
              <w:t>Specific enterprise processes, policies and procedures to be followed</w:t>
            </w:r>
          </w:p>
          <w:p w:rsidR="00000000" w:rsidRPr="00D45419" w:rsidP="00D45419">
            <w:pPr>
              <w:pStyle w:val="ListBullet"/>
            </w:pPr>
            <w:r w:rsidRPr="00D45419">
              <w:t>Processes of consultation, negotiation and co-ordination - clear and concise instructions and information, methods for the encouragement of feedback and contributio</w:t>
            </w:r>
            <w:r w:rsidRPr="00D45419">
              <w:t>ns of information and ideas, responsibilities of members of the team.</w:t>
            </w:r>
          </w:p>
          <w:p w:rsidR="00000000" w:rsidRPr="00D45419" w:rsidP="00D45419">
            <w:pPr>
              <w:pStyle w:val="ListBullet"/>
            </w:pPr>
            <w:r w:rsidRPr="00D45419">
              <w:t>Techniques in analysing, planning, co-ordination and organising work for a safe outcome and according to statutory requirements and regulations</w:t>
            </w:r>
          </w:p>
          <w:p w:rsidR="00000000" w:rsidRPr="00D45419" w:rsidP="00D45419">
            <w:pPr>
              <w:pStyle w:val="ListBullet"/>
            </w:pPr>
            <w:r w:rsidRPr="00D45419">
              <w:t>Techniques in the effective utilisation of</w:t>
            </w:r>
            <w:r w:rsidRPr="00D45419">
              <w:t xml:space="preserve"> available resources</w:t>
            </w:r>
          </w:p>
          <w:p w:rsidR="00000000" w:rsidRPr="00D45419" w:rsidP="00D45419">
            <w:pPr>
              <w:pStyle w:val="ListBullet"/>
            </w:pPr>
            <w:r w:rsidRPr="00D45419">
              <w:t>Techniques in the development of an access authority/permit and/or access authority/permit issuing procedures</w:t>
            </w:r>
          </w:p>
          <w:p w:rsidR="00000000" w:rsidRPr="00D45419" w:rsidP="00D45419">
            <w:pPr>
              <w:pStyle w:val="ListBullet"/>
            </w:pPr>
            <w:r w:rsidRPr="00D45419">
              <w:t>Techniques in facilitating and co-ordinating the delivery and issuing of access authorities</w:t>
            </w:r>
          </w:p>
          <w:p w:rsidR="00000000" w:rsidRPr="00D45419" w:rsidP="00D45419">
            <w:pPr>
              <w:pStyle w:val="ListBullet"/>
            </w:pPr>
            <w:r w:rsidRPr="00D45419">
              <w:t>Techniques in gathering, collatin</w:t>
            </w:r>
            <w:r w:rsidRPr="00D45419">
              <w:t>g and confirming data on different worksites - electrical network diagrams for the specific work site, earth access authorities, safe working area, work to be carried out in confined space or in hazardous environment, specific outsourcing procedures, speci</w:t>
            </w:r>
            <w:r w:rsidRPr="00D45419">
              <w:t>fic hazard identification, risk classification and management procedures, regulatory requirements such as Occupational Health and Safety and electrical safety</w:t>
            </w:r>
          </w:p>
          <w:p w:rsidR="00000000" w:rsidRPr="00D45419" w:rsidP="00D45419">
            <w:pPr>
              <w:pStyle w:val="ListBullet"/>
            </w:pPr>
            <w:r w:rsidRPr="00D45419">
              <w:t>Techniques in the receiving and co-ordinating the cancellation of access authorities in readiness</w:t>
            </w:r>
            <w:r w:rsidRPr="00D45419">
              <w:t xml:space="preserve"> for restoration</w:t>
            </w:r>
          </w:p>
          <w:p w:rsidR="00000000" w:rsidRPr="00D45419" w:rsidP="00D45419">
            <w:pPr>
              <w:pStyle w:val="ListBullet"/>
            </w:pPr>
            <w:r w:rsidRPr="00D45419">
              <w:t>Methods of conducting audits on correct access authority procedures</w:t>
            </w:r>
          </w:p>
          <w:p w:rsidR="00000000" w:rsidRPr="00D45419" w:rsidP="00D45419">
            <w:pPr>
              <w:pStyle w:val="ListBullet"/>
            </w:pPr>
            <w:r w:rsidRPr="00D45419">
              <w:t>Process of issuing of other access authorities for work permits - working in confined space, if required, co-ordination of access authorities, engaging and briefing contra</w:t>
            </w:r>
            <w:r w:rsidRPr="00D45419">
              <w:t>ctors on electrical and other work</w:t>
            </w:r>
          </w:p>
          <w:p w:rsidR="00000000" w:rsidRPr="00D45419" w:rsidP="00D45419">
            <w:pPr>
              <w:pStyle w:val="ListBullet"/>
            </w:pPr>
            <w:r w:rsidRPr="00D45419">
              <w:t>Issue and receipt of operating agreements.</w:t>
            </w:r>
          </w:p>
          <w:p w:rsidR="00000000" w:rsidRPr="00D45419" w:rsidP="00D45419">
            <w:pPr>
              <w:pStyle w:val="BodyText"/>
            </w:pPr>
            <w:r w:rsidRPr="00D45419">
              <w:t>T4</w:t>
            </w:r>
            <w:r w:rsidRPr="00D45419">
              <w:tab/>
              <w:t>Principles of Statutory and safety considerations encompassing:</w:t>
            </w:r>
          </w:p>
          <w:p w:rsidR="00000000" w:rsidRPr="00D45419" w:rsidP="00D45419">
            <w:pPr>
              <w:pStyle w:val="ListBullet"/>
            </w:pPr>
            <w:r w:rsidRPr="00D45419">
              <w:t>Commonwealth/State/Territory legislation, standards, codes, supply authority regulations and or enterprise requ</w:t>
            </w:r>
            <w:r w:rsidRPr="00D45419">
              <w:t>irements associated with working on High Voltage</w:t>
            </w:r>
          </w:p>
          <w:p w:rsidR="00000000" w:rsidRPr="00D45419" w:rsidP="00D45419">
            <w:pPr>
              <w:pStyle w:val="ListBullet"/>
            </w:pPr>
            <w:r w:rsidRPr="00D45419">
              <w:t>Particular reference to State and Territory regulations regarding - working near energised conductors, electrical access, heights, confined space, testing procedures, licensing rules.</w:t>
            </w:r>
          </w:p>
          <w:p w:rsidR="00000000" w:rsidRPr="00D45419" w:rsidP="00D45419">
            <w:pPr>
              <w:pStyle w:val="BodyText"/>
            </w:pPr>
            <w:r w:rsidRPr="00D45419">
              <w:t>T5</w:t>
            </w:r>
            <w:r w:rsidRPr="00D45419">
              <w:tab/>
            </w:r>
            <w:r w:rsidRPr="00D45419">
              <w:t>High voltage switching principles encompassing:</w:t>
            </w:r>
          </w:p>
          <w:p w:rsidR="00000000" w:rsidRPr="00D45419" w:rsidP="00D45419">
            <w:pPr>
              <w:pStyle w:val="ListBullet"/>
            </w:pPr>
            <w:r w:rsidRPr="00D45419">
              <w:t>Standards, codes, legislation, supply authority regulations and or enterprise requirements applicable to switching of high voltage to a given schedule</w:t>
            </w:r>
          </w:p>
          <w:p w:rsidR="00000000" w:rsidRPr="00D45419" w:rsidP="00D45419">
            <w:pPr>
              <w:pStyle w:val="ListBullet"/>
            </w:pPr>
            <w:r w:rsidRPr="00D45419">
              <w:t>Requirements for the use of manuals, system diagrams/plan</w:t>
            </w:r>
            <w:r w:rsidRPr="00D45419">
              <w:t>s and drawings - types, characteristics and capabilities of electrical apparatus, use, characteristics and capabilities of specialised tools and testing equipment, network interconnectors source of possible backfeed</w:t>
            </w:r>
          </w:p>
          <w:p w:rsidR="00000000" w:rsidRPr="00D45419" w:rsidP="00D45419">
            <w:pPr>
              <w:pStyle w:val="ListBullet"/>
            </w:pPr>
            <w:r w:rsidRPr="00D45419">
              <w:t>Role of the HV switching operator</w:t>
            </w:r>
          </w:p>
          <w:p w:rsidR="00000000" w:rsidRPr="00D45419" w:rsidP="00D45419">
            <w:pPr>
              <w:pStyle w:val="ListBullet"/>
            </w:pPr>
            <w:r w:rsidRPr="00D45419">
              <w:t>Operat</w:t>
            </w:r>
            <w:r w:rsidRPr="00D45419">
              <w:t>ional forms, access authorities and permits associated with HV switching - types of operational forms, access authorities and permits, purpose and procedure for operational forms, access authorities and permits.</w:t>
            </w:r>
          </w:p>
          <w:p w:rsidR="00000000" w:rsidRPr="00D45419" w:rsidP="00D45419">
            <w:pPr>
              <w:pStyle w:val="ListBullet"/>
            </w:pPr>
            <w:r w:rsidRPr="00D45419">
              <w:t>Use and operation of equipment associated wi</w:t>
            </w:r>
            <w:r w:rsidRPr="00D45419">
              <w:t xml:space="preserve">th HV overhead and substation equipment - test instruments, sticks, interrupters, arc stranglers. </w:t>
            </w:r>
          </w:p>
          <w:p w:rsidR="00000000" w:rsidRPr="00D45419" w:rsidP="00D45419">
            <w:pPr>
              <w:pStyle w:val="ListBullet"/>
            </w:pPr>
            <w:r w:rsidRPr="00D45419">
              <w:t>Types and categories of HV switchgear</w:t>
            </w:r>
          </w:p>
          <w:p w:rsidR="00000000" w:rsidRPr="00D45419" w:rsidP="00D45419">
            <w:pPr>
              <w:pStyle w:val="ListBullet"/>
            </w:pPr>
            <w:r w:rsidRPr="00D45419">
              <w:t>Application, function and operating capabilities of switchgear</w:t>
            </w:r>
          </w:p>
          <w:p w:rsidR="00000000" w:rsidRPr="00D45419" w:rsidP="00D45419">
            <w:pPr>
              <w:pStyle w:val="ListBullet"/>
            </w:pPr>
            <w:r w:rsidRPr="00D45419">
              <w:t>Restrictions pertaining to HV switching equipment</w:t>
            </w:r>
          </w:p>
          <w:p w:rsidR="00000000" w:rsidRPr="00D45419" w:rsidP="00D45419">
            <w:pPr>
              <w:pStyle w:val="ListBullet"/>
            </w:pPr>
            <w:r w:rsidRPr="00D45419">
              <w:t>Proced</w:t>
            </w:r>
            <w:r w:rsidRPr="00D45419">
              <w:t>ures for the isolation of HV transmission main and working earths</w:t>
            </w:r>
          </w:p>
          <w:p w:rsidR="00000000" w:rsidRPr="00D45419" w:rsidP="00D45419">
            <w:pPr>
              <w:pStyle w:val="ListBullet"/>
            </w:pPr>
            <w:r w:rsidRPr="00D45419">
              <w:t>Earthing HV electrical apparatus practices and procedures for access - purposes of “Operational” and additional work part “on-site” earths, factors determining the location and effectiveness</w:t>
            </w:r>
            <w:r w:rsidRPr="00D45419">
              <w:t xml:space="preserve"> of “Operational” earthing, acceptable industry procedures, personal protective equipment, high voltage switching techniques.</w:t>
            </w:r>
          </w:p>
          <w:p w:rsidR="00000000" w:rsidRPr="00D45419" w:rsidP="00D45419">
            <w:pPr>
              <w:pStyle w:val="ListBullet"/>
            </w:pPr>
            <w:r w:rsidRPr="00D45419">
              <w:t>Operate switching apparatus - identifying hazards, assessing and controlling risks associated with HV switchgear operation, system</w:t>
            </w:r>
            <w:r w:rsidRPr="00D45419">
              <w:t>atic and defensive techniques, mobile radio procedures, double isolation procedures.</w:t>
            </w:r>
          </w:p>
          <w:p w:rsidR="00000000" w:rsidRPr="00D45419" w:rsidP="00D45419">
            <w:pPr>
              <w:pStyle w:val="BodyText"/>
            </w:pPr>
            <w:r w:rsidRPr="00D45419">
              <w:t>T6</w:t>
            </w:r>
            <w:r w:rsidRPr="00D45419">
              <w:tab/>
              <w:t>High voltage fault switching principles encompassing:</w:t>
            </w:r>
          </w:p>
          <w:p w:rsidR="00000000" w:rsidRPr="00D45419" w:rsidP="00D45419">
            <w:pPr>
              <w:pStyle w:val="ListBullet"/>
            </w:pPr>
            <w:r w:rsidRPr="00D45419">
              <w:t>Primary causes, effects and types of HV electrical faults</w:t>
            </w:r>
          </w:p>
          <w:p w:rsidR="00000000" w:rsidRPr="00D45419" w:rsidP="00D45419">
            <w:pPr>
              <w:pStyle w:val="ListBullet"/>
            </w:pPr>
            <w:r w:rsidRPr="00D45419">
              <w:t>HV protection devices - main components, types, categori</w:t>
            </w:r>
            <w:r w:rsidRPr="00D45419">
              <w:t>es, applications, functions</w:t>
            </w:r>
          </w:p>
          <w:p w:rsidR="00000000" w:rsidRPr="00D45419" w:rsidP="00D45419">
            <w:pPr>
              <w:pStyle w:val="ListBullet"/>
            </w:pPr>
            <w:r w:rsidRPr="00D45419">
              <w:t>Basic principle of operation of HV system protection devices</w:t>
            </w:r>
          </w:p>
          <w:p w:rsidR="00000000" w:rsidRPr="00D45419" w:rsidP="00D45419">
            <w:pPr>
              <w:pStyle w:val="ListBullet"/>
            </w:pPr>
            <w:r w:rsidRPr="00D45419">
              <w:t>Protection co-ordination and protection “zoning”</w:t>
            </w:r>
          </w:p>
          <w:p w:rsidR="00000000" w:rsidRPr="00D45419" w:rsidP="00D45419">
            <w:pPr>
              <w:pStyle w:val="ListBullet"/>
            </w:pPr>
            <w:r w:rsidRPr="00D45419">
              <w:t>HV feeder auto-reclosing suppression encompassing – function, application</w:t>
            </w:r>
          </w:p>
          <w:p w:rsidR="00000000" w:rsidRPr="00D45419" w:rsidP="00D45419">
            <w:pPr>
              <w:pStyle w:val="ListBullet"/>
            </w:pPr>
            <w:r w:rsidRPr="00D45419">
              <w:t>Circuit condition requirements and switching</w:t>
            </w:r>
            <w:r w:rsidRPr="00D45419">
              <w:t xml:space="preserve"> considerations when paralleling and separating HV feeders.</w:t>
            </w:r>
          </w:p>
          <w:p w:rsidR="00000000" w:rsidRPr="00D45419" w:rsidP="00D45419">
            <w:pPr>
              <w:pStyle w:val="BodyText"/>
            </w:pPr>
            <w:r w:rsidRPr="00D45419">
              <w:t>T7</w:t>
            </w:r>
            <w:r w:rsidRPr="00D45419">
              <w:tab/>
              <w:t>High voltage SWER system encompassing:</w:t>
            </w:r>
          </w:p>
          <w:p w:rsidR="00000000" w:rsidRPr="00D45419" w:rsidP="00D45419">
            <w:pPr>
              <w:pStyle w:val="ListBullet"/>
            </w:pPr>
            <w:r w:rsidRPr="00D45419">
              <w:t>Application and function of SWER system components</w:t>
            </w:r>
          </w:p>
          <w:p w:rsidR="00000000" w:rsidRPr="00D45419" w:rsidP="00D45419">
            <w:pPr>
              <w:pStyle w:val="ListBullet"/>
            </w:pPr>
            <w:r w:rsidRPr="00D45419">
              <w:t>Circuit arrangement</w:t>
            </w:r>
          </w:p>
          <w:p w:rsidR="00000000" w:rsidRPr="00D45419" w:rsidP="00D45419">
            <w:pPr>
              <w:pStyle w:val="ListBullet"/>
            </w:pPr>
            <w:r w:rsidRPr="00D45419">
              <w:t>Principle of operation</w:t>
            </w:r>
          </w:p>
          <w:p w:rsidR="00000000" w:rsidRPr="00D45419" w:rsidP="00D45419">
            <w:pPr>
              <w:pStyle w:val="ListBullet"/>
            </w:pPr>
            <w:r w:rsidRPr="00D45419">
              <w:t>Hazards and procedures associated with faulty SWER earth sys</w:t>
            </w:r>
            <w:r w:rsidRPr="00D45419">
              <w:t>tems</w:t>
            </w:r>
          </w:p>
          <w:p w:rsidR="00000000" w:rsidRPr="00D45419" w:rsidP="00D45419">
            <w:pPr>
              <w:pStyle w:val="ListBullet"/>
            </w:pPr>
            <w:r w:rsidRPr="00D45419">
              <w:t>Procedure to isolate, energise and commission SWER substations</w:t>
            </w:r>
          </w:p>
          <w:p w:rsidR="00000000" w:rsidRPr="00D45419" w:rsidP="00D45419">
            <w:pPr>
              <w:pStyle w:val="BodyText"/>
            </w:pPr>
            <w:r w:rsidRPr="00D45419">
              <w:t>T8</w:t>
            </w:r>
            <w:r w:rsidRPr="00D45419">
              <w:tab/>
              <w:t>HV system switching principles including switching authorisation procedures to an extent indicated by the following aspects:</w:t>
            </w:r>
          </w:p>
          <w:p w:rsidR="00000000" w:rsidRPr="00D45419" w:rsidP="00D45419">
            <w:pPr>
              <w:pStyle w:val="ListBullet"/>
            </w:pPr>
            <w:r w:rsidRPr="00D45419">
              <w:t>Legislation, Standards, codes, legislation, supply authority regulations and or enterprise requirements applicable to system switching</w:t>
            </w:r>
          </w:p>
          <w:p w:rsidR="00000000" w:rsidRPr="00D45419" w:rsidP="00D45419">
            <w:pPr>
              <w:pStyle w:val="ListBullet"/>
            </w:pPr>
            <w:r w:rsidRPr="00D45419">
              <w:t>Requirements for the use of manuals, system diagrams/plans and drawings</w:t>
            </w:r>
          </w:p>
          <w:p w:rsidR="00000000" w:rsidRPr="00D45419" w:rsidP="00D45419">
            <w:pPr>
              <w:pStyle w:val="ListBullet"/>
            </w:pPr>
            <w:r w:rsidRPr="00D45419">
              <w:t>Types and characteristics of HV systems and equip</w:t>
            </w:r>
            <w:r w:rsidRPr="00D45419">
              <w:t>ment to be switched</w:t>
            </w:r>
          </w:p>
          <w:p w:rsidR="00000000" w:rsidRPr="00D45419" w:rsidP="00D45419">
            <w:pPr>
              <w:pStyle w:val="ListBullet"/>
            </w:pPr>
            <w:r w:rsidRPr="00D45419">
              <w:t>Procedures for obtaining correct HV switching authorisation - identification of OHS hazards, assessing and controlling risks, Safety procedures and precautions, safe approach distances</w:t>
            </w:r>
          </w:p>
          <w:p w:rsidR="00000000" w:rsidRPr="00D45419" w:rsidP="00D45419">
            <w:pPr>
              <w:pStyle w:val="ListBullet"/>
            </w:pPr>
            <w:r w:rsidRPr="00D45419">
              <w:t>responsibilities and protocols, identifying switchi</w:t>
            </w:r>
            <w:r w:rsidRPr="00D45419">
              <w:t>ng resources, procedures for obtaining electrical access permits authorities, Requirements for team switching, procedures for coordination of operations.</w:t>
            </w:r>
          </w:p>
          <w:p w:rsidR="00000000" w:rsidRPr="00D45419" w:rsidP="00D45419">
            <w:pPr>
              <w:pStyle w:val="ListBullet"/>
            </w:pPr>
            <w:r w:rsidRPr="00D45419">
              <w:t xml:space="preserve">Techniques in HV system switching - pre-switching checks, switching operational procedures, isolation </w:t>
            </w:r>
            <w:r w:rsidRPr="00D45419">
              <w:t>procedures and proving dead de-energised, earthing procedures, switching operational procedures, emergency fault procedures, energisation procedures</w:t>
            </w:r>
          </w:p>
          <w:p w:rsidR="00000000" w:rsidRPr="00D45419" w:rsidP="00D45419">
            <w:pPr>
              <w:pStyle w:val="BodyText"/>
            </w:pPr>
            <w:r w:rsidRPr="00D45419">
              <w:t>T9</w:t>
            </w:r>
            <w:r w:rsidRPr="00D45419">
              <w:tab/>
              <w:t>HV overhead and substation switching principles encompassing:</w:t>
            </w:r>
          </w:p>
          <w:p w:rsidR="00000000" w:rsidRPr="00D45419" w:rsidP="00D45419">
            <w:pPr>
              <w:pStyle w:val="ListBullet"/>
            </w:pPr>
            <w:r w:rsidRPr="00D45419">
              <w:t>Legislation, Standards, codes, legislation</w:t>
            </w:r>
            <w:r w:rsidRPr="00D45419">
              <w:t>, supply authority regulations and or enterprise requirements applicable to HV overhead and substation switching</w:t>
            </w:r>
          </w:p>
          <w:p w:rsidR="00000000" w:rsidRPr="00D45419" w:rsidP="00D45419">
            <w:pPr>
              <w:pStyle w:val="ListBullet"/>
            </w:pPr>
            <w:r w:rsidRPr="00D45419">
              <w:t>Requirements for the use of manuals, system diagrams/plans and drawings - types, characteristics and capabilities of HV electrical equipment to</w:t>
            </w:r>
            <w:r w:rsidRPr="00D45419">
              <w:t xml:space="preserve"> be switched, use, characteristics and capabilities of specialised tools and testing equipment.</w:t>
            </w:r>
          </w:p>
          <w:p w:rsidR="00000000" w:rsidRPr="00D45419" w:rsidP="00D45419">
            <w:pPr>
              <w:pStyle w:val="ListBullet"/>
            </w:pPr>
            <w:r w:rsidRPr="00D45419">
              <w:t>Role and responsibilities of the HV switching operator</w:t>
            </w:r>
          </w:p>
          <w:p w:rsidR="00000000" w:rsidRPr="00D45419" w:rsidP="00D45419">
            <w:pPr>
              <w:pStyle w:val="ListBullet"/>
            </w:pPr>
            <w:r w:rsidRPr="00D45419">
              <w:t xml:space="preserve">Operational forms, access authorities and permits hazard/risk assessments associated with HV switching - </w:t>
            </w:r>
            <w:r w:rsidRPr="00D45419">
              <w:t>types of operational forms, access authorities and permits hazard/risk assessments, purpose and procedure for operational forms, access authorities and hazard/risk assessments.</w:t>
            </w:r>
          </w:p>
          <w:p w:rsidR="00000000" w:rsidRPr="00D45419" w:rsidP="00D45419">
            <w:pPr>
              <w:pStyle w:val="ListBullet"/>
            </w:pPr>
            <w:r w:rsidRPr="00D45419">
              <w:t>Use and operation of equipment associated with HV overhead and substation equip</w:t>
            </w:r>
            <w:r w:rsidRPr="00D45419">
              <w:t xml:space="preserve">ment - test instruments, sticks, interrupters, arc stranglers. </w:t>
            </w:r>
          </w:p>
          <w:p w:rsidR="00000000" w:rsidRPr="00D45419" w:rsidP="00D45419">
            <w:pPr>
              <w:pStyle w:val="ListBullet"/>
            </w:pPr>
            <w:r w:rsidRPr="00D45419">
              <w:t>HV switchgear – types, categories, application, operating capabilities.</w:t>
            </w:r>
          </w:p>
          <w:p w:rsidR="00000000" w:rsidRPr="00D45419" w:rsidP="00D45419">
            <w:pPr>
              <w:pStyle w:val="ListBullet"/>
            </w:pPr>
            <w:r w:rsidRPr="00D45419">
              <w:t>Operation of HV overhead switching or indicating devices - fuses; disconnect fuses; load switching; live line indicators</w:t>
            </w:r>
            <w:r w:rsidRPr="00D45419">
              <w:t>; capacitors; reclosers; sectionalisers, underslung links, airbreaks; switches, disconnects; live line clamps; phasing sticks; phasing tester</w:t>
            </w:r>
          </w:p>
          <w:p w:rsidR="00000000" w:rsidRPr="00D45419" w:rsidP="00D45419">
            <w:pPr>
              <w:pStyle w:val="ListBullet"/>
            </w:pPr>
            <w:r w:rsidRPr="00D45419">
              <w:t>Operation of protection systems and substation equipment - fault levels and settings; types and applications; prot</w:t>
            </w:r>
            <w:r w:rsidRPr="00D45419">
              <w:t>ection systems and substation equipment fault levels and settings; types and applications.</w:t>
            </w:r>
          </w:p>
          <w:p w:rsidR="00000000" w:rsidRPr="00D45419" w:rsidP="00D45419">
            <w:pPr>
              <w:pStyle w:val="ListBullet"/>
            </w:pPr>
            <w:r w:rsidRPr="00D45419">
              <w:t>Restrictions pertaining to HV switching equipment</w:t>
            </w:r>
          </w:p>
          <w:p w:rsidR="00000000" w:rsidRPr="00D45419" w:rsidP="00D45419">
            <w:pPr>
              <w:pStyle w:val="ListBullet"/>
            </w:pPr>
            <w:r w:rsidRPr="00D45419">
              <w:t>Procedures for the isolation of HV mains and working earths - earthing HV electrical apparatus practices and proced</w:t>
            </w:r>
            <w:r w:rsidRPr="00D45419">
              <w:t>ures for access authority issuing; HV switching techniques.</w:t>
            </w:r>
          </w:p>
          <w:p w:rsidR="00000000" w:rsidRPr="00D45419" w:rsidP="00D45419">
            <w:pPr>
              <w:pStyle w:val="ListBullet"/>
            </w:pPr>
            <w:r w:rsidRPr="00D45419">
              <w:t>Operate switching apparatus - identifying hazards, assessing and controlling risks associated with HV switchgear operation, systematic and defensive techniques, mobile radio procedures, double iso</w:t>
            </w:r>
            <w:r w:rsidRPr="00D45419">
              <w:t>lation procedures.</w:t>
            </w:r>
          </w:p>
          <w:p w:rsidR="00000000" w:rsidRPr="00D45419" w:rsidP="00D45419">
            <w:pPr>
              <w:pStyle w:val="BodyText"/>
            </w:pPr>
            <w:r w:rsidRPr="00D45419">
              <w:t>T10</w:t>
            </w:r>
            <w:r w:rsidRPr="00D45419">
              <w:tab/>
              <w:t>Preparation of a HV switching instruction schedule encompassing:</w:t>
            </w:r>
          </w:p>
          <w:p w:rsidR="00000000" w:rsidRPr="00D45419" w:rsidP="00D45419">
            <w:pPr>
              <w:pStyle w:val="ListBullet"/>
            </w:pPr>
            <w:r w:rsidRPr="00D45419">
              <w:t>Legislation, Standards, codes, legislation, supply authority regulations and or enterprise requirements applicable to switching instruction schedules</w:t>
            </w:r>
          </w:p>
          <w:p w:rsidR="00000000" w:rsidRPr="00D45419" w:rsidP="00D45419">
            <w:pPr>
              <w:pStyle w:val="ListBullet"/>
            </w:pPr>
            <w:r w:rsidRPr="00D45419">
              <w:t>Requirements for t</w:t>
            </w:r>
            <w:r w:rsidRPr="00D45419">
              <w:t>he use of manuals, system diagrams/plans and drawings - types, characteristics and capabilities of HV electrical equipment to be switched, points of isolation and earthing locations (safety and working earths), responsibilities of the switching operator.</w:t>
            </w:r>
          </w:p>
          <w:p w:rsidR="00000000" w:rsidRPr="00D45419" w:rsidP="00D45419">
            <w:pPr>
              <w:pStyle w:val="ListBullet"/>
            </w:pPr>
            <w:r w:rsidRPr="00D45419">
              <w:t>T</w:t>
            </w:r>
            <w:r w:rsidRPr="00D45419">
              <w:t>echniques in writing switching instructions - sequence of switching operations, isolation procedures, earthing procedures, switching completion notification procedures.</w:t>
            </w:r>
          </w:p>
          <w:p w:rsidR="00000000" w:rsidRPr="00D45419" w:rsidP="00D45419">
            <w:pPr>
              <w:pStyle w:val="BodyText"/>
            </w:pPr>
            <w:r w:rsidRPr="00D45419">
              <w:t>T11</w:t>
            </w:r>
            <w:r w:rsidRPr="00D45419">
              <w:tab/>
              <w:t>Enterprise specific — policy and procedure instructions encompassing:</w:t>
            </w:r>
          </w:p>
          <w:p w:rsidR="00000000" w:rsidRPr="00D45419" w:rsidP="00D45419">
            <w:pPr>
              <w:pStyle w:val="ListBullet"/>
            </w:pPr>
            <w:r w:rsidRPr="00D45419">
              <w:t>Responsibilit</w:t>
            </w:r>
            <w:r w:rsidRPr="00D45419">
              <w:t>ies and duty of care of employer and employee relationship</w:t>
            </w:r>
          </w:p>
          <w:p w:rsidR="00000000" w:rsidRPr="00D45419" w:rsidP="00D45419">
            <w:pPr>
              <w:pStyle w:val="ListBullet"/>
            </w:pPr>
            <w:r w:rsidRPr="00D45419">
              <w:t>Methods of obtaining the up-to-date information on enterprise policy and procedures</w:t>
            </w:r>
          </w:p>
          <w:p w:rsidR="00000000" w:rsidRPr="00D45419" w:rsidP="00D45419">
            <w:pPr>
              <w:pStyle w:val="ListBullet"/>
            </w:pPr>
            <w:r w:rsidRPr="00D45419">
              <w:t>Rules and regulations</w:t>
            </w:r>
          </w:p>
          <w:p w:rsidR="00000000" w:rsidRPr="00D45419" w:rsidP="00D45419">
            <w:pPr>
              <w:pStyle w:val="ListBullet"/>
            </w:pPr>
            <w:r w:rsidRPr="00D45419">
              <w:t>Induction into workplace - location of work area and s</w:t>
            </w:r>
            <w:r w:rsidRPr="00D45419">
              <w:t>torage area, timetable, uniform, personal well-being, housekeeping rules, emergency procedures, evacuation procedures</w:t>
            </w:r>
          </w:p>
          <w:p w:rsidR="00000000" w:rsidRPr="00D45419" w:rsidP="00D45419">
            <w:pPr>
              <w:pStyle w:val="ListBullet"/>
            </w:pPr>
            <w:r w:rsidRPr="00D45419">
              <w:t>Techniques when deal with others - working in teams, customer relation, complaint and issues procedures.</w:t>
            </w:r>
          </w:p>
          <w:p w:rsidR="00000000" w:rsidRPr="00D45419" w:rsidP="00D45419">
            <w:pPr>
              <w:pStyle w:val="ListBullet"/>
            </w:pPr>
            <w:r w:rsidRPr="00D45419">
              <w:t>Overview of enterprise profession</w:t>
            </w:r>
            <w:r w:rsidRPr="00D45419">
              <w:t>al development - fire fighting procedures, fatigue management, training and competency development - understanding and promotion</w:t>
            </w:r>
          </w:p>
          <w:p w:rsidR="00000000" w:rsidRPr="00D45419" w:rsidP="00D45419">
            <w:pPr>
              <w:pStyle w:val="BodyText"/>
            </w:pPr>
            <w:r w:rsidRPr="00D45419">
              <w:t>T12</w:t>
            </w:r>
            <w:r w:rsidRPr="00D45419">
              <w:tab/>
              <w:t>Enterprises specific — OHS instructions encompassing:</w:t>
            </w:r>
          </w:p>
          <w:p w:rsidR="00000000" w:rsidRPr="00D45419" w:rsidP="00D45419">
            <w:pPr>
              <w:pStyle w:val="ListBullet"/>
            </w:pPr>
            <w:r w:rsidRPr="00D45419">
              <w:t>Standards, codes, legislation, supply authority regulations and speci</w:t>
            </w:r>
            <w:r w:rsidRPr="00D45419">
              <w:t>fic enterprise regulations pertaining to the OHS policies and procedures</w:t>
            </w:r>
          </w:p>
          <w:p w:rsidR="00000000" w:rsidRPr="00D45419" w:rsidP="00D45419">
            <w:pPr>
              <w:pStyle w:val="ListBullet"/>
            </w:pPr>
            <w:r w:rsidRPr="00D45419">
              <w:t>Methods of obtaining the up-to-date information on enterprise OHS policy and procedures</w:t>
            </w:r>
          </w:p>
          <w:p w:rsidR="00000000" w:rsidRPr="00D45419" w:rsidP="00D45419">
            <w:pPr>
              <w:pStyle w:val="ListBullet"/>
            </w:pPr>
            <w:r w:rsidRPr="00D45419">
              <w:t xml:space="preserve">Specific enterprise personal protection equipment - type and application, where and when to be </w:t>
            </w:r>
            <w:r w:rsidRPr="00D45419">
              <w:t>used, method of replacement, responsibility of maintenance including cleaning inspection and testing, emergency response, rescue, evacuation and First Aid procedures</w:t>
            </w:r>
          </w:p>
          <w:p w:rsidR="00000000" w:rsidRPr="00D45419" w:rsidP="00D45419">
            <w:pPr>
              <w:pStyle w:val="ListBullet"/>
            </w:pPr>
            <w:r w:rsidRPr="00D45419">
              <w:t>Personal well-being – hygiene, fatigue/stress management, drugs/alcohol</w:t>
            </w:r>
          </w:p>
          <w:p w:rsidR="00000000" w:rsidRPr="00D45419" w:rsidP="00D45419">
            <w:pPr>
              <w:pStyle w:val="ListBullet"/>
            </w:pPr>
            <w:r w:rsidRPr="00D45419">
              <w:t>OHS training - ind</w:t>
            </w:r>
            <w:r w:rsidRPr="00D45419">
              <w:t>uction training, specific hazard training, specific task or equipment training, emergency and evacuation training, training as part of broader programs such as equipment operation</w:t>
            </w:r>
          </w:p>
          <w:p w:rsidR="00000000" w:rsidRPr="00D45419" w:rsidP="00D45419">
            <w:pPr>
              <w:pStyle w:val="ListBullet"/>
            </w:pPr>
            <w:r w:rsidRPr="00D45419">
              <w:t>OHS records including audits, inspection reports, workplace health and envir</w:t>
            </w:r>
            <w:r w:rsidRPr="00D45419">
              <w:t>onmental monitoring records, training and instruction records, manufacturers and suppliers information such as MSDSs, registers, maintenance reports, workers compensation and rehabilitation records and First Aid/medical records</w:t>
            </w:r>
          </w:p>
          <w:p w:rsidR="00000000" w:rsidRPr="00D45419" w:rsidP="00D45419">
            <w:pPr>
              <w:pStyle w:val="BodyText"/>
            </w:pPr>
            <w:r w:rsidRPr="00D45419">
              <w:t>T13</w:t>
            </w:r>
            <w:r w:rsidRPr="00D45419">
              <w:tab/>
              <w:t>Substation switching pra</w:t>
            </w:r>
            <w:r w:rsidRPr="00D45419">
              <w:t xml:space="preserve">ctices encompassing: </w:t>
            </w:r>
          </w:p>
          <w:p w:rsidR="00000000" w:rsidRPr="00D45419" w:rsidP="00D45419">
            <w:pPr>
              <w:pStyle w:val="ListBullet"/>
            </w:pPr>
            <w:r w:rsidRPr="00D45419">
              <w:t>Standards, codes, legislation, supply authority regulations and or enterprise requirements applicable to substation switching</w:t>
            </w:r>
          </w:p>
          <w:p w:rsidR="00000000" w:rsidRPr="00D45419" w:rsidP="00D45419">
            <w:pPr>
              <w:pStyle w:val="ListBullet"/>
            </w:pPr>
            <w:r w:rsidRPr="00D45419">
              <w:t>Requirements for the use of manuals, substation diagrams/plans and drawings</w:t>
            </w:r>
          </w:p>
          <w:p w:rsidR="00000000" w:rsidRPr="00D45419" w:rsidP="00D45419">
            <w:pPr>
              <w:pStyle w:val="ListBullet"/>
            </w:pPr>
            <w:r w:rsidRPr="00D45419">
              <w:t>Types, characteristics and capab</w:t>
            </w:r>
            <w:r w:rsidRPr="00D45419">
              <w:t>ilities of HV substation equipment to be switched</w:t>
            </w:r>
          </w:p>
          <w:p w:rsidR="00000000" w:rsidRPr="00D45419" w:rsidP="00D45419">
            <w:pPr>
              <w:pStyle w:val="ListBullet"/>
            </w:pPr>
            <w:r w:rsidRPr="00D45419">
              <w:t>Procedures for obtaining correct HV switching authorization - identification of hazards and controlling risks, safety procedures and precautions, responsibilities and protocols, identifying switching resour</w:t>
            </w:r>
            <w:r w:rsidRPr="00D45419">
              <w:t xml:space="preserve">ces, </w:t>
            </w:r>
          </w:p>
          <w:p w:rsidR="00000000" w:rsidRPr="00D45419" w:rsidP="00D45419">
            <w:pPr>
              <w:pStyle w:val="ListBullet"/>
            </w:pPr>
            <w:r w:rsidRPr="00D45419">
              <w:t>Techniques in HV substation switching - isolation procedures and proving dead, earthing procedures, pre-switching checks, switching operational procedures, emergency fault procedures, commissioning procedures</w:t>
            </w:r>
          </w:p>
          <w:p w:rsidR="00000000" w:rsidRPr="00D45419" w:rsidP="00D45419">
            <w:pPr>
              <w:pStyle w:val="ListBullet"/>
            </w:pPr>
            <w:r w:rsidRPr="00D45419">
              <w:t>Use, care and operation of equipment asso</w:t>
            </w:r>
            <w:r w:rsidRPr="00D45419">
              <w:t xml:space="preserve">ciated with HV substation equipment - test instruments, sticks, </w:t>
            </w:r>
          </w:p>
          <w:p w:rsidR="00000000" w:rsidRPr="00D45419" w:rsidP="00D45419">
            <w:pPr>
              <w:pStyle w:val="ListBullet"/>
            </w:pPr>
            <w:r w:rsidRPr="00D45419">
              <w:t>HV switchgear – types, categories, application, operating capabilities</w:t>
            </w:r>
          </w:p>
          <w:p w:rsidR="00000000" w:rsidRPr="00D45419" w:rsidP="00D45419">
            <w:pPr>
              <w:pStyle w:val="ListBullet"/>
            </w:pPr>
            <w:r w:rsidRPr="00D45419">
              <w:t>Basic Operation of protection systems</w:t>
            </w:r>
          </w:p>
          <w:p w:rsidR="00000000" w:rsidRPr="00D45419" w:rsidP="00D45419">
            <w:pPr>
              <w:pStyle w:val="ListBullet"/>
            </w:pPr>
            <w:r w:rsidRPr="00D45419">
              <w:t>Restrictions pertaining to HV substation switching equipment</w:t>
            </w:r>
          </w:p>
          <w:p w:rsidR="00000000" w:rsidRPr="00D45419" w:rsidP="00D45419">
            <w:pPr>
              <w:pStyle w:val="ListBullet"/>
            </w:pPr>
            <w:r w:rsidRPr="00D45419">
              <w:t>Restrictions pertaini</w:t>
            </w:r>
            <w:r w:rsidRPr="00D45419">
              <w:t>ng to Enterprise Specific procedures.</w:t>
            </w:r>
          </w:p>
          <w:p w:rsidR="00000000" w:rsidRPr="00D45419" w:rsidP="00D45419">
            <w:pPr>
              <w:pStyle w:val="BodyText"/>
            </w:pPr>
            <w:r w:rsidRPr="00D45419">
              <w:t>T14</w:t>
            </w:r>
            <w:r w:rsidRPr="00D45419">
              <w:tab/>
              <w:t>Transient overvoltages encompassing:</w:t>
            </w:r>
          </w:p>
          <w:p w:rsidR="00000000" w:rsidRPr="00D45419" w:rsidP="00D45419">
            <w:pPr>
              <w:pStyle w:val="ListBullet"/>
            </w:pPr>
            <w:r w:rsidRPr="00D45419">
              <w:t>Causes and effects of transient overvoltages - switching transients and lightning transients, effects on plant items</w:t>
            </w:r>
          </w:p>
          <w:p w:rsidR="00000000" w:rsidRPr="00D45419" w:rsidP="00D45419">
            <w:pPr>
              <w:pStyle w:val="ListBullet"/>
            </w:pPr>
            <w:r w:rsidRPr="00D45419">
              <w:t>Control techniques and systems - diverters, shield wires and CB arc control</w:t>
            </w:r>
          </w:p>
          <w:p w:rsidR="00000000" w:rsidRPr="00D45419" w:rsidP="00D45419">
            <w:pPr>
              <w:pStyle w:val="ListBullet"/>
            </w:pPr>
            <w:r w:rsidRPr="00D45419">
              <w:t>Insulation systems - insulation coordination and insulation grading.</w:t>
            </w:r>
          </w:p>
          <w:p w:rsidR="00000000" w:rsidRPr="00D45419" w:rsidP="00D45419">
            <w:pPr>
              <w:pStyle w:val="BodyText"/>
            </w:pPr>
            <w:r w:rsidRPr="00D45419">
              <w:t>T15</w:t>
            </w:r>
            <w:r w:rsidRPr="00D45419">
              <w:tab/>
              <w:t>Procedure to undertake a visual inspection of a scheme encompassing:</w:t>
            </w:r>
          </w:p>
          <w:p w:rsidR="00000000" w:rsidRPr="00D45419" w:rsidP="00D45419">
            <w:pPr>
              <w:pStyle w:val="ListBullet"/>
            </w:pPr>
            <w:r w:rsidRPr="00D45419">
              <w:t>Standards, codes, Commonwealth/State/T</w:t>
            </w:r>
            <w:r w:rsidRPr="00D45419">
              <w:t>erritory legislation, supply authority regulations and or enterprise requirements associated with visual inspection procedures of a scheme</w:t>
            </w:r>
          </w:p>
          <w:p w:rsidR="00000000" w:rsidRPr="00D45419" w:rsidP="00D45419">
            <w:pPr>
              <w:pStyle w:val="ListBullet"/>
            </w:pPr>
            <w:r w:rsidRPr="00D45419">
              <w:t>Requirements for the use of manuals, system diagrams/plans and drawings</w:t>
            </w:r>
          </w:p>
          <w:p w:rsidR="00000000" w:rsidRPr="00D45419" w:rsidP="00D45419">
            <w:pPr>
              <w:pStyle w:val="ListBullet"/>
            </w:pPr>
            <w:r w:rsidRPr="00D45419">
              <w:t>Identify obvious deficiencies in operating to</w:t>
            </w:r>
            <w:r w:rsidRPr="00D45419">
              <w:t xml:space="preserve"> the standard functionality</w:t>
            </w:r>
          </w:p>
          <w:p w:rsidR="00000000" w:rsidRPr="00D45419" w:rsidP="00D45419">
            <w:pPr>
              <w:pStyle w:val="ListBullet"/>
            </w:pPr>
            <w:r w:rsidRPr="00D45419">
              <w:t>Techniques in determining device malfunction</w:t>
            </w:r>
          </w:p>
          <w:p w:rsidR="00000000" w:rsidRPr="00D45419" w:rsidP="00D45419">
            <w:pPr>
              <w:pStyle w:val="ListBullet"/>
            </w:pPr>
            <w:r w:rsidRPr="00D45419">
              <w:t>Techniques in determining wiring defects</w:t>
            </w:r>
          </w:p>
          <w:p w:rsidR="00000000" w:rsidRPr="00D45419" w:rsidP="00D45419">
            <w:pPr>
              <w:pStyle w:val="BodyText"/>
            </w:pPr>
            <w:r w:rsidRPr="00D45419">
              <w:t>T16</w:t>
            </w:r>
            <w:r w:rsidRPr="00D45419">
              <w:tab/>
              <w:t>Commissioning procedures associated with relevant equipment encompassing:</w:t>
            </w:r>
          </w:p>
          <w:p w:rsidR="00000000" w:rsidRPr="00D45419" w:rsidP="00D45419">
            <w:pPr>
              <w:pStyle w:val="ListBullet"/>
            </w:pPr>
            <w:r w:rsidRPr="00D45419">
              <w:t>Standards, codes, Commonwealth/State/Territory legislation, supp</w:t>
            </w:r>
            <w:r w:rsidRPr="00D45419">
              <w:t>ly authority regulations and or enterprise requirements associated with the commissioning procedures</w:t>
            </w:r>
          </w:p>
          <w:p w:rsidR="00000000" w:rsidRPr="00D45419" w:rsidP="00D45419">
            <w:pPr>
              <w:pStyle w:val="ListBullet"/>
            </w:pPr>
            <w:r w:rsidRPr="00D45419">
              <w:t>Requirements for the use of commissioning manuals, system diagrams/plans and drawings</w:t>
            </w:r>
          </w:p>
          <w:p w:rsidR="00000000" w:rsidRPr="00D45419" w:rsidP="00D45419">
            <w:pPr>
              <w:pStyle w:val="ListBullet"/>
            </w:pPr>
            <w:r w:rsidRPr="00D45419">
              <w:t>Techniques in commissioning procedures – planning, policy, testing te</w:t>
            </w:r>
            <w:r w:rsidRPr="00D45419">
              <w:t>chniques, close out requirements.</w:t>
            </w:r>
          </w:p>
          <w:p w:rsidR="00000000" w:rsidRPr="00D45419" w:rsidP="00D45419">
            <w:pPr>
              <w:pStyle w:val="BodyText"/>
            </w:pPr>
            <w:r w:rsidRPr="00D45419">
              <w:t>T17</w:t>
            </w:r>
            <w:r w:rsidRPr="00D45419">
              <w:tab/>
              <w:t>Effects of harmonics encompassing:</w:t>
            </w:r>
          </w:p>
          <w:p w:rsidR="00000000" w:rsidRPr="00D45419" w:rsidP="00D45419">
            <w:pPr>
              <w:pStyle w:val="ListBullet"/>
            </w:pPr>
            <w:r w:rsidRPr="00D45419">
              <w:t>Characteristics and effects of harmonics on protection device functions/malfunction</w:t>
            </w:r>
          </w:p>
          <w:p w:rsidR="00000000" w:rsidRPr="00D45419" w:rsidP="00D45419">
            <w:pPr>
              <w:pStyle w:val="ListBullet"/>
            </w:pPr>
            <w:r w:rsidRPr="00D45419">
              <w:t>Effects of harmonics on – transformers, generators, motors, quality of supply.</w:t>
            </w:r>
          </w:p>
          <w:p w:rsidR="00000000" w:rsidRPr="00D45419" w:rsidP="00D45419">
            <w:pPr>
              <w:pStyle w:val="BodyText"/>
            </w:pPr>
            <w:r w:rsidRPr="00D45419">
              <w:t>T18</w:t>
            </w:r>
            <w:r w:rsidRPr="00D45419">
              <w:tab/>
              <w:t xml:space="preserve">Different types </w:t>
            </w:r>
            <w:r w:rsidRPr="00D45419">
              <w:t>and function of distribution underground components encompassing:</w:t>
            </w:r>
          </w:p>
          <w:p w:rsidR="00000000" w:rsidRPr="00D45419" w:rsidP="00D45419">
            <w:pPr>
              <w:pStyle w:val="ListBullet"/>
            </w:pPr>
            <w:r w:rsidRPr="00D45419">
              <w:t>Commonwealth, State/Territory and local government legislation, supply authority regulations Standards, codes, and or enterprise requirements applicable to the use and application of distrib</w:t>
            </w:r>
            <w:r w:rsidRPr="00D45419">
              <w:t>ution underground components</w:t>
            </w:r>
          </w:p>
          <w:p w:rsidR="00000000" w:rsidRPr="00D45419" w:rsidP="00D45419">
            <w:pPr>
              <w:pStyle w:val="ListBullet"/>
            </w:pPr>
            <w:r w:rsidRPr="00D45419">
              <w:t>Requirements for the use of underground line construction manuals, system diagrams/plans and drawings</w:t>
            </w:r>
          </w:p>
          <w:p w:rsidR="00000000" w:rsidRPr="00D45419" w:rsidP="00D45419">
            <w:pPr>
              <w:pStyle w:val="ListBullet"/>
            </w:pPr>
            <w:r w:rsidRPr="00D45419">
              <w:t>Types, function and characteristics of distribution underground components</w:t>
            </w:r>
          </w:p>
          <w:p w:rsidR="00000000" w:rsidRPr="00D45419" w:rsidP="00D45419">
            <w:pPr>
              <w:pStyle w:val="ListBullet"/>
            </w:pPr>
            <w:r w:rsidRPr="00D45419">
              <w:t>Safety policies, procedures and precautions relate</w:t>
            </w:r>
            <w:r w:rsidRPr="00D45419">
              <w:t>d to the handling and installing distribution underground components</w:t>
            </w:r>
          </w:p>
          <w:p w:rsidR="00000000" w:rsidRPr="00D45419" w:rsidP="00D45419">
            <w:pPr>
              <w:pStyle w:val="BodyText"/>
            </w:pPr>
            <w:r w:rsidRPr="00D45419">
              <w:t>T19</w:t>
            </w:r>
            <w:r w:rsidRPr="00D45419">
              <w:tab/>
              <w:t>HV system load calculation principles encompassing:</w:t>
            </w:r>
          </w:p>
          <w:p w:rsidR="00000000" w:rsidRPr="00D45419" w:rsidP="00D45419">
            <w:pPr>
              <w:pStyle w:val="ListBullet"/>
            </w:pPr>
            <w:r w:rsidRPr="00D45419">
              <w:t>Structure of HV systems</w:t>
            </w:r>
          </w:p>
          <w:p w:rsidR="00000000" w:rsidRPr="00D45419" w:rsidP="00D45419">
            <w:pPr>
              <w:pStyle w:val="ListBullet"/>
            </w:pPr>
            <w:r w:rsidRPr="00D45419">
              <w:t>Ratings of HV system components</w:t>
            </w:r>
          </w:p>
          <w:p w:rsidR="00000000" w:rsidRPr="00D45419" w:rsidP="00D45419">
            <w:pPr>
              <w:pStyle w:val="ListBullet"/>
            </w:pPr>
            <w:r w:rsidRPr="00D45419">
              <w:t>Relationship to HV customers</w:t>
            </w:r>
          </w:p>
          <w:p w:rsidR="00000000" w:rsidRPr="00D45419" w:rsidP="00D45419">
            <w:pPr>
              <w:pStyle w:val="ListBullet"/>
            </w:pPr>
            <w:r w:rsidRPr="00D45419">
              <w:t>Methods of determining load on HV systems</w:t>
            </w:r>
          </w:p>
          <w:p w:rsidR="00000000" w:rsidRPr="00D45419" w:rsidP="00D45419">
            <w:pPr>
              <w:pStyle w:val="ListBullet"/>
            </w:pPr>
            <w:r w:rsidRPr="00D45419">
              <w:t>Records of load on HV systems</w:t>
            </w:r>
          </w:p>
          <w:p w:rsidR="00000000" w:rsidRPr="00D45419" w:rsidP="00D45419">
            <w:pPr>
              <w:pStyle w:val="ListBullet"/>
            </w:pPr>
            <w:r w:rsidRPr="00D45419">
              <w:t>Effect of added load on HV feeders - variation of current, voltage, power, reactive power and power factor</w:t>
            </w:r>
          </w:p>
          <w:p w:rsidR="00000000" w:rsidRPr="00D45419" w:rsidP="00D45419">
            <w:pPr>
              <w:pStyle w:val="ListBullet"/>
            </w:pPr>
            <w:r w:rsidRPr="00D45419">
              <w:t>Load flows in parallel or loop operation</w:t>
            </w:r>
          </w:p>
          <w:p w:rsidR="00000000" w:rsidRPr="00D45419" w:rsidP="00D45419">
            <w:pPr>
              <w:pStyle w:val="ListBullet"/>
            </w:pPr>
            <w:r w:rsidRPr="00D45419">
              <w:t>Enterprise specific network coordination tools</w:t>
            </w:r>
            <w:r w:rsidRPr="00D45419">
              <w:tab/>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10" w:name="O_464986"/>
      <w:bookmarkEnd w:id="10"/>
      <w:r w:rsidRPr="00D45419">
        <w:t>Evidence Gu</w:t>
      </w:r>
      <w:r w:rsidRPr="00D45419">
        <w:t>ide</w:t>
      </w:r>
    </w:p>
    <w:tbl>
      <w:tblPr>
        <w:tblW w:w="0" w:type="auto"/>
        <w:tblLayout w:type="fixed"/>
        <w:tblCellMar>
          <w:left w:w="62" w:type="dxa"/>
          <w:right w:w="62" w:type="dxa"/>
        </w:tblCellMar>
        <w:tblLook w:val="0000"/>
      </w:tblPr>
      <w:tblGrid>
        <w:gridCol w:w="8460"/>
      </w:tblGrid>
      <w:tr w:rsidTr="005D06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EVIDENCE GUIDE</w:t>
            </w:r>
          </w:p>
        </w:tc>
      </w:tr>
      <w:tr w:rsidTr="005D06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9)</w:t>
            </w:r>
            <w:r w:rsidRPr="00D45419">
              <w:t xml:space="preserve"> This provides essential advice for assessment of the competency standard unit and must be read in conjunction with the Performance Criteria and the Range Statement of the competency standard unit and the Training Package Assessment G</w:t>
            </w:r>
            <w:r w:rsidRPr="00D45419">
              <w:t>uidelines.</w:t>
            </w:r>
          </w:p>
          <w:p w:rsidR="00000000" w:rsidRPr="00D45419" w:rsidP="00D45419">
            <w:pPr>
              <w:pStyle w:val="BodyText"/>
            </w:pPr>
            <w:r w:rsidRPr="00D45419">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D45419" w:rsidP="00D45419">
      <w:pPr>
        <w:pStyle w:val="BodyText"/>
      </w:pPr>
    </w:p>
    <w:tbl>
      <w:tblPr>
        <w:tblW w:w="0" w:type="auto"/>
        <w:tblLayout w:type="fixed"/>
        <w:tblCellMar>
          <w:left w:w="62" w:type="dxa"/>
          <w:right w:w="62" w:type="dxa"/>
        </w:tblCellMar>
        <w:tblLook w:val="0000"/>
      </w:tblPr>
      <w:tblGrid>
        <w:gridCol w:w="1890"/>
        <w:gridCol w:w="6570"/>
      </w:tblGrid>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9.1)</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Longitudinal competency development approaches to assessment, such as Profiling, require data to be reliably gathered in a form that can be consistently interpreted over time. This approach is best utilised in Apprenticeship p</w:t>
            </w:r>
            <w:r w:rsidRPr="00D45419">
              <w:t>rograms and reduces assessment intervention. It is the Industry’s preferred model for apprenticeships. However, where summative (or final) assessment is used it is to include the application of the competency in the normal work environment or, at a minimum</w:t>
            </w:r>
            <w:r w:rsidRPr="00D45419">
              <w:t xml:space="preserve">, the application of the competency in a realistically simulated work environment. It is recognised that, in some circumstances, assessment in part or full can occur outside the workplace. However, it must be in accord with Industry and, Regulatory policy </w:t>
            </w:r>
            <w:r w:rsidRPr="00D45419">
              <w:t>in this regard.</w:t>
            </w:r>
          </w:p>
          <w:p w:rsidR="00000000" w:rsidRPr="00D45419" w:rsidP="00D45419">
            <w:pPr>
              <w:pStyle w:val="BodyText"/>
            </w:pPr>
            <w:r w:rsidRPr="00D45419">
              <w:t>Methods chosen for a particular assessment will be influenced by various factors. These include the extent of the assessment, the most effective locations for the assessment activities to take place, access to physical resources, additional</w:t>
            </w:r>
            <w:r w:rsidRPr="00D45419">
              <w:t xml:space="preserve"> safety measures that may be required and the critical nature of the competencies being assessed.</w:t>
            </w:r>
          </w:p>
          <w:p w:rsidR="00000000" w:rsidRPr="00D45419" w:rsidP="00D45419">
            <w:pPr>
              <w:pStyle w:val="BodyText"/>
            </w:pPr>
            <w:r w:rsidRPr="00D45419">
              <w:t>The critical safety nature of working with electricity, electrical equipment, gas or any other hazardous substance/material carries risk in deeming a person c</w:t>
            </w:r>
            <w:r w:rsidRPr="00D45419">
              <w:t>ompetent. Hence, sources of evidence need to be ‘rich’ in nature so as to minimise error in judgment.</w:t>
            </w:r>
          </w:p>
          <w:p w:rsidR="00000000" w:rsidRPr="00D45419" w:rsidP="00D45419">
            <w:pPr>
              <w:pStyle w:val="BodyText"/>
            </w:pPr>
            <w:r w:rsidRPr="00D45419">
              <w:t>Activities associated with normal every day work have a bearing on the decision as to how much and how detailed the data gathered will contribute to its ‘</w:t>
            </w:r>
            <w:r w:rsidRPr="00D45419">
              <w:t>richness’. Some skills are more critical to safety and operational requirements while the same skills may be more or less frequently practiced. These points are raised for the assessors to consider when choosing an assessment method and developing assessme</w:t>
            </w:r>
            <w:r w:rsidRPr="00D45419">
              <w:t>nt instruments. Sample assessment instruments are included for Assessors in the Assessment Guidelines of this Training Package.</w:t>
            </w:r>
          </w:p>
        </w:tc>
      </w:tr>
    </w:tbl>
    <w:p w:rsidR="00000000" w:rsidRPr="00D45419" w:rsidP="00D4541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9.2)</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Before the critical aspects of evidence are considered all prerequisites shall be met.</w:t>
            </w:r>
          </w:p>
          <w:p w:rsidR="00000000" w:rsidRPr="00D45419" w:rsidP="00D45419">
            <w:pPr>
              <w:pStyle w:val="BodyText"/>
            </w:pPr>
            <w:r w:rsidRPr="00D45419">
              <w:t>Evidence for competence in this unit shall be considered holistically. Each Element and associated Performance Criteria shall be demonstrated on at least two occasions i</w:t>
            </w:r>
            <w:r w:rsidRPr="00D45419">
              <w:t>n accordance with the “Assessment Guidelines – UET12”. Evidence shall also comprise:</w:t>
            </w:r>
          </w:p>
          <w:p w:rsidR="00000000" w:rsidRPr="00D45419" w:rsidP="00D45419">
            <w:pPr>
              <w:pStyle w:val="ListBullet"/>
            </w:pPr>
            <w:r w:rsidRPr="00D45419">
              <w:t>A representative body of Performance Criteria demonstrated within the timeframes typically expected of the discipline, work function and industrial environment. In particu</w:t>
            </w:r>
            <w:r w:rsidRPr="00D45419">
              <w:t>lar this shall incorporate evidence that shows a candidate is able to:</w:t>
            </w:r>
          </w:p>
          <w:p w:rsidR="00000000" w:rsidRPr="00D45419" w:rsidP="00D45419">
            <w:pPr>
              <w:pStyle w:val="ListBullet2"/>
            </w:pPr>
            <w:r w:rsidRPr="00D45419">
              <w:t>Implement Occupational Health and Safety workplace procedures and practices including the use of risk control measures as specified in the Performance Criteria and range; and</w:t>
            </w:r>
          </w:p>
          <w:p w:rsidR="00000000" w:rsidRPr="00D45419" w:rsidP="00D45419">
            <w:pPr>
              <w:pStyle w:val="ListBullet2"/>
            </w:pPr>
            <w:r w:rsidRPr="00D45419">
              <w:t>Apply sus</w:t>
            </w:r>
            <w:r w:rsidRPr="00D45419">
              <w:t>tainable energy principles and practices as specified in the Performance Criteria and range; and</w:t>
            </w:r>
          </w:p>
          <w:p w:rsidR="00000000" w:rsidRPr="00D45419" w:rsidP="00D45419">
            <w:pPr>
              <w:pStyle w:val="ListBullet2"/>
            </w:pPr>
            <w:r w:rsidRPr="00D45419">
              <w:t>Demonstrate an understanding of the essential knowledge and associated skills described in this unit to such an extent that the learner’s performance outcome i</w:t>
            </w:r>
            <w:r w:rsidRPr="00D45419">
              <w:t>s reported in accordance with the preferred approach; namely a percentile graded result, where required by the regulated environment; and</w:t>
            </w:r>
          </w:p>
          <w:p w:rsidR="00000000" w:rsidRPr="00D45419" w:rsidP="00D45419">
            <w:pPr>
              <w:pStyle w:val="ListBullet2"/>
            </w:pPr>
            <w:r w:rsidRPr="00D45419">
              <w:t>Demonstrate an appropriate level of employability skills; and</w:t>
            </w:r>
          </w:p>
          <w:p w:rsidR="00000000" w:rsidRPr="00D45419" w:rsidP="00D45419">
            <w:pPr>
              <w:pStyle w:val="ListBullet"/>
            </w:pPr>
            <w:r w:rsidRPr="00D45419">
              <w:t xml:space="preserve">Conduct work observing the relevant Anti Discrimination </w:t>
            </w:r>
            <w:r w:rsidRPr="00D45419">
              <w:t>legislation, regulations, policies and workplace procedures; and</w:t>
            </w:r>
          </w:p>
          <w:p w:rsidR="00000000" w:rsidP="00D45419">
            <w:pPr>
              <w:pStyle w:val="ListBullet2"/>
              <w:rPr>
                <w:lang w:val="en-NZ"/>
              </w:rPr>
            </w:pPr>
            <w:r w:rsidRPr="00D45419">
              <w:t>Demonstrated performance across a representative range of contexts from the prescribed items below:</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4541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rPr>
                <w:rStyle w:val="SpecialBold"/>
              </w:rPr>
              <w:t>Range of tools/equipment/materials/procedures/workplaces/other variables</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4541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rPr>
                <w:rStyle w:val="SpecialBold"/>
              </w:rPr>
              <w:t>Item List</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Demonstrate at least three (3) switching programs that between them encompass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t>A transformer with a HV winding and fixed tap</w:t>
            </w:r>
          </w:p>
          <w:p w:rsidR="00000000" w:rsidRPr="00D45419" w:rsidP="00D45419">
            <w:pPr>
              <w:pStyle w:val="BodyText"/>
            </w:pPr>
            <w:r w:rsidRPr="00D45419">
              <w:t>A transformer with a HV winding and on-load tap changer</w:t>
            </w:r>
          </w:p>
          <w:p w:rsidR="00000000" w:rsidRPr="00D45419" w:rsidP="00D45419">
            <w:pPr>
              <w:pStyle w:val="BodyText"/>
            </w:pPr>
            <w:r w:rsidRPr="00D45419">
              <w:t>HV busbars</w:t>
            </w:r>
          </w:p>
          <w:p w:rsidR="00000000" w:rsidRPr="00D45419" w:rsidP="00D45419">
            <w:pPr>
              <w:pStyle w:val="BodyText"/>
            </w:pPr>
            <w:r w:rsidRPr="00D45419">
              <w:t>HV isolators</w:t>
            </w:r>
          </w:p>
          <w:p w:rsidR="00000000" w:rsidRPr="00D45419" w:rsidP="00D45419">
            <w:pPr>
              <w:pStyle w:val="BodyText"/>
            </w:pPr>
            <w:r w:rsidRPr="00D45419">
              <w:t>HV switchgear (applicable to enterprise equipment)</w:t>
            </w:r>
          </w:p>
          <w:p w:rsidR="00000000" w:rsidRPr="00D45419" w:rsidP="00D45419">
            <w:pPr>
              <w:pStyle w:val="BodyText"/>
            </w:pPr>
            <w:r w:rsidRPr="00D45419">
              <w:t>Phasing and phase rotation</w:t>
            </w:r>
          </w:p>
          <w:p w:rsidR="00000000" w:rsidRPr="00D45419" w:rsidP="00D45419">
            <w:pPr>
              <w:pStyle w:val="BodyText"/>
            </w:pPr>
            <w:r w:rsidRPr="00D45419">
              <w:t>Commissioning an item of HV plant</w:t>
            </w:r>
          </w:p>
          <w:p w:rsidR="00000000" w:rsidRPr="00D45419" w:rsidP="00D45419">
            <w:pPr>
              <w:pStyle w:val="BodyText"/>
            </w:pPr>
            <w:r w:rsidRPr="00D45419">
              <w:t>A planned interruption to a HV customer/s</w:t>
            </w:r>
          </w:p>
          <w:p w:rsidR="00000000" w:rsidRPr="00D45419" w:rsidP="00D45419">
            <w:pPr>
              <w:pStyle w:val="BodyText"/>
            </w:pPr>
            <w:r w:rsidRPr="00D45419">
              <w:t>Installation of a mobi</w:t>
            </w:r>
            <w:r w:rsidRPr="00D45419">
              <w:t>le generators (if applicable to enterprise equipment)</w:t>
            </w:r>
          </w:p>
          <w:p w:rsidR="00000000" w:rsidP="00D45419">
            <w:pPr>
              <w:pStyle w:val="BodyText"/>
              <w:rPr>
                <w:lang w:val="en-NZ"/>
              </w:rPr>
            </w:pPr>
            <w:r w:rsidRPr="00D45419">
              <w:t xml:space="preserve">Placing distribution </w:t>
            </w:r>
            <w:r w:rsidRPr="00D45419">
              <w:t>feeders in parallel where special considerations are required to cope with capacitors, phase shifts between different bulk supply systems, sensitive earth fault protection, single p</w:t>
            </w:r>
            <w:r w:rsidRPr="00D45419">
              <w:t>hase switching.</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Prepare switching instructions to isolate, test and earth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t>All enterprise transformer types</w:t>
            </w:r>
          </w:p>
          <w:p w:rsidR="00000000" w:rsidRPr="00D45419" w:rsidP="00D45419">
            <w:pPr>
              <w:pStyle w:val="BodyText"/>
            </w:pPr>
            <w:r w:rsidRPr="00D45419">
              <w:t>All enterprise busbar types</w:t>
            </w:r>
          </w:p>
          <w:p w:rsidR="00000000" w:rsidRPr="00D45419" w:rsidP="00D45419">
            <w:pPr>
              <w:pStyle w:val="BodyText"/>
            </w:pPr>
            <w:r w:rsidRPr="00D45419">
              <w:t>All enterprise feeder types</w:t>
            </w:r>
          </w:p>
          <w:p w:rsidR="00000000" w:rsidP="00D45419">
            <w:pPr>
              <w:pStyle w:val="BodyText"/>
              <w:rPr>
                <w:lang w:val="en-NZ"/>
              </w:rPr>
            </w:pPr>
            <w:r w:rsidRPr="00D45419">
              <w:t>All enterprise circuit breakers, isolators or switches</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Prepare, write and check switching sheets to 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t>Manage load</w:t>
            </w:r>
          </w:p>
          <w:p w:rsidR="00000000" w:rsidRPr="00D45419" w:rsidP="00D45419">
            <w:pPr>
              <w:pStyle w:val="BodyText"/>
            </w:pPr>
            <w:r w:rsidRPr="00D45419">
              <w:t xml:space="preserve">Manage voltage </w:t>
            </w:r>
          </w:p>
          <w:p w:rsidR="00000000" w:rsidRPr="00D45419" w:rsidP="00D45419">
            <w:pPr>
              <w:pStyle w:val="BodyText"/>
            </w:pPr>
            <w:r w:rsidRPr="00D45419">
              <w:t>Minimise losses</w:t>
            </w:r>
          </w:p>
          <w:p w:rsidR="00000000" w:rsidP="00D45419">
            <w:pPr>
              <w:pStyle w:val="BodyText"/>
              <w:rPr>
                <w:lang w:val="en-NZ"/>
              </w:rPr>
            </w:pPr>
            <w:r w:rsidRPr="00D45419">
              <w:t>Maximise network reliability</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t>Check all above types of switching instructions</w:t>
            </w:r>
          </w:p>
          <w:p w:rsidR="00000000" w:rsidRPr="00D45419" w:rsidP="00D45419">
            <w:pPr>
              <w:pStyle w:val="BodyText"/>
            </w:pPr>
            <w:r w:rsidRPr="00D45419">
              <w:t>Coordinate all above types of switc</w:t>
            </w:r>
            <w:r w:rsidRPr="00D45419">
              <w:t>hing instructions</w:t>
            </w:r>
          </w:p>
          <w:p w:rsidR="00000000" w:rsidP="00D45419">
            <w:pPr>
              <w:pStyle w:val="BodyText"/>
              <w:rPr>
                <w:lang w:val="en-NZ"/>
              </w:rPr>
            </w:pPr>
            <w:r w:rsidRPr="00D45419">
              <w:t>Calculation of plant loading</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419">
            <w:pPr>
              <w:pStyle w:val="BodyText"/>
              <w:rPr>
                <w:lang w:val="en-NZ"/>
              </w:rPr>
            </w:pPr>
            <w:r w:rsidRPr="00D4541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419" w:rsidP="00D45419">
            <w:pPr>
              <w:pStyle w:val="BodyText"/>
            </w:pPr>
            <w:r w:rsidRPr="00D45419">
              <w:t xml:space="preserve">Dealing with an unplanned event by drawing on essential knowledge and associated skills to provide appropriate solutions incorporated in the </w:t>
            </w:r>
            <w:r w:rsidRPr="00D45419">
              <w:t>holistic assessment with the above listed items.</w:t>
            </w:r>
          </w:p>
        </w:tc>
      </w:tr>
    </w:tbl>
    <w:p w:rsidR="00000000" w:rsidRPr="00D45419" w:rsidP="00D45419">
      <w:pPr>
        <w:pStyle w:val="BodyText"/>
      </w:pPr>
    </w:p>
    <w:tbl>
      <w:tblPr>
        <w:tblW w:w="0" w:type="auto"/>
        <w:tblLayout w:type="fixed"/>
        <w:tblCellMar>
          <w:left w:w="62" w:type="dxa"/>
          <w:right w:w="62" w:type="dxa"/>
        </w:tblCellMar>
        <w:tblLook w:val="0000"/>
      </w:tblPr>
      <w:tblGrid>
        <w:gridCol w:w="1890"/>
        <w:gridCol w:w="6570"/>
      </w:tblGrid>
      <w:tr w:rsidTr="005D06F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9.3)</w:t>
            </w:r>
          </w:p>
        </w:tc>
      </w:tr>
      <w:tr w:rsidTr="005D06F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This unit should be assessed as it relates to normal work practice using procedures, information and resources typical of a workplace. This should in</w:t>
            </w:r>
            <w:r w:rsidRPr="00D45419">
              <w:t>clude:</w:t>
            </w:r>
          </w:p>
          <w:p w:rsidR="00000000" w:rsidRPr="00D45419" w:rsidP="00D45419">
            <w:pPr>
              <w:pStyle w:val="ListBullet"/>
            </w:pPr>
            <w:r w:rsidRPr="00D45419">
              <w:t>OHS policy and work procedures and instructions.</w:t>
            </w:r>
          </w:p>
          <w:p w:rsidR="00000000" w:rsidRPr="00D45419" w:rsidP="00D45419">
            <w:pPr>
              <w:pStyle w:val="ListBullet"/>
            </w:pPr>
            <w:r w:rsidRPr="00D45419">
              <w:t>Suitable work environment, facilities, equipment and materials to undertake actual the preparation of HV Distribution and Sub transmission Switching programs.</w:t>
            </w:r>
          </w:p>
          <w:p w:rsidR="00000000" w:rsidRPr="00D45419" w:rsidP="00D45419">
            <w:pPr>
              <w:pStyle w:val="BodyText"/>
            </w:pPr>
            <w:r w:rsidRPr="00D45419">
              <w:t>Note:</w:t>
            </w:r>
          </w:p>
          <w:p w:rsidR="00000000" w:rsidRPr="00D45419" w:rsidP="00D45419">
            <w:pPr>
              <w:pStyle w:val="BodyText"/>
            </w:pPr>
            <w:r w:rsidRPr="00D45419">
              <w:t>Access will be n</w:t>
            </w:r>
            <w:r w:rsidRPr="00D45419">
              <w:t xml:space="preserve">eeded to: relevant protection, control, metering, and alarm equipment, network drawings, computerised electrical plant control and monitoring facilities, operational event data, enterprise operational policies, procedures and work practices and enterprise </w:t>
            </w:r>
            <w:r w:rsidRPr="00D45419">
              <w:t>crisis management procedures.</w:t>
            </w:r>
          </w:p>
          <w:p w:rsidR="00000000" w:rsidRPr="00D45419" w:rsidP="00D45419">
            <w:pPr>
              <w:pStyle w:val="BodyText"/>
            </w:pPr>
            <w:r w:rsidRPr="00D45419">
              <w:t xml:space="preserve">In addition to the resources listed above, in Context of and specific resources for assessment, evidence should show demonstrated competency working in realistic environment and a variety of conditions. </w:t>
            </w:r>
          </w:p>
        </w:tc>
      </w:tr>
    </w:tbl>
    <w:p w:rsidR="00000000" w:rsidRPr="00D45419" w:rsidP="00D45419">
      <w:pPr>
        <w:pStyle w:val="BodyText"/>
      </w:pPr>
    </w:p>
    <w:tbl>
      <w:tblPr>
        <w:tblW w:w="0" w:type="auto"/>
        <w:tblLayout w:type="fixed"/>
        <w:tblCellMar>
          <w:left w:w="62" w:type="dxa"/>
          <w:right w:w="62" w:type="dxa"/>
        </w:tblCellMar>
        <w:tblLook w:val="0000"/>
      </w:tblPr>
      <w:tblGrid>
        <w:gridCol w:w="1890"/>
        <w:gridCol w:w="6570"/>
      </w:tblGrid>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9.4)</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This Competency Standard Unit shall be assessed by methods given in Volume 1, Part 3 “Assessment Guidelines”.</w:t>
            </w:r>
          </w:p>
          <w:p w:rsidR="00000000" w:rsidRPr="00D45419" w:rsidP="00D45419">
            <w:pPr>
              <w:pStyle w:val="BodyText"/>
            </w:pPr>
            <w:r w:rsidRPr="00D45419">
              <w:t>Note:</w:t>
            </w:r>
          </w:p>
          <w:p w:rsidR="00000000" w:rsidRPr="00D45419" w:rsidP="00D45419">
            <w:pPr>
              <w:pStyle w:val="BodyText"/>
            </w:pPr>
            <w:r w:rsidRPr="00D45419">
              <w:t>Competent performance with inherent safe working practices is expected in the Transmission, Distribution and Rail Traction Industry.</w:t>
            </w:r>
            <w:r w:rsidRPr="00D45419">
              <w:t xml:space="preserve"> This requires that the specified essential knowledge and associated skills are assessed in a structured environment which is primarily intended for learning/assessment and incorporates all necessary equipment and facilities for learners to develop and dem</w:t>
            </w:r>
            <w:r w:rsidRPr="00D45419">
              <w:t>onstrate the essential knowledge and associated skills described in this unit.</w:t>
            </w:r>
          </w:p>
        </w:tc>
      </w:tr>
    </w:tbl>
    <w:p w:rsidR="00000000" w:rsidRPr="00D45419" w:rsidP="00D45419">
      <w:pPr>
        <w:pStyle w:val="BodyText"/>
      </w:pPr>
    </w:p>
    <w:tbl>
      <w:tblPr>
        <w:tblW w:w="0" w:type="auto"/>
        <w:tblLayout w:type="fixed"/>
        <w:tblCellMar>
          <w:left w:w="62" w:type="dxa"/>
          <w:right w:w="62" w:type="dxa"/>
        </w:tblCellMar>
        <w:tblLook w:val="0000"/>
      </w:tblPr>
      <w:tblGrid>
        <w:gridCol w:w="1890"/>
        <w:gridCol w:w="1530"/>
        <w:gridCol w:w="5040"/>
      </w:tblGrid>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9.5)</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 xml:space="preserve">For optimisation of training and assessment effort, competence in this unit may be assessed concurrently with units: </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UETTDRSO36A</w:t>
            </w:r>
          </w:p>
        </w:tc>
        <w:tc>
          <w:tcPr>
            <w:tcW w:w="504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Develop low voltage distribution switching programs</w:t>
            </w:r>
          </w:p>
        </w:tc>
      </w:tr>
      <w:tr w:rsidTr="005D06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t>UETTDRSO38A</w:t>
            </w:r>
          </w:p>
        </w:tc>
        <w:tc>
          <w:tcPr>
            <w:tcW w:w="504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Develop and evaluate power systems transmission switching programs</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11" w:name="O_464990"/>
      <w:bookmarkEnd w:id="11"/>
      <w:r w:rsidRPr="00D45419">
        <w:t>Range Statement</w:t>
      </w:r>
    </w:p>
    <w:tbl>
      <w:tblPr>
        <w:tblW w:w="0" w:type="auto"/>
        <w:tblLayout w:type="fixed"/>
        <w:tblCellMar>
          <w:left w:w="62" w:type="dxa"/>
          <w:right w:w="62" w:type="dxa"/>
        </w:tblCellMar>
        <w:tblLook w:val="0000"/>
      </w:tblPr>
      <w:tblGrid>
        <w:gridCol w:w="8460"/>
      </w:tblGrid>
      <w:tr w:rsidTr="005D06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RANGE STATEMENT</w:t>
            </w:r>
          </w:p>
        </w:tc>
      </w:tr>
      <w:tr w:rsidTr="005D06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10)</w:t>
            </w:r>
            <w:r w:rsidRPr="00D45419">
              <w:t xml:space="preserve"> This relates to the competency standard unit as a whole providing the range of contexts and </w:t>
            </w:r>
            <w:r w:rsidRPr="00D45419">
              <w:t>conditions to which the Performance Criteria apply. It allows for different work environments and situations that will affect performance.</w:t>
            </w:r>
          </w:p>
          <w:p w:rsidR="00000000" w:rsidRPr="00D45419" w:rsidP="00D45419">
            <w:pPr>
              <w:pStyle w:val="BodyText"/>
            </w:pPr>
            <w:r w:rsidRPr="00D45419">
              <w:t>This Competency Standard Unit shall be demonstrated in relation to the preparation and/or checking of activities requ</w:t>
            </w:r>
            <w:r w:rsidRPr="00D45419">
              <w:t>ired to place the HV distribution and sub transmission network (may also be applied to include rail/tram networks) in a state in which work can safely be performed whilst minimising customer outages and shall be demonstrated using the following:</w:t>
            </w:r>
          </w:p>
          <w:p w:rsidR="00000000" w:rsidRPr="00D45419" w:rsidP="00D45419">
            <w:pPr>
              <w:pStyle w:val="BodyText"/>
            </w:pPr>
            <w:r w:rsidRPr="00D45419">
              <w:t>HV distrib</w:t>
            </w:r>
            <w:r w:rsidRPr="00D45419">
              <w:t>ution feeders/distribution network –radial or loop; HV sub transmission feeders/network –radial or loop; transformers with HV windings and fixed tap; transformers with HV windings and on-load tap changers; HV busbars – indoor and/or outdoor as applicable t</w:t>
            </w:r>
            <w:r w:rsidRPr="00D45419">
              <w:t>o enterprise; HV isolators; HV switchgear (applicable to enterprise equipment); switching instructions (applicable to enterprise equipment); computers (applicable to enterprise equipment); network diagrams (applicable to enterprise equipment); access autho</w:t>
            </w:r>
            <w:r w:rsidRPr="00D45419">
              <w:t>rities; regulatory requirements</w:t>
            </w:r>
          </w:p>
          <w:p w:rsidR="00000000" w:rsidRPr="00D45419" w:rsidP="00D45419">
            <w:pPr>
              <w:pStyle w:val="BodyText"/>
            </w:pPr>
            <w:r w:rsidRPr="00D45419">
              <w:t>The following constants and variables included in the Element/Performance Criteria in this unit are fully described in the Definitions Section 1 of this volume and form an integral part of the Range Statement of this unit:</w:t>
            </w:r>
          </w:p>
          <w:p w:rsidR="00000000" w:rsidRPr="00D45419" w:rsidP="00D45419">
            <w:pPr>
              <w:pStyle w:val="ListBullet3"/>
            </w:pPr>
            <w:r w:rsidRPr="00D45419">
              <w:t>Appropriate and relevant persons (see Personnel)</w:t>
            </w:r>
          </w:p>
          <w:p w:rsidR="00000000" w:rsidRPr="00D45419" w:rsidP="00D45419">
            <w:pPr>
              <w:pStyle w:val="ListBullet3"/>
            </w:pPr>
            <w:r w:rsidRPr="00D45419">
              <w:t>Appropriate authorities</w:t>
            </w:r>
          </w:p>
          <w:p w:rsidR="00000000" w:rsidRPr="00D45419" w:rsidP="00D45419">
            <w:pPr>
              <w:pStyle w:val="ListBullet3"/>
            </w:pPr>
            <w:r w:rsidRPr="00D45419">
              <w:t>Appropriate work platform</w:t>
            </w:r>
          </w:p>
          <w:p w:rsidR="00000000" w:rsidRPr="00D45419" w:rsidP="00D45419">
            <w:pPr>
              <w:pStyle w:val="ListBullet3"/>
            </w:pPr>
            <w:r w:rsidRPr="00D45419">
              <w:t>Assessing risk</w:t>
            </w:r>
          </w:p>
          <w:p w:rsidR="00000000" w:rsidRPr="00D45419" w:rsidP="00D45419">
            <w:pPr>
              <w:pStyle w:val="ListBullet3"/>
            </w:pPr>
            <w:r w:rsidRPr="00D45419">
              <w:t>Assessment</w:t>
            </w:r>
          </w:p>
          <w:p w:rsidR="00000000" w:rsidRPr="00D45419" w:rsidP="00D45419">
            <w:pPr>
              <w:pStyle w:val="ListBullet3"/>
            </w:pPr>
            <w:r w:rsidRPr="00D45419">
              <w:t>Authorisation</w:t>
            </w:r>
          </w:p>
          <w:p w:rsidR="00000000" w:rsidRPr="00D45419" w:rsidP="00D45419">
            <w:pPr>
              <w:pStyle w:val="ListBullet3"/>
            </w:pPr>
            <w:r w:rsidRPr="00D45419">
              <w:t>Confined space</w:t>
            </w:r>
          </w:p>
          <w:p w:rsidR="00000000" w:rsidRPr="00D45419" w:rsidP="00D45419">
            <w:pPr>
              <w:pStyle w:val="ListBullet3"/>
            </w:pPr>
            <w:r w:rsidRPr="00D45419">
              <w:t>Diagnostic, testing and restoration</w:t>
            </w:r>
          </w:p>
          <w:p w:rsidR="00000000" w:rsidRPr="00D45419" w:rsidP="00D45419">
            <w:pPr>
              <w:pStyle w:val="ListBullet3"/>
            </w:pPr>
            <w:r w:rsidRPr="00D45419">
              <w:t>Documenting detail work events, record keeping and or storage of information</w:t>
            </w:r>
          </w:p>
          <w:p w:rsidR="00000000" w:rsidRPr="00D45419" w:rsidP="00D45419">
            <w:pPr>
              <w:pStyle w:val="ListBullet3"/>
            </w:pPr>
            <w:r w:rsidRPr="00D45419">
              <w:t>Drawings and specifications</w:t>
            </w:r>
          </w:p>
          <w:p w:rsidR="00000000" w:rsidRPr="00D45419" w:rsidP="00D45419">
            <w:pPr>
              <w:pStyle w:val="ListBullet3"/>
            </w:pPr>
            <w:r w:rsidRPr="00D45419">
              <w:t>Emergency</w:t>
            </w:r>
          </w:p>
          <w:p w:rsidR="00000000" w:rsidRPr="00D45419" w:rsidP="00D45419">
            <w:pPr>
              <w:pStyle w:val="ListBullet3"/>
            </w:pPr>
            <w:r w:rsidRPr="00D45419">
              <w:t>Environmental and sustainable energy procedures</w:t>
            </w:r>
          </w:p>
          <w:p w:rsidR="00000000" w:rsidRPr="00D45419" w:rsidP="00D45419">
            <w:pPr>
              <w:pStyle w:val="ListBullet3"/>
            </w:pPr>
            <w:r w:rsidRPr="00D45419">
              <w:t>Environmental legislation</w:t>
            </w:r>
          </w:p>
          <w:p w:rsidR="00000000" w:rsidRPr="00D45419" w:rsidP="00D45419">
            <w:pPr>
              <w:pStyle w:val="ListBullet3"/>
            </w:pPr>
            <w:r w:rsidRPr="00D45419">
              <w:t>Environmental management documentation</w:t>
            </w:r>
          </w:p>
          <w:p w:rsidR="00000000" w:rsidRPr="00D45419" w:rsidP="00D45419">
            <w:pPr>
              <w:pStyle w:val="ListBullet3"/>
            </w:pPr>
            <w:r w:rsidRPr="00D45419">
              <w:t>Established procedures</w:t>
            </w:r>
          </w:p>
          <w:p w:rsidR="00000000" w:rsidRPr="00D45419" w:rsidP="00D45419">
            <w:pPr>
              <w:pStyle w:val="ListBullet3"/>
            </w:pPr>
            <w:r w:rsidRPr="00D45419">
              <w:t xml:space="preserve">Fall </w:t>
            </w:r>
            <w:r w:rsidRPr="00D45419">
              <w:t>prevention</w:t>
            </w:r>
          </w:p>
          <w:p w:rsidR="00000000" w:rsidRPr="00D45419" w:rsidP="00D45419">
            <w:pPr>
              <w:pStyle w:val="ListBullet3"/>
            </w:pPr>
            <w:r w:rsidRPr="00D45419">
              <w:t>Hazards</w:t>
            </w:r>
          </w:p>
          <w:p w:rsidR="00000000" w:rsidRPr="00D45419" w:rsidP="00D45419">
            <w:pPr>
              <w:pStyle w:val="ListBullet3"/>
            </w:pPr>
            <w:r w:rsidRPr="00D45419">
              <w:t>Identifying hazards</w:t>
            </w:r>
          </w:p>
          <w:p w:rsidR="00000000" w:rsidRPr="00D45419" w:rsidP="00D45419">
            <w:pPr>
              <w:pStyle w:val="ListBullet3"/>
            </w:pPr>
            <w:r w:rsidRPr="00D45419">
              <w:t>Inspect</w:t>
            </w:r>
          </w:p>
          <w:p w:rsidR="00000000" w:rsidRPr="00D45419" w:rsidP="00D45419">
            <w:pPr>
              <w:pStyle w:val="ListBullet3"/>
            </w:pPr>
            <w:r w:rsidRPr="00D45419">
              <w:t>Legislation</w:t>
            </w:r>
          </w:p>
          <w:p w:rsidR="00000000" w:rsidRPr="00D45419" w:rsidP="00D45419">
            <w:pPr>
              <w:pStyle w:val="ListBullet3"/>
            </w:pPr>
            <w:r w:rsidRPr="00D45419">
              <w:t>MSDS</w:t>
            </w:r>
          </w:p>
          <w:p w:rsidR="00000000" w:rsidRPr="00D45419" w:rsidP="00D45419">
            <w:pPr>
              <w:pStyle w:val="ListBullet3"/>
            </w:pPr>
            <w:r w:rsidRPr="00D45419">
              <w:t>Notification</w:t>
            </w:r>
          </w:p>
          <w:p w:rsidR="00000000" w:rsidRPr="00D45419" w:rsidP="00D45419">
            <w:pPr>
              <w:pStyle w:val="ListBullet3"/>
            </w:pPr>
            <w:r w:rsidRPr="00D45419">
              <w:t>OHS practices</w:t>
            </w:r>
          </w:p>
          <w:p w:rsidR="00000000" w:rsidRPr="00D45419" w:rsidP="00D45419">
            <w:pPr>
              <w:pStyle w:val="ListBullet3"/>
            </w:pPr>
            <w:r w:rsidRPr="00D45419">
              <w:t>OHS issues</w:t>
            </w:r>
          </w:p>
          <w:p w:rsidR="00000000" w:rsidRPr="00D45419" w:rsidP="00D45419">
            <w:pPr>
              <w:pStyle w:val="ListBullet3"/>
            </w:pPr>
            <w:r w:rsidRPr="00D45419">
              <w:t>Permits and/or permits to work</w:t>
            </w:r>
          </w:p>
          <w:p w:rsidR="00000000" w:rsidRPr="00D45419" w:rsidP="00D45419">
            <w:pPr>
              <w:pStyle w:val="ListBullet3"/>
            </w:pPr>
            <w:r w:rsidRPr="00D45419">
              <w:t>Personnel</w:t>
            </w:r>
          </w:p>
          <w:p w:rsidR="00000000" w:rsidRPr="00D45419" w:rsidP="00D45419">
            <w:pPr>
              <w:pStyle w:val="ListBullet3"/>
            </w:pPr>
            <w:r w:rsidRPr="00D45419">
              <w:t>Quality assurance systems</w:t>
            </w:r>
          </w:p>
          <w:p w:rsidR="00000000" w:rsidRPr="00D45419" w:rsidP="00D45419">
            <w:pPr>
              <w:pStyle w:val="ListBullet3"/>
            </w:pPr>
            <w:r w:rsidRPr="00D45419">
              <w:t>Requirements</w:t>
            </w:r>
          </w:p>
          <w:p w:rsidR="00000000" w:rsidRPr="00D45419" w:rsidP="00D45419">
            <w:pPr>
              <w:pStyle w:val="ListBullet3"/>
            </w:pPr>
            <w:r w:rsidRPr="00D45419">
              <w:t>Testing procedures</w:t>
            </w:r>
          </w:p>
          <w:p w:rsidR="00000000" w:rsidRPr="00D45419" w:rsidP="00D45419">
            <w:pPr>
              <w:pStyle w:val="ListBullet3"/>
            </w:pPr>
            <w:r w:rsidRPr="00D45419">
              <w:t>Work clearance systems</w:t>
            </w:r>
          </w:p>
        </w:tc>
      </w:tr>
    </w:tbl>
    <w:p w:rsidR="00000000" w:rsidRPr="00D45419" w:rsidP="00D45419">
      <w:pPr>
        <w:pStyle w:val="BodyText"/>
      </w:pPr>
    </w:p>
    <w:p w:rsidR="00000000" w:rsidRPr="00D45419" w:rsidP="00D45419">
      <w:pPr>
        <w:pStyle w:val="AllowPageBreak"/>
      </w:pPr>
    </w:p>
    <w:p w:rsidR="00000000" w:rsidRPr="00D45419" w:rsidP="00D45419">
      <w:pPr>
        <w:pStyle w:val="Heading1"/>
      </w:pPr>
      <w:bookmarkStart w:id="12" w:name="O_464993"/>
      <w:bookmarkEnd w:id="12"/>
      <w:r w:rsidRPr="00D45419">
        <w:t>Unit Sector(s)</w:t>
      </w:r>
    </w:p>
    <w:p w:rsidR="00000000" w:rsidRPr="00D45419" w:rsidP="00D45419">
      <w:pPr>
        <w:pStyle w:val="BodyText"/>
      </w:pPr>
      <w:r w:rsidRPr="00D45419">
        <w:t>Not applicable.</w:t>
      </w:r>
    </w:p>
    <w:p w:rsidR="00000000" w:rsidRPr="00D45419" w:rsidP="00D45419">
      <w:pPr>
        <w:pStyle w:val="AllowPageBreak"/>
      </w:pPr>
    </w:p>
    <w:p w:rsidR="00000000" w:rsidRPr="00D45419" w:rsidP="00D45419">
      <w:pPr>
        <w:pStyle w:val="Heading1"/>
      </w:pPr>
      <w:bookmarkStart w:id="13" w:name="O_464982"/>
      <w:bookmarkEnd w:id="13"/>
      <w:r w:rsidRPr="00D45419">
        <w:t>Competency Field</w:t>
      </w:r>
    </w:p>
    <w:tbl>
      <w:tblPr>
        <w:tblW w:w="0" w:type="auto"/>
        <w:tblLayout w:type="fixed"/>
        <w:tblCellMar>
          <w:left w:w="62" w:type="dxa"/>
          <w:right w:w="62" w:type="dxa"/>
        </w:tblCellMar>
        <w:tblLook w:val="0000"/>
      </w:tblPr>
      <w:tblGrid>
        <w:gridCol w:w="2700"/>
        <w:gridCol w:w="5760"/>
      </w:tblGrid>
      <w:tr w:rsidTr="005D06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45419">
            <w:pPr>
              <w:pStyle w:val="BodyText"/>
              <w:rPr>
                <w:lang w:val="en-NZ"/>
              </w:rPr>
            </w:pPr>
            <w:r w:rsidRPr="00D45419">
              <w:rPr>
                <w:rStyle w:val="SpecialBold"/>
              </w:rPr>
              <w:t xml:space="preserve">11) </w:t>
            </w:r>
          </w:p>
        </w:tc>
      </w:tr>
      <w:tr w:rsidTr="005D06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419" w:rsidP="00D45419">
            <w:pPr>
              <w:pStyle w:val="BodyText"/>
            </w:pPr>
            <w:r w:rsidRPr="00D45419">
              <w:t>System Operation Units</w:t>
            </w:r>
          </w:p>
        </w:tc>
      </w:tr>
    </w:tbl>
    <w:p w:rsidR="00000000" w:rsidRPr="00D45419" w:rsidP="00D45419">
      <w:pPr>
        <w:pStyle w:val="BodyText"/>
      </w:pPr>
    </w:p>
    <w:p w:rsidR="00000000" w:rsidRPr="00D45419" w:rsidP="00D45419"/>
    <w:sectPr w:rsidSect="00D45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6F3" w:rsidP="005D06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F3" w:rsidP="00D454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D06F3" w:rsidP="00D454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06F3" w:rsidP="00D454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19" w:rsidRPr="005D06F3" w:rsidP="005D06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F3" w:rsidRPr="002D2AF8" w:rsidP="00D45419">
    <w:pPr>
      <w:pStyle w:val="Header"/>
      <w:framePr w:wrap="around"/>
    </w:pPr>
    <w:r>
      <w:fldChar w:fldCharType="begin"/>
    </w:r>
    <w:r>
      <w:instrText xml:space="preserve"> TITLE   \* MERGEFORMAT </w:instrText>
    </w:r>
    <w:r>
      <w:fldChar w:fldCharType="separate"/>
    </w:r>
    <w:r>
      <w:t>UETTDRSO37A Develop high voltage distribution and subtransmission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5D06F3" w:rsidP="00D45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6C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0C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6E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419"/>
    <w:pPr>
      <w:spacing w:before="360" w:after="60"/>
      <w:outlineLvl w:val="0"/>
    </w:pPr>
    <w:rPr>
      <w:sz w:val="32"/>
    </w:rPr>
  </w:style>
  <w:style w:type="paragraph" w:styleId="Heading2">
    <w:name w:val="heading 2"/>
    <w:basedOn w:val="HeadingBase"/>
    <w:next w:val="BodyText"/>
    <w:link w:val="Heading2Char"/>
    <w:qFormat/>
    <w:rsid w:val="00D45419"/>
    <w:pPr>
      <w:keepLines/>
      <w:spacing w:before="240" w:after="120"/>
      <w:outlineLvl w:val="1"/>
    </w:pPr>
    <w:rPr>
      <w:sz w:val="28"/>
      <w:szCs w:val="40"/>
    </w:rPr>
  </w:style>
  <w:style w:type="paragraph" w:styleId="Heading3">
    <w:name w:val="heading 3"/>
    <w:basedOn w:val="HeadingBase"/>
    <w:next w:val="BodyText"/>
    <w:link w:val="Heading3Char"/>
    <w:qFormat/>
    <w:rsid w:val="00D45419"/>
    <w:pPr>
      <w:spacing w:before="180" w:after="120"/>
      <w:outlineLvl w:val="2"/>
    </w:pPr>
    <w:rPr>
      <w:spacing w:val="-10"/>
      <w:kern w:val="32"/>
    </w:rPr>
  </w:style>
  <w:style w:type="paragraph" w:styleId="Heading4">
    <w:name w:val="heading 4"/>
    <w:basedOn w:val="HeadingBase"/>
    <w:next w:val="BodyText"/>
    <w:link w:val="Heading4Char"/>
    <w:qFormat/>
    <w:rsid w:val="00D45419"/>
    <w:pPr>
      <w:spacing w:before="160" w:after="120"/>
      <w:outlineLvl w:val="3"/>
    </w:pPr>
    <w:rPr>
      <w:sz w:val="22"/>
    </w:rPr>
  </w:style>
  <w:style w:type="paragraph" w:styleId="Heading5">
    <w:name w:val="heading 5"/>
    <w:basedOn w:val="HeadingBase"/>
    <w:next w:val="Normal"/>
    <w:link w:val="Heading5Char"/>
    <w:qFormat/>
    <w:rsid w:val="00D45419"/>
    <w:pPr>
      <w:spacing w:before="80"/>
      <w:outlineLvl w:val="4"/>
    </w:pPr>
    <w:rPr>
      <w:color w:val="918585"/>
      <w:sz w:val="20"/>
    </w:rPr>
  </w:style>
  <w:style w:type="paragraph" w:styleId="Heading6">
    <w:name w:val="heading 6"/>
    <w:basedOn w:val="HeadingBase"/>
    <w:next w:val="Normal"/>
    <w:link w:val="Heading6Char"/>
    <w:qFormat/>
    <w:rsid w:val="00D45419"/>
    <w:pPr>
      <w:spacing w:before="60"/>
      <w:outlineLvl w:val="5"/>
    </w:pPr>
    <w:rPr>
      <w:color w:val="918585"/>
      <w:sz w:val="20"/>
    </w:rPr>
  </w:style>
  <w:style w:type="paragraph" w:styleId="Heading7">
    <w:name w:val="heading 7"/>
    <w:basedOn w:val="Normal"/>
    <w:next w:val="Normal"/>
    <w:link w:val="Heading7Char"/>
    <w:qFormat/>
    <w:rsid w:val="00D45419"/>
    <w:pPr>
      <w:ind w:left="720"/>
      <w:outlineLvl w:val="6"/>
    </w:pPr>
    <w:rPr>
      <w:i/>
    </w:rPr>
  </w:style>
  <w:style w:type="paragraph" w:styleId="Heading8">
    <w:name w:val="heading 8"/>
    <w:basedOn w:val="Normal"/>
    <w:next w:val="Normal"/>
    <w:link w:val="Heading8Char"/>
    <w:qFormat/>
    <w:rsid w:val="00D45419"/>
    <w:pPr>
      <w:ind w:left="720"/>
      <w:outlineLvl w:val="7"/>
    </w:pPr>
    <w:rPr>
      <w:i/>
    </w:rPr>
  </w:style>
  <w:style w:type="paragraph" w:styleId="Heading9">
    <w:name w:val="heading 9"/>
    <w:basedOn w:val="Normal"/>
    <w:next w:val="Normal"/>
    <w:link w:val="Heading9Char"/>
    <w:qFormat/>
    <w:rsid w:val="00D45419"/>
    <w:pPr>
      <w:ind w:left="720"/>
      <w:outlineLvl w:val="8"/>
    </w:pPr>
    <w:rPr>
      <w:i/>
    </w:rPr>
  </w:style>
  <w:style w:type="character" w:default="1" w:styleId="DefaultParagraphFont">
    <w:name w:val="Default Paragraph Font"/>
    <w:uiPriority w:val="1"/>
    <w:unhideWhenUsed/>
    <w:rsid w:val="00D45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419"/>
  </w:style>
  <w:style w:type="character" w:customStyle="1" w:styleId="Heading1Char">
    <w:name w:val="Heading 1 Char"/>
    <w:basedOn w:val="DefaultParagraphFont"/>
    <w:link w:val="Heading1"/>
    <w:rsid w:val="00D45419"/>
    <w:rPr>
      <w:rFonts w:ascii="Times New Roman" w:eastAsia="Times New Roman" w:hAnsi="Times New Roman" w:cs="Times New Roman"/>
      <w:b/>
      <w:sz w:val="32"/>
      <w:szCs w:val="20"/>
      <w:lang w:eastAsia="en-US"/>
    </w:rPr>
  </w:style>
  <w:style w:type="paragraph" w:styleId="BodyText">
    <w:name w:val="Body Text"/>
    <w:basedOn w:val="Normal"/>
    <w:link w:val="BodyTextChar"/>
    <w:rsid w:val="00D454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419"/>
    <w:rPr>
      <w:rFonts w:ascii="Times New Roman" w:eastAsia="Times New Roman" w:hAnsi="Times New Roman" w:cs="Times New Roman"/>
      <w:sz w:val="24"/>
      <w:lang w:eastAsia="en-US"/>
    </w:rPr>
  </w:style>
  <w:style w:type="paragraph" w:styleId="Footer">
    <w:name w:val="footer"/>
    <w:basedOn w:val="Normal"/>
    <w:link w:val="FooterChar"/>
    <w:rsid w:val="00D45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419"/>
    <w:rPr>
      <w:rFonts w:ascii="Times New Roman" w:eastAsia="Times New Roman" w:hAnsi="Times New Roman" w:cs="Times New Roman"/>
      <w:sz w:val="16"/>
      <w:lang w:eastAsia="en-US"/>
    </w:rPr>
  </w:style>
  <w:style w:type="paragraph" w:styleId="ListBullet">
    <w:name w:val="List Bullet"/>
    <w:basedOn w:val="List"/>
    <w:rsid w:val="00D45419"/>
    <w:pPr>
      <w:numPr>
        <w:numId w:val="14"/>
      </w:numPr>
      <w:tabs>
        <w:tab w:val="clear" w:pos="340"/>
      </w:tabs>
      <w:spacing w:before="40" w:after="40"/>
    </w:pPr>
  </w:style>
  <w:style w:type="character" w:customStyle="1" w:styleId="SpecialBold">
    <w:name w:val="Special Bold"/>
    <w:basedOn w:val="DefaultParagraphFont"/>
    <w:rsid w:val="00D45419"/>
    <w:rPr>
      <w:b/>
      <w:spacing w:val="0"/>
    </w:rPr>
  </w:style>
  <w:style w:type="paragraph" w:styleId="ListBullet2">
    <w:name w:val="List Bullet 2"/>
    <w:basedOn w:val="List2"/>
    <w:rsid w:val="00D45419"/>
    <w:pPr>
      <w:numPr>
        <w:numId w:val="15"/>
      </w:numPr>
      <w:tabs>
        <w:tab w:val="clear" w:pos="680"/>
      </w:tabs>
    </w:pPr>
  </w:style>
  <w:style w:type="paragraph" w:customStyle="1" w:styleId="SuperHeading">
    <w:name w:val="SuperHeading"/>
    <w:basedOn w:val="Normal"/>
    <w:rsid w:val="00D45419"/>
    <w:pPr>
      <w:spacing w:before="240" w:after="120"/>
      <w:outlineLvl w:val="0"/>
    </w:pPr>
    <w:rPr>
      <w:rFonts w:ascii="Times New Roman" w:hAnsi="Times New Roman"/>
      <w:b/>
      <w:sz w:val="28"/>
    </w:rPr>
  </w:style>
  <w:style w:type="paragraph" w:customStyle="1" w:styleId="AllowPageBreak">
    <w:name w:val="AllowPageBreak"/>
    <w:rsid w:val="00D454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5419"/>
    <w:pPr>
      <w:numPr>
        <w:numId w:val="3"/>
      </w:numPr>
      <w:tabs>
        <w:tab w:val="clear" w:pos="1021"/>
      </w:tabs>
      <w:ind w:left="1037" w:hanging="357"/>
    </w:pPr>
  </w:style>
  <w:style w:type="character" w:customStyle="1" w:styleId="Heading2Char">
    <w:name w:val="Heading 2 Char"/>
    <w:basedOn w:val="DefaultParagraphFont"/>
    <w:link w:val="Heading2"/>
    <w:rsid w:val="00D45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419"/>
    <w:rPr>
      <w:rFonts w:ascii="Courier New" w:eastAsia="Times New Roman" w:hAnsi="Courier New" w:cs="Times New Roman"/>
      <w:i/>
      <w:szCs w:val="20"/>
      <w:lang w:eastAsia="en-US"/>
    </w:rPr>
  </w:style>
  <w:style w:type="paragraph" w:customStyle="1" w:styleId="HeadingBase">
    <w:name w:val="Heading Base"/>
    <w:rsid w:val="00D45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419"/>
    <w:pPr>
      <w:tabs>
        <w:tab w:val="right" w:leader="dot" w:pos="9072"/>
      </w:tabs>
      <w:ind w:left="567"/>
    </w:pPr>
    <w:rPr>
      <w:szCs w:val="22"/>
    </w:rPr>
  </w:style>
  <w:style w:type="paragraph" w:customStyle="1" w:styleId="TOCBase">
    <w:name w:val="TOC Base"/>
    <w:rsid w:val="00D45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419"/>
    <w:pPr>
      <w:tabs>
        <w:tab w:val="right" w:leader="dot" w:pos="9072"/>
      </w:tabs>
      <w:spacing w:before="40" w:after="40"/>
      <w:ind w:left="284"/>
    </w:pPr>
    <w:rPr>
      <w:rFonts w:ascii="Times New Roman" w:hAnsi="Times New Roman"/>
    </w:rPr>
  </w:style>
  <w:style w:type="paragraph" w:styleId="TOC1">
    <w:name w:val="toc 1"/>
    <w:basedOn w:val="TOCBase"/>
    <w:next w:val="Normal"/>
    <w:rsid w:val="00D454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419"/>
    <w:pPr>
      <w:spacing w:before="5040"/>
      <w:jc w:val="center"/>
    </w:pPr>
    <w:rPr>
      <w:sz w:val="48"/>
      <w:szCs w:val="72"/>
      <w:lang w:val="en-US"/>
    </w:rPr>
  </w:style>
  <w:style w:type="character" w:customStyle="1" w:styleId="TitleChar">
    <w:name w:val="Title Char"/>
    <w:basedOn w:val="DefaultParagraphFont"/>
    <w:link w:val="Title"/>
    <w:rsid w:val="00D45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419"/>
    <w:pPr>
      <w:tabs>
        <w:tab w:val="left" w:pos="3600"/>
        <w:tab w:val="left" w:pos="3958"/>
      </w:tabs>
    </w:pPr>
  </w:style>
  <w:style w:type="paragraph" w:styleId="List">
    <w:name w:val="List"/>
    <w:basedOn w:val="BodyText"/>
    <w:next w:val="BodyText"/>
    <w:rsid w:val="00D45419"/>
    <w:pPr>
      <w:tabs>
        <w:tab w:val="left" w:pos="340"/>
      </w:tabs>
      <w:spacing w:before="60" w:after="60"/>
      <w:ind w:left="340" w:hanging="340"/>
    </w:pPr>
  </w:style>
  <w:style w:type="paragraph" w:customStyle="1" w:styleId="Note">
    <w:name w:val="Note"/>
    <w:basedOn w:val="BodyText"/>
    <w:rsid w:val="00D45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419"/>
    <w:pPr>
      <w:framePr w:wrap="auto" w:hAnchor="text" w:y="6049"/>
    </w:pPr>
    <w:rPr>
      <w:color w:val="000000"/>
      <w:sz w:val="40"/>
    </w:rPr>
  </w:style>
  <w:style w:type="paragraph" w:customStyle="1" w:styleId="TOCTitle">
    <w:name w:val="TOCTitle"/>
    <w:basedOn w:val="Heading1"/>
    <w:rsid w:val="00D45419"/>
    <w:pPr>
      <w:spacing w:after="240"/>
      <w:jc w:val="center"/>
      <w:outlineLvl w:val="9"/>
    </w:pPr>
    <w:rPr>
      <w:caps/>
    </w:rPr>
  </w:style>
  <w:style w:type="paragraph" w:customStyle="1" w:styleId="Version">
    <w:name w:val="Version"/>
    <w:rsid w:val="00D45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419"/>
    <w:pPr>
      <w:keepNext w:val="0"/>
      <w:tabs>
        <w:tab w:val="right" w:pos="4176"/>
      </w:tabs>
      <w:ind w:left="198" w:hanging="198"/>
    </w:pPr>
    <w:rPr>
      <w:rFonts w:ascii="Garamond" w:hAnsi="Garamond"/>
    </w:rPr>
  </w:style>
  <w:style w:type="paragraph" w:styleId="IndexHeading">
    <w:name w:val="index heading"/>
    <w:basedOn w:val="Normal"/>
    <w:next w:val="Index1"/>
    <w:semiHidden/>
    <w:rsid w:val="00D45419"/>
    <w:pPr>
      <w:spacing w:before="120" w:after="120"/>
    </w:pPr>
    <w:rPr>
      <w:rFonts w:ascii="Arial" w:hAnsi="Arial"/>
      <w:b/>
      <w:color w:val="918585"/>
      <w:sz w:val="24"/>
    </w:rPr>
  </w:style>
  <w:style w:type="paragraph" w:styleId="Header">
    <w:name w:val="header"/>
    <w:basedOn w:val="Normal"/>
    <w:link w:val="HeaderChar"/>
    <w:rsid w:val="00D45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419"/>
    <w:rPr>
      <w:rFonts w:ascii="Times New Roman" w:eastAsia="Times New Roman" w:hAnsi="Times New Roman" w:cs="Times New Roman"/>
      <w:sz w:val="16"/>
      <w:szCs w:val="20"/>
      <w:lang w:val="en-GB" w:eastAsia="en-US"/>
    </w:rPr>
  </w:style>
  <w:style w:type="paragraph" w:customStyle="1" w:styleId="Chapter">
    <w:name w:val="Chapter"/>
    <w:basedOn w:val="Normal"/>
    <w:rsid w:val="00D45419"/>
    <w:pPr>
      <w:spacing w:before="240"/>
    </w:pPr>
    <w:rPr>
      <w:rFonts w:ascii="Times New Roman" w:hAnsi="Times New Roman"/>
      <w:smallCaps/>
      <w:spacing w:val="80"/>
      <w:sz w:val="28"/>
    </w:rPr>
  </w:style>
  <w:style w:type="paragraph" w:customStyle="1" w:styleId="InChapter">
    <w:name w:val="InChapter"/>
    <w:basedOn w:val="Heading3"/>
    <w:rsid w:val="00D45419"/>
    <w:pPr>
      <w:spacing w:after="240"/>
      <w:outlineLvl w:val="9"/>
    </w:pPr>
    <w:rPr>
      <w:noProof/>
    </w:rPr>
  </w:style>
  <w:style w:type="paragraph" w:styleId="Index2">
    <w:name w:val="index 2"/>
    <w:basedOn w:val="Normal"/>
    <w:next w:val="Normal"/>
    <w:semiHidden/>
    <w:rsid w:val="00D45419"/>
    <w:pPr>
      <w:tabs>
        <w:tab w:val="right" w:pos="4176"/>
      </w:tabs>
      <w:ind w:left="568" w:hanging="284"/>
    </w:pPr>
    <w:rPr>
      <w:rFonts w:ascii="Garamond" w:hAnsi="Garamond"/>
    </w:rPr>
  </w:style>
  <w:style w:type="paragraph" w:customStyle="1" w:styleId="Byline">
    <w:name w:val="Byline"/>
    <w:rsid w:val="00D45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419"/>
    <w:pPr>
      <w:tabs>
        <w:tab w:val="clear" w:pos="3600"/>
        <w:tab w:val="clear" w:pos="3958"/>
      </w:tabs>
      <w:jc w:val="right"/>
    </w:pPr>
  </w:style>
  <w:style w:type="character" w:styleId="Emphasis">
    <w:name w:val="Emphasis"/>
    <w:basedOn w:val="DefaultParagraphFont"/>
    <w:qFormat/>
    <w:rsid w:val="00D45419"/>
    <w:rPr>
      <w:i/>
    </w:rPr>
  </w:style>
  <w:style w:type="paragraph" w:styleId="Caption">
    <w:name w:val="caption"/>
    <w:basedOn w:val="BodyText"/>
    <w:next w:val="Normal"/>
    <w:qFormat/>
    <w:rsid w:val="00D45419"/>
    <w:pPr>
      <w:framePr w:w="2268" w:hSpace="181" w:vSpace="181" w:wrap="around" w:vAnchor="text" w:hAnchor="page" w:x="1135" w:y="285" w:anchorLock="1"/>
    </w:pPr>
    <w:rPr>
      <w:i/>
    </w:rPr>
  </w:style>
  <w:style w:type="paragraph" w:customStyle="1" w:styleId="MiniTOCTitle">
    <w:name w:val="MiniTOCTitle"/>
    <w:basedOn w:val="Heading4"/>
    <w:rsid w:val="00D45419"/>
    <w:pPr>
      <w:spacing w:before="240"/>
      <w:outlineLvl w:val="9"/>
    </w:pPr>
    <w:rPr>
      <w:noProof/>
      <w:sz w:val="24"/>
    </w:rPr>
  </w:style>
  <w:style w:type="paragraph" w:customStyle="1" w:styleId="MiniTOCItem">
    <w:name w:val="MiniTOCItem"/>
    <w:basedOn w:val="ListBullet"/>
    <w:rsid w:val="00D45419"/>
    <w:pPr>
      <w:numPr>
        <w:numId w:val="0"/>
      </w:numPr>
      <w:tabs>
        <w:tab w:val="right" w:leader="dot" w:pos="6521"/>
      </w:tabs>
      <w:spacing w:before="0" w:after="0"/>
    </w:pPr>
  </w:style>
  <w:style w:type="paragraph" w:customStyle="1" w:styleId="TOFTitle">
    <w:name w:val="TOFTitle"/>
    <w:basedOn w:val="TOCTitle"/>
    <w:rsid w:val="00D45419"/>
  </w:style>
  <w:style w:type="paragraph" w:styleId="TableofFigures">
    <w:name w:val="table of figures"/>
    <w:basedOn w:val="Normal"/>
    <w:next w:val="Normal"/>
    <w:semiHidden/>
    <w:rsid w:val="00D45419"/>
    <w:pPr>
      <w:tabs>
        <w:tab w:val="right" w:leader="dot" w:pos="9072"/>
      </w:tabs>
      <w:ind w:left="970" w:hanging="403"/>
    </w:pPr>
    <w:rPr>
      <w:rFonts w:ascii="Times New Roman" w:hAnsi="Times New Roman"/>
      <w:b/>
    </w:rPr>
  </w:style>
  <w:style w:type="paragraph" w:styleId="ListNumber">
    <w:name w:val="List Number"/>
    <w:basedOn w:val="List"/>
    <w:rsid w:val="00D45419"/>
    <w:pPr>
      <w:numPr>
        <w:numId w:val="12"/>
      </w:numPr>
    </w:pPr>
  </w:style>
  <w:style w:type="character" w:customStyle="1" w:styleId="WingdingSymbols">
    <w:name w:val="Wingding Symbols"/>
    <w:rsid w:val="00D45419"/>
    <w:rPr>
      <w:rFonts w:ascii="Wingdings" w:hAnsi="Wingdings"/>
    </w:rPr>
  </w:style>
  <w:style w:type="paragraph" w:customStyle="1" w:styleId="TableHeading">
    <w:name w:val="Table Heading"/>
    <w:basedOn w:val="HeadingBase"/>
    <w:rsid w:val="00D45419"/>
    <w:pPr>
      <w:keepLines/>
      <w:pBdr>
        <w:bottom w:val="single" w:sz="6" w:space="1" w:color="918585"/>
      </w:pBdr>
      <w:spacing w:before="240"/>
    </w:pPr>
  </w:style>
  <w:style w:type="character" w:customStyle="1" w:styleId="HotSpot">
    <w:name w:val="HotSpot"/>
    <w:rsid w:val="00D45419"/>
    <w:rPr>
      <w:color w:val="0033CC"/>
      <w:u w:val="none"/>
    </w:rPr>
  </w:style>
  <w:style w:type="paragraph" w:customStyle="1" w:styleId="BodyTextRight">
    <w:name w:val="Body Text Right"/>
    <w:basedOn w:val="BodyText"/>
    <w:rsid w:val="00D45419"/>
    <w:pPr>
      <w:spacing w:before="0" w:after="0"/>
      <w:jc w:val="right"/>
    </w:pPr>
  </w:style>
  <w:style w:type="paragraph" w:styleId="Index3">
    <w:name w:val="index 3"/>
    <w:basedOn w:val="ListNumber2"/>
    <w:next w:val="Normal"/>
    <w:semiHidden/>
    <w:rsid w:val="00D45419"/>
    <w:pPr>
      <w:numPr>
        <w:numId w:val="0"/>
      </w:numPr>
      <w:tabs>
        <w:tab w:val="right" w:leader="dot" w:pos="4176"/>
      </w:tabs>
    </w:pPr>
  </w:style>
  <w:style w:type="paragraph" w:styleId="ListNumber2">
    <w:name w:val="List Number 2"/>
    <w:basedOn w:val="List2"/>
    <w:rsid w:val="00D45419"/>
    <w:pPr>
      <w:numPr>
        <w:numId w:val="11"/>
      </w:numPr>
      <w:tabs>
        <w:tab w:val="clear" w:pos="1060"/>
      </w:tabs>
    </w:pPr>
  </w:style>
  <w:style w:type="paragraph" w:customStyle="1" w:styleId="MarginNote">
    <w:name w:val="Margin Note"/>
    <w:basedOn w:val="BodyText"/>
    <w:rsid w:val="00D45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419"/>
    <w:rPr>
      <w:sz w:val="32"/>
    </w:rPr>
  </w:style>
  <w:style w:type="paragraph" w:customStyle="1" w:styleId="HeadingProcedure">
    <w:name w:val="Heading Procedure"/>
    <w:basedOn w:val="HeadingBase"/>
    <w:next w:val="Normal"/>
    <w:rsid w:val="00D45419"/>
    <w:pPr>
      <w:tabs>
        <w:tab w:val="left" w:pos="0"/>
      </w:tabs>
      <w:spacing w:before="120" w:after="60"/>
    </w:pPr>
    <w:rPr>
      <w:i/>
      <w:color w:val="918585"/>
      <w:sz w:val="22"/>
    </w:rPr>
  </w:style>
  <w:style w:type="paragraph" w:customStyle="1" w:styleId="TableBodyText">
    <w:name w:val="Table Body Text"/>
    <w:basedOn w:val="BodyText"/>
    <w:rsid w:val="00D45419"/>
    <w:pPr>
      <w:spacing w:before="60" w:after="60"/>
    </w:pPr>
  </w:style>
  <w:style w:type="paragraph" w:styleId="ListContinue">
    <w:name w:val="List Continue"/>
    <w:basedOn w:val="List"/>
    <w:rsid w:val="00D45419"/>
    <w:pPr>
      <w:ind w:firstLine="0"/>
    </w:pPr>
  </w:style>
  <w:style w:type="paragraph" w:customStyle="1" w:styleId="ListNote">
    <w:name w:val="List Note"/>
    <w:basedOn w:val="List"/>
    <w:rsid w:val="00D45419"/>
    <w:pPr>
      <w:pBdr>
        <w:top w:val="single" w:sz="6" w:space="2" w:color="918585"/>
        <w:bottom w:val="single" w:sz="6" w:space="2" w:color="918585"/>
      </w:pBdr>
      <w:tabs>
        <w:tab w:val="left" w:pos="1021"/>
      </w:tabs>
      <w:ind w:firstLine="0"/>
    </w:pPr>
  </w:style>
  <w:style w:type="paragraph" w:customStyle="1" w:styleId="Warning">
    <w:name w:val="Warning"/>
    <w:basedOn w:val="BodyText"/>
    <w:rsid w:val="00D45419"/>
    <w:pPr>
      <w:shd w:val="clear" w:color="auto" w:fill="D9D9D9"/>
      <w:tabs>
        <w:tab w:val="left" w:pos="992"/>
      </w:tabs>
      <w:ind w:left="119" w:right="119"/>
    </w:pPr>
    <w:rPr>
      <w:sz w:val="20"/>
    </w:rPr>
  </w:style>
  <w:style w:type="paragraph" w:customStyle="1" w:styleId="MarginIcons">
    <w:name w:val="Margin Icons"/>
    <w:basedOn w:val="BodyText"/>
    <w:rsid w:val="00D45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419"/>
    <w:rPr>
      <w:rFonts w:ascii="Courier New" w:hAnsi="Courier New"/>
    </w:rPr>
  </w:style>
  <w:style w:type="paragraph" w:customStyle="1" w:styleId="NoteBullet">
    <w:name w:val="Note Bullet"/>
    <w:basedOn w:val="Note"/>
    <w:rsid w:val="00D45419"/>
    <w:pPr>
      <w:tabs>
        <w:tab w:val="clear" w:pos="680"/>
      </w:tabs>
      <w:spacing w:before="60" w:after="60"/>
    </w:pPr>
  </w:style>
  <w:style w:type="paragraph" w:customStyle="1" w:styleId="SubHeading2">
    <w:name w:val="SubHeading2"/>
    <w:basedOn w:val="HeadingBase"/>
    <w:rsid w:val="00D45419"/>
    <w:pPr>
      <w:spacing w:before="240" w:after="60"/>
    </w:pPr>
    <w:rPr>
      <w:sz w:val="20"/>
    </w:rPr>
  </w:style>
  <w:style w:type="paragraph" w:customStyle="1" w:styleId="SubHeading1">
    <w:name w:val="SubHeading1"/>
    <w:basedOn w:val="HeadingBase"/>
    <w:rsid w:val="00D45419"/>
    <w:pPr>
      <w:spacing w:before="240" w:after="60"/>
    </w:pPr>
    <w:rPr>
      <w:color w:val="918585"/>
      <w:sz w:val="22"/>
    </w:rPr>
  </w:style>
  <w:style w:type="paragraph" w:customStyle="1" w:styleId="SideHeading">
    <w:name w:val="Side Heading"/>
    <w:basedOn w:val="HeadingBase"/>
    <w:rsid w:val="00D45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419"/>
    <w:pPr>
      <w:numPr>
        <w:numId w:val="13"/>
      </w:numPr>
    </w:pPr>
  </w:style>
  <w:style w:type="paragraph" w:styleId="PlainText">
    <w:name w:val="Plain Text"/>
    <w:basedOn w:val="Normal"/>
    <w:link w:val="PlainTextChar"/>
    <w:rsid w:val="00D45419"/>
    <w:rPr>
      <w:sz w:val="20"/>
    </w:rPr>
  </w:style>
  <w:style w:type="character" w:customStyle="1" w:styleId="PlainTextChar">
    <w:name w:val="Plain Text Char"/>
    <w:basedOn w:val="DefaultParagraphFont"/>
    <w:link w:val="PlainText"/>
    <w:rsid w:val="00D45419"/>
    <w:rPr>
      <w:rFonts w:ascii="Courier New" w:eastAsia="Times New Roman" w:hAnsi="Courier New" w:cs="Times New Roman"/>
      <w:sz w:val="20"/>
      <w:szCs w:val="20"/>
      <w:lang w:eastAsia="en-US"/>
    </w:rPr>
  </w:style>
  <w:style w:type="character" w:customStyle="1" w:styleId="MenuOption">
    <w:name w:val="Menu Option"/>
    <w:basedOn w:val="DefaultParagraphFont"/>
    <w:rsid w:val="00D45419"/>
    <w:rPr>
      <w:b/>
      <w:smallCaps/>
    </w:rPr>
  </w:style>
  <w:style w:type="paragraph" w:customStyle="1" w:styleId="TableListNumber">
    <w:name w:val="Table List Number"/>
    <w:basedOn w:val="ListNumber"/>
    <w:rsid w:val="00D45419"/>
    <w:pPr>
      <w:numPr>
        <w:numId w:val="0"/>
      </w:numPr>
    </w:pPr>
  </w:style>
  <w:style w:type="paragraph" w:styleId="TOC4">
    <w:name w:val="toc 4"/>
    <w:basedOn w:val="TOCBase"/>
    <w:next w:val="Normal"/>
    <w:semiHidden/>
    <w:rsid w:val="00D45419"/>
    <w:pPr>
      <w:tabs>
        <w:tab w:val="right" w:leader="dot" w:pos="9071"/>
      </w:tabs>
      <w:ind w:left="1701"/>
    </w:pPr>
  </w:style>
  <w:style w:type="paragraph" w:customStyle="1" w:styleId="ListAlpha">
    <w:name w:val="List Alpha"/>
    <w:basedOn w:val="List"/>
    <w:rsid w:val="00D45419"/>
    <w:pPr>
      <w:numPr>
        <w:numId w:val="10"/>
      </w:numPr>
    </w:pPr>
  </w:style>
  <w:style w:type="paragraph" w:customStyle="1" w:styleId="ListAlpha2">
    <w:name w:val="List Alpha 2"/>
    <w:basedOn w:val="List2"/>
    <w:rsid w:val="00D45419"/>
    <w:pPr>
      <w:numPr>
        <w:numId w:val="9"/>
      </w:numPr>
    </w:pPr>
  </w:style>
  <w:style w:type="paragraph" w:styleId="List2">
    <w:name w:val="List 2"/>
    <w:basedOn w:val="BodyText"/>
    <w:rsid w:val="00D45419"/>
    <w:pPr>
      <w:tabs>
        <w:tab w:val="left" w:pos="680"/>
      </w:tabs>
      <w:spacing w:before="60" w:after="60"/>
      <w:ind w:left="680" w:hanging="340"/>
    </w:pPr>
  </w:style>
  <w:style w:type="paragraph" w:styleId="List3">
    <w:name w:val="List 3"/>
    <w:basedOn w:val="BodyText"/>
    <w:rsid w:val="00D45419"/>
    <w:pPr>
      <w:tabs>
        <w:tab w:val="left" w:pos="1021"/>
      </w:tabs>
      <w:spacing w:before="60" w:after="60"/>
      <w:ind w:left="1020" w:hanging="340"/>
    </w:pPr>
  </w:style>
  <w:style w:type="paragraph" w:styleId="List4">
    <w:name w:val="List 4"/>
    <w:basedOn w:val="BodyText"/>
    <w:rsid w:val="00D45419"/>
    <w:pPr>
      <w:tabs>
        <w:tab w:val="left" w:pos="1361"/>
      </w:tabs>
      <w:spacing w:before="60" w:after="60"/>
      <w:ind w:left="1361" w:hanging="340"/>
    </w:pPr>
  </w:style>
  <w:style w:type="paragraph" w:styleId="List5">
    <w:name w:val="List 5"/>
    <w:basedOn w:val="BodyText"/>
    <w:rsid w:val="00D45419"/>
    <w:pPr>
      <w:tabs>
        <w:tab w:val="left" w:pos="1701"/>
      </w:tabs>
      <w:spacing w:before="60" w:after="60"/>
      <w:ind w:left="1701" w:hanging="340"/>
    </w:pPr>
  </w:style>
  <w:style w:type="paragraph" w:styleId="ListBullet4">
    <w:name w:val="List Bullet 4"/>
    <w:basedOn w:val="List4"/>
    <w:rsid w:val="00D45419"/>
    <w:pPr>
      <w:numPr>
        <w:numId w:val="4"/>
      </w:numPr>
    </w:pPr>
  </w:style>
  <w:style w:type="paragraph" w:styleId="ListBullet5">
    <w:name w:val="List Bullet 5"/>
    <w:basedOn w:val="List5"/>
    <w:rsid w:val="00D45419"/>
    <w:pPr>
      <w:numPr>
        <w:numId w:val="5"/>
      </w:numPr>
    </w:pPr>
  </w:style>
  <w:style w:type="paragraph" w:styleId="ListContinue2">
    <w:name w:val="List Continue 2"/>
    <w:basedOn w:val="List2"/>
    <w:rsid w:val="00D45419"/>
    <w:pPr>
      <w:ind w:firstLine="0"/>
    </w:pPr>
  </w:style>
  <w:style w:type="paragraph" w:styleId="ListContinue3">
    <w:name w:val="List Continue 3"/>
    <w:basedOn w:val="List3"/>
    <w:rsid w:val="00D45419"/>
    <w:pPr>
      <w:ind w:left="1021" w:firstLine="0"/>
    </w:pPr>
  </w:style>
  <w:style w:type="paragraph" w:styleId="ListContinue4">
    <w:name w:val="List Continue 4"/>
    <w:basedOn w:val="List4"/>
    <w:rsid w:val="00D45419"/>
    <w:pPr>
      <w:ind w:firstLine="0"/>
    </w:pPr>
  </w:style>
  <w:style w:type="paragraph" w:styleId="ListContinue5">
    <w:name w:val="List Continue 5"/>
    <w:basedOn w:val="List5"/>
    <w:rsid w:val="00D45419"/>
    <w:pPr>
      <w:ind w:firstLine="0"/>
    </w:pPr>
  </w:style>
  <w:style w:type="paragraph" w:styleId="ListNumber3">
    <w:name w:val="List Number 3"/>
    <w:basedOn w:val="List3"/>
    <w:rsid w:val="00D45419"/>
    <w:pPr>
      <w:numPr>
        <w:numId w:val="6"/>
      </w:numPr>
    </w:pPr>
  </w:style>
  <w:style w:type="paragraph" w:styleId="ListNumber4">
    <w:name w:val="List Number 4"/>
    <w:basedOn w:val="List4"/>
    <w:rsid w:val="00D45419"/>
    <w:pPr>
      <w:numPr>
        <w:numId w:val="7"/>
      </w:numPr>
    </w:pPr>
  </w:style>
  <w:style w:type="paragraph" w:styleId="ListNumber5">
    <w:name w:val="List Number 5"/>
    <w:basedOn w:val="List5"/>
    <w:rsid w:val="00D45419"/>
    <w:pPr>
      <w:numPr>
        <w:numId w:val="8"/>
      </w:numPr>
    </w:pPr>
  </w:style>
  <w:style w:type="paragraph" w:styleId="BlockText">
    <w:name w:val="Block Text"/>
    <w:basedOn w:val="Normal"/>
    <w:rsid w:val="00D45419"/>
    <w:pPr>
      <w:spacing w:after="120"/>
      <w:ind w:left="1440" w:right="1440"/>
    </w:pPr>
  </w:style>
  <w:style w:type="character" w:customStyle="1" w:styleId="Subscript">
    <w:name w:val="Subscript"/>
    <w:basedOn w:val="DefaultParagraphFont"/>
    <w:rsid w:val="00D45419"/>
    <w:rPr>
      <w:sz w:val="16"/>
      <w:vertAlign w:val="subscript"/>
    </w:rPr>
  </w:style>
  <w:style w:type="character" w:customStyle="1" w:styleId="Superscript">
    <w:name w:val="Superscript"/>
    <w:basedOn w:val="DefaultParagraphFont"/>
    <w:rsid w:val="00D45419"/>
    <w:rPr>
      <w:sz w:val="16"/>
      <w:vertAlign w:val="superscript"/>
    </w:rPr>
  </w:style>
  <w:style w:type="character" w:customStyle="1" w:styleId="Symbols">
    <w:name w:val="Symbols"/>
    <w:basedOn w:val="DefaultParagraphFont"/>
    <w:rsid w:val="00D45419"/>
    <w:rPr>
      <w:rFonts w:ascii="Symbol" w:hAnsi="Symbol"/>
    </w:rPr>
  </w:style>
  <w:style w:type="character" w:customStyle="1" w:styleId="MenuOptions">
    <w:name w:val="Menu Options"/>
    <w:basedOn w:val="DefaultParagraphFont"/>
    <w:rsid w:val="00D45419"/>
    <w:rPr>
      <w:rFonts w:ascii="Arial Narrow" w:hAnsi="Arial Narrow"/>
      <w:smallCaps/>
    </w:rPr>
  </w:style>
  <w:style w:type="character" w:customStyle="1" w:styleId="Buttons">
    <w:name w:val="Buttons"/>
    <w:basedOn w:val="DefaultParagraphFont"/>
    <w:rsid w:val="00D45419"/>
    <w:rPr>
      <w:b/>
    </w:rPr>
  </w:style>
  <w:style w:type="character" w:customStyle="1" w:styleId="Underlined">
    <w:name w:val="Underlined"/>
    <w:basedOn w:val="DefaultParagraphFont"/>
    <w:rsid w:val="00D45419"/>
    <w:rPr>
      <w:u w:val="single"/>
    </w:rPr>
  </w:style>
  <w:style w:type="paragraph" w:customStyle="1" w:styleId="TableBodyTextRight">
    <w:name w:val="Table Body Text Right"/>
    <w:basedOn w:val="TableBodyText"/>
    <w:rsid w:val="00D45419"/>
    <w:pPr>
      <w:widowControl w:val="0"/>
      <w:autoSpaceDE w:val="0"/>
      <w:autoSpaceDN w:val="0"/>
      <w:adjustRightInd w:val="0"/>
      <w:jc w:val="right"/>
    </w:pPr>
    <w:rPr>
      <w:rFonts w:cs="Arial"/>
      <w:szCs w:val="18"/>
    </w:rPr>
  </w:style>
  <w:style w:type="paragraph" w:customStyle="1" w:styleId="CopyrightText">
    <w:name w:val="Copyright Text"/>
    <w:basedOn w:val="BodyText"/>
    <w:rsid w:val="00D45419"/>
    <w:rPr>
      <w:sz w:val="18"/>
    </w:rPr>
  </w:style>
  <w:style w:type="paragraph" w:customStyle="1" w:styleId="BodySmallRight">
    <w:name w:val="Body Small Right"/>
    <w:basedOn w:val="BodyTextRight"/>
    <w:rsid w:val="00D45419"/>
    <w:rPr>
      <w:sz w:val="18"/>
      <w:szCs w:val="18"/>
    </w:rPr>
  </w:style>
  <w:style w:type="paragraph" w:customStyle="1" w:styleId="MarginEdition">
    <w:name w:val="Margin Edition"/>
    <w:basedOn w:val="MarginNote"/>
    <w:rsid w:val="00D45419"/>
    <w:pPr>
      <w:spacing w:before="0" w:after="0"/>
    </w:pPr>
    <w:rPr>
      <w:rFonts w:ascii="Times New Roman" w:hAnsi="Times New Roman"/>
      <w:color w:val="999999"/>
    </w:rPr>
  </w:style>
  <w:style w:type="paragraph" w:customStyle="1" w:styleId="Spacer">
    <w:name w:val="Spacer"/>
    <w:basedOn w:val="Normal"/>
    <w:rsid w:val="00D45419"/>
    <w:rPr>
      <w:sz w:val="2"/>
      <w:szCs w:val="2"/>
    </w:rPr>
  </w:style>
  <w:style w:type="character" w:customStyle="1" w:styleId="Small">
    <w:name w:val="Small"/>
    <w:basedOn w:val="DefaultParagraphFont"/>
    <w:rsid w:val="00D45419"/>
    <w:rPr>
      <w:sz w:val="16"/>
    </w:rPr>
  </w:style>
  <w:style w:type="paragraph" w:customStyle="1" w:styleId="WideTable">
    <w:name w:val="Wide Table"/>
    <w:basedOn w:val="Normal"/>
    <w:rsid w:val="00D45419"/>
    <w:pPr>
      <w:ind w:left="-1418"/>
    </w:pPr>
    <w:rPr>
      <w:sz w:val="2"/>
      <w:szCs w:val="2"/>
    </w:rPr>
  </w:style>
  <w:style w:type="character" w:styleId="PageNumber">
    <w:name w:val="page number"/>
    <w:basedOn w:val="DefaultParagraphFont"/>
    <w:rsid w:val="00D45419"/>
  </w:style>
  <w:style w:type="paragraph" w:styleId="Quote">
    <w:name w:val="Quote"/>
    <w:basedOn w:val="Heading1"/>
    <w:link w:val="QuoteChar"/>
    <w:qFormat/>
    <w:rsid w:val="00D45419"/>
    <w:rPr>
      <w:b w:val="0"/>
      <w:sz w:val="72"/>
      <w:szCs w:val="72"/>
      <w:lang w:val="en-NZ"/>
    </w:rPr>
  </w:style>
  <w:style w:type="character" w:customStyle="1" w:styleId="QuoteChar">
    <w:name w:val="Quote Char"/>
    <w:basedOn w:val="DefaultParagraphFont"/>
    <w:link w:val="Quote"/>
    <w:rsid w:val="00D45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419"/>
    <w:pPr>
      <w:pageBreakBefore/>
    </w:pPr>
  </w:style>
  <w:style w:type="paragraph" w:customStyle="1" w:styleId="Border">
    <w:name w:val="Border"/>
    <w:basedOn w:val="Normal"/>
    <w:qFormat/>
    <w:rsid w:val="00D45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419"/>
    <w:rPr>
      <w:b/>
      <w:bCs/>
      <w:i/>
      <w:iCs/>
      <w:color w:val="auto"/>
    </w:rPr>
  </w:style>
  <w:style w:type="paragraph" w:styleId="IntenseQuote">
    <w:name w:val="Intense Quote"/>
    <w:basedOn w:val="Normal"/>
    <w:next w:val="Normal"/>
    <w:link w:val="IntenseQuoteChar"/>
    <w:uiPriority w:val="30"/>
    <w:qFormat/>
    <w:rsid w:val="00D45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419"/>
    <w:rPr>
      <w:smallCaps/>
      <w:color w:val="auto"/>
      <w:u w:val="single"/>
    </w:rPr>
  </w:style>
  <w:style w:type="character" w:styleId="IntenseReference">
    <w:name w:val="Intense Reference"/>
    <w:basedOn w:val="DefaultParagraphFont"/>
    <w:uiPriority w:val="32"/>
    <w:qFormat/>
    <w:rsid w:val="00D45419"/>
    <w:rPr>
      <w:b/>
      <w:bCs/>
      <w:smallCaps/>
      <w:color w:val="auto"/>
      <w:spacing w:val="5"/>
      <w:u w:val="single"/>
    </w:rPr>
  </w:style>
  <w:style w:type="paragraph" w:customStyle="1" w:styleId="2ColumnHeading">
    <w:name w:val="2Column Heading"/>
    <w:basedOn w:val="BodyText"/>
    <w:qFormat/>
    <w:rsid w:val="00D45419"/>
    <w:pPr>
      <w:spacing w:after="60"/>
      <w:ind w:left="-2268"/>
    </w:pPr>
    <w:rPr>
      <w:b/>
    </w:rPr>
  </w:style>
  <w:style w:type="paragraph" w:customStyle="1" w:styleId="Heading1TOC">
    <w:name w:val="Heading1 TOC"/>
    <w:basedOn w:val="Normal"/>
    <w:qFormat/>
    <w:rsid w:val="00D45419"/>
    <w:pPr>
      <w:spacing w:before="240" w:after="120"/>
    </w:pPr>
    <w:rPr>
      <w:rFonts w:ascii="Times New Roman" w:hAnsi="Times New Roman"/>
      <w:b/>
      <w:sz w:val="32"/>
    </w:rPr>
  </w:style>
  <w:style w:type="paragraph" w:customStyle="1" w:styleId="Heading2TOC">
    <w:name w:val="Heading2 TOC"/>
    <w:basedOn w:val="Normal"/>
    <w:qFormat/>
    <w:rsid w:val="00D45419"/>
    <w:pPr>
      <w:spacing w:before="240" w:after="60"/>
    </w:pPr>
    <w:rPr>
      <w:rFonts w:ascii="Times New Roman" w:hAnsi="Times New Roman"/>
      <w:b/>
      <w:sz w:val="28"/>
    </w:rPr>
  </w:style>
  <w:style w:type="character" w:customStyle="1" w:styleId="Underline">
    <w:name w:val="Underline"/>
    <w:basedOn w:val="DefaultParagraphFont"/>
    <w:qFormat/>
    <w:rsid w:val="00D45419"/>
    <w:rPr>
      <w:u w:val="single"/>
    </w:rPr>
  </w:style>
  <w:style w:type="character" w:customStyle="1" w:styleId="BoldandItalics">
    <w:name w:val="Bold and Italics"/>
    <w:qFormat/>
    <w:rsid w:val="00D45419"/>
    <w:rPr>
      <w:b/>
      <w:i/>
      <w:u w:val="none"/>
    </w:rPr>
  </w:style>
  <w:style w:type="paragraph" w:styleId="BalloonText">
    <w:name w:val="Balloon Text"/>
    <w:basedOn w:val="Normal"/>
    <w:link w:val="BalloonTextChar"/>
    <w:rsid w:val="00D45419"/>
    <w:rPr>
      <w:rFonts w:ascii="Tahoma" w:hAnsi="Tahoma" w:cs="Tahoma"/>
      <w:sz w:val="16"/>
      <w:szCs w:val="16"/>
    </w:rPr>
  </w:style>
  <w:style w:type="character" w:customStyle="1" w:styleId="BalloonTextChar">
    <w:name w:val="Balloon Text Char"/>
    <w:basedOn w:val="DefaultParagraphFont"/>
    <w:link w:val="BalloonText"/>
    <w:rsid w:val="00D45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4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419"/>
    <w:rPr>
      <w:b/>
      <w:color w:val="660033"/>
      <w:spacing w:val="0"/>
    </w:rPr>
  </w:style>
  <w:style w:type="paragraph" w:customStyle="1" w:styleId="Nameditemlist">
    <w:name w:val="Named item list"/>
    <w:basedOn w:val="BodyText"/>
    <w:qFormat/>
    <w:rsid w:val="00D454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4459</Words>
  <Characters>29641</Characters>
  <Application>Microsoft Office Word</Application>
  <DocSecurity>0</DocSecurity>
  <Lines>941</Lines>
  <Paragraphs>390</Paragraphs>
  <ScaleCrop>false</ScaleCrop>
  <Company>Author-it Software Corporation Ltd.</Company>
  <LinksUpToDate>false</LinksUpToDate>
  <CharactersWithSpaces>33884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UETTDRSO37A Develop high voltage distribution and subtransmission switching programs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2012-10-01T03:44:00Z</dcterms:created>
  <dcterms:modified xsi:type="dcterms:W3CDTF">2012-10-01T03:44:00Z</dcterms:modified>
</cp:coreProperties>
</file>