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FF2" w:rsidP="00362FF2">
      <w:pPr>
        <w:pStyle w:val="Title"/>
      </w:pPr>
      <w:r>
        <w:fldChar w:fldCharType="begin"/>
      </w:r>
      <w:r>
        <w:instrText xml:space="preserve"> TITLE   \* MERGEFORMAT </w:instrText>
      </w:r>
      <w:r>
        <w:fldChar w:fldCharType="separate"/>
      </w:r>
      <w:r>
        <w:t>UETTDRSO34A Control power systems generating plant</w:t>
      </w:r>
      <w:r>
        <w:fldChar w:fldCharType="end"/>
      </w:r>
    </w:p>
    <w:p w:rsidR="00362FF2" w:rsidP="00362FF2">
      <w:pPr>
        <w:pStyle w:val="Version"/>
        <w:sectPr w:rsidSect="00236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A4C" w:rsidP="00236A4C">
      <w:pPr>
        <w:pStyle w:val="SuperHeading"/>
      </w:pPr>
      <w:r w:rsidRPr="00236A4C">
        <w:t>UETTDRSO34A Control power systems generating plant</w:t>
      </w:r>
    </w:p>
    <w:p w:rsidR="00000000" w:rsidRPr="00236A4C" w:rsidP="00236A4C">
      <w:pPr>
        <w:pStyle w:val="Heading1"/>
      </w:pPr>
      <w:bookmarkStart w:id="1" w:name="O_464949"/>
      <w:bookmarkEnd w:id="1"/>
      <w:r w:rsidRPr="00236A4C">
        <w:t>Modification History</w:t>
      </w:r>
    </w:p>
    <w:p w:rsidR="00000000" w:rsidRPr="00236A4C" w:rsidP="00236A4C">
      <w:pPr>
        <w:pStyle w:val="BodyText"/>
      </w:pPr>
      <w:r w:rsidRPr="00236A4C">
        <w:t>Not applicable.</w:t>
      </w:r>
    </w:p>
    <w:p w:rsidR="00000000" w:rsidRPr="00236A4C" w:rsidP="00236A4C">
      <w:pPr>
        <w:pStyle w:val="AllowPageBreak"/>
      </w:pPr>
    </w:p>
    <w:p w:rsidR="00000000" w:rsidRPr="00236A4C" w:rsidP="00236A4C">
      <w:pPr>
        <w:pStyle w:val="Heading1"/>
      </w:pPr>
      <w:bookmarkStart w:id="2" w:name="O_464947"/>
      <w:bookmarkEnd w:id="2"/>
      <w:r w:rsidRPr="00236A4C">
        <w:t>Unit Descriptor</w:t>
      </w:r>
    </w:p>
    <w:tbl>
      <w:tblPr>
        <w:tblW w:w="0" w:type="auto"/>
        <w:tblLayout w:type="fixed"/>
        <w:tblCellMar>
          <w:left w:w="62" w:type="dxa"/>
          <w:right w:w="62" w:type="dxa"/>
        </w:tblCellMar>
        <w:tblLook w:val="0000"/>
      </w:tblPr>
      <w:tblGrid>
        <w:gridCol w:w="2700"/>
        <w:gridCol w:w="5760"/>
      </w:tblGrid>
      <w:tr w:rsidTr="00362F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1)</w:t>
            </w:r>
            <w:r w:rsidRPr="00236A4C">
              <w:t xml:space="preserve"> </w:t>
            </w:r>
            <w:r w:rsidRPr="00236A4C">
              <w:rPr>
                <w:rStyle w:val="SpecialBold"/>
              </w:rPr>
              <w:t>Scope:</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6A4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1.1) Descriptor</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 xml:space="preserve">This Competency Standard Unit covers the control of the generation side of a generation plants. It includes the assessment, evaluation and achievement of the synchronization requirements to ensure machine and or system stability during synchronisation. It </w:t>
            </w:r>
            <w:r w:rsidRPr="00236A4C">
              <w:t>also includes the control of the generation of electrical energy, the coordination of the generation control and the monitoring of the system/plant. It also encompasses the analysis of the system/plant faults, the updating of the relevant documentation and</w:t>
            </w:r>
            <w:r w:rsidRPr="00236A4C">
              <w:t xml:space="preserve"> the reporting of plant problems, movements, abnormalities and status in accordance with enterprise/site procedures.</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3" w:name="O_464936"/>
      <w:bookmarkEnd w:id="3"/>
      <w:r w:rsidRPr="00236A4C">
        <w:t>Application of the Unit</w:t>
      </w:r>
    </w:p>
    <w:tbl>
      <w:tblPr>
        <w:tblW w:w="0" w:type="auto"/>
        <w:tblLayout w:type="fixed"/>
        <w:tblCellMar>
          <w:left w:w="62" w:type="dxa"/>
          <w:right w:w="62" w:type="dxa"/>
        </w:tblCellMar>
        <w:tblLook w:val="0000"/>
      </w:tblPr>
      <w:tblGrid>
        <w:gridCol w:w="2672"/>
        <w:gridCol w:w="5699"/>
      </w:tblGrid>
      <w:tr w:rsidTr="00362F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2)</w:t>
            </w:r>
          </w:p>
        </w:tc>
      </w:tr>
      <w:tr w:rsidTr="00362F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This Competency Standard Unit is intended to augment formally acquired competencies. It is suitable for employment-based programs under an approved contract of training.</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4" w:name="O_464943"/>
      <w:bookmarkEnd w:id="4"/>
      <w:r w:rsidRPr="00236A4C">
        <w:t>Licensing/Regulatory Information</w:t>
      </w:r>
    </w:p>
    <w:tbl>
      <w:tblPr>
        <w:tblW w:w="0" w:type="auto"/>
        <w:tblLayout w:type="fixed"/>
        <w:tblCellMar>
          <w:left w:w="62" w:type="dxa"/>
          <w:right w:w="62" w:type="dxa"/>
        </w:tblCellMar>
        <w:tblLook w:val="0000"/>
      </w:tblPr>
      <w:tblGrid>
        <w:gridCol w:w="2700"/>
        <w:gridCol w:w="5760"/>
      </w:tblGrid>
      <w:tr w:rsidTr="00362FF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 xml:space="preserve">3) </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The skil</w:t>
            </w:r>
            <w:r w:rsidRPr="00236A4C">
              <w:t xml:space="preserve">ls and knowledge described in this unit may require a licence/registration to practice in the work place subject to regulations for undertaking of electrical work. </w:t>
            </w:r>
            <w:r w:rsidRPr="00236A4C">
              <w:t>Practice in workplace and during training is also subject to regulations directly related to</w:t>
            </w:r>
            <w:r w:rsidRPr="00236A4C">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236A4C">
              <w:t>gulations may exist that limits the age of operating certain equipment.</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5" w:name="O_464944"/>
      <w:bookmarkEnd w:id="5"/>
      <w:r w:rsidRPr="00236A4C">
        <w:t>Pre-Requisites</w:t>
      </w:r>
    </w:p>
    <w:tbl>
      <w:tblPr>
        <w:tblW w:w="0" w:type="auto"/>
        <w:tblLayout w:type="fixed"/>
        <w:tblCellMar>
          <w:left w:w="62" w:type="dxa"/>
          <w:right w:w="62" w:type="dxa"/>
        </w:tblCellMar>
        <w:tblLook w:val="0000"/>
      </w:tblPr>
      <w:tblGrid>
        <w:gridCol w:w="2700"/>
        <w:gridCol w:w="10"/>
        <w:gridCol w:w="1970"/>
        <w:gridCol w:w="3780"/>
      </w:tblGrid>
      <w:tr w:rsidTr="00362F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 xml:space="preserve">4) </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4.1)</w:t>
            </w:r>
          </w:p>
        </w:tc>
      </w:tr>
      <w:tr w:rsidTr="00362FF2">
        <w:tblPrEx>
          <w:tblW w:w="0" w:type="auto"/>
          <w:tblLayout w:type="fixed"/>
          <w:tblCellMar>
            <w:left w:w="62" w:type="dxa"/>
            <w:right w:w="62" w:type="dxa"/>
          </w:tblCellMar>
          <w:tblLook w:val="0000"/>
        </w:tblPrEx>
        <w:tc>
          <w:tcPr>
            <w:tcW w:w="2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50" w:type="dxa"/>
            <w:gridSpan w:val="2"/>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Granting of competency in this unit shall be made only after competency in the following unit(s) has/have been confirmed.</w:t>
            </w:r>
          </w:p>
          <w:p w:rsidR="00000000" w:rsidRPr="00236A4C" w:rsidP="00236A4C">
            <w:pPr>
              <w:pStyle w:val="BodyText"/>
            </w:pPr>
            <w:r w:rsidRPr="00236A4C">
              <w:t xml:space="preserve">Where pre-requisite pathways have been identified. All competencies in the Common Unit Group must be have been completed plus all the </w:t>
            </w:r>
            <w:r w:rsidRPr="00236A4C">
              <w:t>competencies in one (1) of the identified Pathway Unit Group(s):</w:t>
            </w:r>
          </w:p>
          <w:p w:rsidR="00000000" w:rsidP="00236A4C">
            <w:pPr>
              <w:pStyle w:val="BodyText"/>
              <w:rPr>
                <w:lang w:val="en-NZ"/>
              </w:rPr>
            </w:pPr>
            <w:r w:rsidRPr="00236A4C">
              <w:t>Common Unit Group</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Unit Code</w:t>
            </w:r>
            <w:r w:rsidRPr="00236A4C">
              <w:tab/>
            </w:r>
          </w:p>
        </w:tc>
        <w:tc>
          <w:tcPr>
            <w:tcW w:w="3780" w:type="dxa"/>
            <w:tcBorders>
              <w:top w:val="nil"/>
              <w:left w:val="nil"/>
              <w:bottom w:val="nil"/>
              <w:right w:val="nil"/>
            </w:tcBorders>
            <w:tcMar>
              <w:top w:w="0" w:type="dxa"/>
              <w:left w:w="62" w:type="dxa"/>
              <w:bottom w:w="0" w:type="dxa"/>
              <w:right w:w="62" w:type="dxa"/>
            </w:tcMar>
            <w:vAlign w:val="bottom"/>
          </w:tcPr>
          <w:p w:rsidR="00000000" w:rsidP="00236A4C">
            <w:pPr>
              <w:pStyle w:val="BodyText"/>
              <w:rPr>
                <w:lang w:val="en-NZ"/>
              </w:rPr>
            </w:pPr>
            <w:r w:rsidRPr="00236A4C">
              <w:t>Unit Title</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236A4C">
            <w:pPr>
              <w:pStyle w:val="BodyText"/>
              <w:rPr>
                <w:lang w:val="en-NZ"/>
              </w:rPr>
            </w:pPr>
            <w:r w:rsidRPr="00236A4C">
              <w:t>Use engineering applications software on personal computers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Apply Occupational Health and Safety regulations, codes and practices in the workplace</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Fabricate, assemble and dismantle utilities industry components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Solve problems in d.c. Circuits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Use drawings, diagrams, schedules, standards, codes and specifications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UEENEEE124A</w:t>
            </w:r>
          </w:p>
        </w:tc>
        <w:tc>
          <w:tcPr>
            <w:tcW w:w="378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Compile and produce an energy sector detailed report</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Provide engineering solutions for problems in complex multiple path circuits problems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Prov</w:t>
            </w:r>
            <w:r w:rsidRPr="00236A4C">
              <w:t>ide solutions to basic engineering computational problems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Solve problems in electromagnetic devices and related circuits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Solve problems in electromagnetic devices and related circuits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Provide engineering solutions to problems in complex polyphase power circuits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Apply sustainable energy and environmental procedures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 xml:space="preserve">Working safely near live electrical apparatus </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Implement and monitor the power sys</w:t>
            </w:r>
            <w:r w:rsidRPr="00236A4C">
              <w:t>tem organisational OHS policies, procedures and programs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Implement and monitor the power system environmental and sustainable energy management policies and procedures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UETTDRSO48A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Respond to discrete and interdependent protection operations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UETTDRSO49A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Coordinate power system operations in a regulated energy market</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Distribution and Subtransmission Pathway Unit Group</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Develop high voltage distribution and subtransmission switching programs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UETTDRSO40A</w:t>
            </w:r>
          </w:p>
        </w:tc>
        <w:tc>
          <w:tcPr>
            <w:tcW w:w="378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Coordinate high voltage distribution and subtransmission networks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vAlign w:val="center"/>
          </w:tcPr>
          <w:p w:rsidR="00000000" w:rsidP="00236A4C">
            <w:pPr>
              <w:pStyle w:val="BodyText"/>
              <w:rPr>
                <w:lang w:val="en-NZ"/>
              </w:rPr>
            </w:pPr>
            <w:r w:rsidRPr="00236A4C">
              <w:t>Transmission Pathway Unit Group</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UETTDRSO38A</w:t>
            </w:r>
          </w:p>
        </w:tc>
        <w:tc>
          <w:tcPr>
            <w:tcW w:w="378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Develop and evaluate power systems transmission switching programs</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UETTDRSO47A</w:t>
            </w:r>
          </w:p>
        </w:tc>
        <w:tc>
          <w:tcPr>
            <w:tcW w:w="378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Coordinate high voltage transmission network</w:t>
            </w:r>
          </w:p>
        </w:tc>
      </w:tr>
    </w:tbl>
    <w:p w:rsidR="00000000" w:rsidRPr="00236A4C" w:rsidP="00236A4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62FF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 xml:space="preserve">4.2) </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Participants are best equipped to achieve this unit if they have reading, writing and numeracy skills indicated by the following scales. Description of each scale is given in Volume 2, Part 3 “Literacy and Numeracy</w:t>
            </w:r>
            <w:r w:rsidRPr="00236A4C">
              <w:t>”</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Reading</w:t>
            </w:r>
          </w:p>
        </w:tc>
        <w:tc>
          <w:tcPr>
            <w:tcW w:w="81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5</w:t>
            </w:r>
          </w:p>
        </w:tc>
        <w:tc>
          <w:tcPr>
            <w:tcW w:w="99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Writing</w:t>
            </w:r>
          </w:p>
        </w:tc>
        <w:tc>
          <w:tcPr>
            <w:tcW w:w="90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5</w:t>
            </w:r>
          </w:p>
        </w:tc>
        <w:tc>
          <w:tcPr>
            <w:tcW w:w="12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Numeracy</w:t>
            </w:r>
          </w:p>
        </w:tc>
        <w:tc>
          <w:tcPr>
            <w:tcW w:w="72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5</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6" w:name="O_464940"/>
      <w:bookmarkEnd w:id="6"/>
      <w:r w:rsidRPr="00236A4C">
        <w:t>Employability Skills Information</w:t>
      </w:r>
    </w:p>
    <w:tbl>
      <w:tblPr>
        <w:tblW w:w="0" w:type="auto"/>
        <w:tblLayout w:type="fixed"/>
        <w:tblCellMar>
          <w:left w:w="62" w:type="dxa"/>
          <w:right w:w="62" w:type="dxa"/>
        </w:tblCellMar>
        <w:tblLook w:val="0000"/>
      </w:tblPr>
      <w:tblGrid>
        <w:gridCol w:w="2700"/>
        <w:gridCol w:w="5760"/>
      </w:tblGrid>
      <w:tr w:rsidTr="00362F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 xml:space="preserve">5) </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36A4C">
              <w:t>requirements.</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7" w:name="O_464939"/>
      <w:bookmarkEnd w:id="7"/>
      <w:r w:rsidRPr="00236A4C">
        <w:t>Elements and Performance Criteria Pre-Content</w:t>
      </w:r>
    </w:p>
    <w:tbl>
      <w:tblPr>
        <w:tblW w:w="0" w:type="auto"/>
        <w:tblLayout w:type="fixed"/>
        <w:tblCellMar>
          <w:left w:w="62" w:type="dxa"/>
          <w:right w:w="62" w:type="dxa"/>
        </w:tblCellMar>
        <w:tblLook w:val="0000"/>
      </w:tblPr>
      <w:tblGrid>
        <w:gridCol w:w="2700"/>
        <w:gridCol w:w="5760"/>
      </w:tblGrid>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6)</w:t>
            </w:r>
            <w:r w:rsidRPr="00236A4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Performance Criteria describe the required performance needed to demonstrate achievement of the element. Assessment of performance is to be consistent with the Evidence Guide.</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8" w:name="O_464938"/>
      <w:bookmarkEnd w:id="8"/>
      <w:r w:rsidRPr="00236A4C">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362F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PERFORMANCE CRITER</w:t>
            </w:r>
            <w:r w:rsidRPr="00236A4C">
              <w:rPr>
                <w:rStyle w:val="SpecialBold"/>
              </w:rPr>
              <w:t>IA</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w:t>
            </w:r>
          </w:p>
        </w:tc>
        <w:tc>
          <w:tcPr>
            <w:tcW w:w="2292"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Plan for the control of a generation plant</w:t>
            </w: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1.1</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OHS practices/procedures and environmental and sustainable energy procedures, which may influence the control of the generating plant, are reviewed and determined.</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1.2</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Purpose of the control is established after data is analysed and expected outcomes of the work are confirmed with the appropriate personnel.</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1.3</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Organisational established procedures on policies and specifications for the control of the generating plant</w:t>
            </w:r>
            <w:r w:rsidRPr="00236A4C">
              <w:t xml:space="preserve"> are obtained or established with the appropriate personnel.</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1.4</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Testing procedures are discussed with/directed to the appropriate personnel in order to ascertain the project brief.</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1.5</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Testing parameters are established from organisational established procedures on policies and specifications.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1.6</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Equipment/tools and personal protective equipment are selected based on specified Performance Criteria and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1.7</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W</w:t>
            </w:r>
            <w:r w:rsidRPr="00236A4C">
              <w:t>ork roles and tasks are allocated according to requirements and individuals’ competencies.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1.8</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 xml:space="preserve">Work is prioritised and sequenced for the most efficient/effective outcome, completed within an acceptable timeframe to a quality standard </w:t>
            </w:r>
            <w:r w:rsidRPr="00236A4C">
              <w:t>and in accordance with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1.9</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Liaison and communication issues with other/authorised personnel, authorities, clients and land owners are resolved and activities coordinated to carry out work.</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1.10</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Risk control measures are identi</w:t>
            </w:r>
            <w:r w:rsidRPr="00236A4C">
              <w:t>fied, prioritised and evaluated against the work schedule.</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1.11</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Relevant work permits are secured to coordinate the performance of work according to requirements and/or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w:t>
            </w:r>
          </w:p>
        </w:tc>
        <w:tc>
          <w:tcPr>
            <w:tcW w:w="2292"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Carry out the control of a generation plant</w:t>
            </w: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2.1</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Circuit/systems modelling is used to evaluate alternative proposals as per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2.2</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OHS and sustainable energy principles, functionality and practices to reduce the incidents of accidents and minimise waste are incorporated into the p</w:t>
            </w:r>
            <w:r w:rsidRPr="00236A4C">
              <w:t>roject in accordance with requirements and/or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2.3</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Decisions for the control of the generating plant are made on the basis of safety and effective outcomes according to requirements and/or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2.4</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Mathematic</w:t>
            </w:r>
            <w:r w:rsidRPr="00236A4C">
              <w:t>al and/or engineering models of the control procedures are used to analyse the effectiveness of the finished project as per requirements and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2.5</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Technical advice is given regarding potential hazards, safety risks and control meas</w:t>
            </w:r>
            <w:r w:rsidRPr="00236A4C">
              <w:t>ures so that monitoring and preventative action can be undertaken and/or appropriate authorities consulted, where necessary, in accordance with requirements and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2.6</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Essential knowledge and associated skills are applied to analyse specific data and compare it with compliance specifications to ensure completion of the project within an agreed timeframe according to requirements.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2.7</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Testing of control procedures is u</w:t>
            </w:r>
            <w:r w:rsidRPr="00236A4C">
              <w:t>ndertaken according to requirements and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2.8</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Work teams/groups are arranged/coordinated/evaluated to ensure planned goals are met according to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2.9</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Solutions to non-routine problems are identified and act</w:t>
            </w:r>
            <w:r w:rsidRPr="00236A4C">
              <w:t>ioned, using acquired essential knowledge and associated skills, according to requirements.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2.10</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Quality of work is monitored against personal performance agreement and/or established organisational and professional standards.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2.11</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Strategic plans are developed incorporating organisation initiatives as per established procedures.</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3</w:t>
            </w:r>
          </w:p>
        </w:tc>
        <w:tc>
          <w:tcPr>
            <w:tcW w:w="2292"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Complete the control of a generation plant</w:t>
            </w: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3.1</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Final review of the control procedures of the generating plant are undertaken to ensure they comply with a</w:t>
            </w:r>
            <w:r w:rsidRPr="00236A4C">
              <w:t>ll requirements and include all specifications and documentations needed to complete the project.</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3.2</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Appropriate personnel are notified of completion and reports and/or completion documents are finalised/commissioned.</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3.3</w:t>
            </w:r>
          </w:p>
        </w:tc>
        <w:tc>
          <w:tcPr>
            <w:tcW w:w="4909"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Reports and/or completion d</w:t>
            </w:r>
            <w:r w:rsidRPr="00236A4C">
              <w:t>ocuments are submitted to relevant personnel/organisations for approval and, where applicable, statutory or regulatory approval.</w:t>
            </w:r>
          </w:p>
        </w:tc>
      </w:tr>
      <w:tr w:rsidTr="00362FF2">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t>3.4</w:t>
            </w:r>
          </w:p>
        </w:tc>
        <w:tc>
          <w:tcPr>
            <w:tcW w:w="4909"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Approved copies of the documents are issued and records are updated in accordance with established procedures.</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9" w:name="O_464946"/>
      <w:bookmarkEnd w:id="9"/>
      <w:r w:rsidRPr="00236A4C">
        <w:t>Required Skills and Knowledge</w:t>
      </w:r>
    </w:p>
    <w:tbl>
      <w:tblPr>
        <w:tblW w:w="0" w:type="auto"/>
        <w:tblLayout w:type="fixed"/>
        <w:tblCellMar>
          <w:left w:w="62" w:type="dxa"/>
          <w:right w:w="62" w:type="dxa"/>
        </w:tblCellMar>
        <w:tblLook w:val="0000"/>
      </w:tblPr>
      <w:tblGrid>
        <w:gridCol w:w="8460"/>
      </w:tblGrid>
      <w:tr w:rsidTr="00362F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REQUIRED SKILLS AND KNOWLEDGE</w:t>
            </w:r>
          </w:p>
        </w:tc>
      </w:tr>
      <w:tr w:rsidTr="00362FF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8)</w:t>
            </w:r>
            <w:r w:rsidRPr="00236A4C">
              <w:t xml:space="preserve"> Essential Knowledge and Associated Skills (EKAS): This describes the essential skills and knowledge and their level, required for this unit.</w:t>
            </w:r>
          </w:p>
          <w:p w:rsidR="00000000" w:rsidRPr="00236A4C" w:rsidP="00236A4C">
            <w:pPr>
              <w:pStyle w:val="BodyText"/>
            </w:pPr>
            <w:r w:rsidRPr="00236A4C">
              <w:t xml:space="preserve">Evidence shall show that knowledge </w:t>
            </w:r>
            <w:r w:rsidRPr="00236A4C">
              <w:t xml:space="preserve">has been acquired of controlling generating plant. </w:t>
            </w:r>
          </w:p>
          <w:p w:rsidR="00000000" w:rsidRPr="00236A4C" w:rsidP="00236A4C">
            <w:pPr>
              <w:pStyle w:val="BodyText"/>
            </w:pPr>
            <w:r w:rsidRPr="00236A4C">
              <w:t>All knowledge and skills detailed in this unit should be contextualised to current industry practices and technologies.</w:t>
            </w:r>
          </w:p>
          <w:p w:rsidR="00000000" w:rsidRPr="00236A4C" w:rsidP="00236A4C">
            <w:pPr>
              <w:pStyle w:val="BodyText"/>
            </w:pPr>
            <w:r w:rsidRPr="00236A4C">
              <w:t>KS01-TSO34A</w:t>
            </w:r>
            <w:r w:rsidRPr="00236A4C">
              <w:tab/>
              <w:t>Power systems generating plant control</w:t>
            </w:r>
          </w:p>
          <w:p w:rsidR="00000000" w:rsidRPr="00236A4C" w:rsidP="00236A4C">
            <w:pPr>
              <w:pStyle w:val="BodyText"/>
            </w:pPr>
            <w:r w:rsidRPr="00236A4C">
              <w:t>Evidence shall show an understanding of power systems generating plant control to an extent indicated by the following aspects:</w:t>
            </w:r>
          </w:p>
          <w:p w:rsidR="00000000" w:rsidRPr="00236A4C" w:rsidP="00236A4C">
            <w:pPr>
              <w:pStyle w:val="BodyText"/>
            </w:pPr>
            <w:r w:rsidRPr="00236A4C">
              <w:t>T1</w:t>
            </w:r>
            <w:r w:rsidRPr="00236A4C">
              <w:tab/>
              <w:t>Enterprise specific procedures and work practices relating to generating plant encompassing:</w:t>
            </w:r>
          </w:p>
          <w:p w:rsidR="00000000" w:rsidRPr="00236A4C" w:rsidP="00236A4C">
            <w:pPr>
              <w:pStyle w:val="ListBullet"/>
            </w:pPr>
            <w:r w:rsidRPr="00236A4C">
              <w:t>Commonwealth, State/Territory a</w:t>
            </w:r>
            <w:r w:rsidRPr="00236A4C">
              <w:t>nd local government legislation, Standards, codes, supply authority regulations and or enterprise requirements applicable to the procedures and work practices relating to generating plant</w:t>
            </w:r>
          </w:p>
          <w:p w:rsidR="00000000" w:rsidRPr="00236A4C" w:rsidP="00236A4C">
            <w:pPr>
              <w:pStyle w:val="ListBullet"/>
            </w:pPr>
            <w:r w:rsidRPr="00236A4C">
              <w:t>Requirements for the use of operational manuals, system diagrams/pla</w:t>
            </w:r>
            <w:r w:rsidRPr="00236A4C">
              <w:t>ns and drawings</w:t>
            </w:r>
          </w:p>
          <w:p w:rsidR="00000000" w:rsidRPr="00236A4C" w:rsidP="00236A4C">
            <w:pPr>
              <w:pStyle w:val="ListBullet"/>
            </w:pPr>
            <w:r w:rsidRPr="00236A4C">
              <w:t>Identify and interpret enterprise operating procedures</w:t>
            </w:r>
          </w:p>
          <w:p w:rsidR="00000000" w:rsidRPr="00236A4C" w:rsidP="00236A4C">
            <w:pPr>
              <w:pStyle w:val="ListBullet"/>
            </w:pPr>
            <w:r w:rsidRPr="00236A4C">
              <w:t>Techniques in the applying enterprise operating procedures.</w:t>
            </w:r>
          </w:p>
          <w:p w:rsidR="00000000" w:rsidRPr="00236A4C" w:rsidP="00236A4C">
            <w:pPr>
              <w:pStyle w:val="BodyText"/>
            </w:pPr>
            <w:r w:rsidRPr="00236A4C">
              <w:t>T2</w:t>
            </w:r>
            <w:r w:rsidRPr="00236A4C">
              <w:tab/>
              <w:t>Voltage control techniques encompassing:</w:t>
            </w:r>
          </w:p>
          <w:p w:rsidR="00000000" w:rsidRPr="00236A4C" w:rsidP="00236A4C">
            <w:pPr>
              <w:pStyle w:val="ListBullet"/>
            </w:pPr>
            <w:r w:rsidRPr="00236A4C">
              <w:t>Conditions leading to voltage collapse</w:t>
            </w:r>
          </w:p>
          <w:p w:rsidR="00000000" w:rsidRPr="00236A4C" w:rsidP="00236A4C">
            <w:pPr>
              <w:pStyle w:val="ListBullet"/>
            </w:pPr>
            <w:r w:rsidRPr="00236A4C">
              <w:t>Effects on system of high and low voltage</w:t>
            </w:r>
          </w:p>
          <w:p w:rsidR="00000000" w:rsidRPr="00236A4C" w:rsidP="00236A4C">
            <w:pPr>
              <w:pStyle w:val="ListBullet"/>
            </w:pPr>
            <w:r w:rsidRPr="00236A4C">
              <w:t>Voltage control devices - voltage regulators applied to generators and synchronous phase modifiers, electromagnetic voltage regulators, series and parallel capacitors, OLTC transformers and static VAR compensators (SVC’s). SVC’s includes saturated reactor</w:t>
            </w:r>
            <w:r w:rsidRPr="00236A4C">
              <w:t xml:space="preserve"> compensators; thyristor controlled reactor compensators and combined systems</w:t>
            </w:r>
          </w:p>
          <w:p w:rsidR="00000000" w:rsidRPr="00236A4C" w:rsidP="00236A4C">
            <w:pPr>
              <w:pStyle w:val="ListBullet"/>
            </w:pPr>
            <w:r w:rsidRPr="00236A4C">
              <w:t>Production of harmonics and methods of harmonic control</w:t>
            </w:r>
          </w:p>
          <w:p w:rsidR="00000000" w:rsidRPr="00236A4C" w:rsidP="00236A4C">
            <w:pPr>
              <w:pStyle w:val="ListBullet"/>
            </w:pPr>
            <w:r w:rsidRPr="00236A4C">
              <w:t>Location of voltage control devices within the system.</w:t>
            </w:r>
          </w:p>
          <w:p w:rsidR="00000000" w:rsidRPr="00236A4C" w:rsidP="00236A4C">
            <w:pPr>
              <w:pStyle w:val="BodyText"/>
            </w:pPr>
            <w:r w:rsidRPr="00236A4C">
              <w:t>T3</w:t>
            </w:r>
            <w:r w:rsidRPr="00236A4C">
              <w:tab/>
              <w:t>Power flow control encompassing:</w:t>
            </w:r>
          </w:p>
          <w:p w:rsidR="00000000" w:rsidRPr="00236A4C" w:rsidP="00236A4C">
            <w:pPr>
              <w:pStyle w:val="ListBullet"/>
            </w:pPr>
            <w:r w:rsidRPr="00236A4C">
              <w:t>Use of system components to co</w:t>
            </w:r>
            <w:r w:rsidRPr="00236A4C">
              <w:t>ntrol power flow patterns - base load, spinning reserve, regulating machines, rapid start plant, phase shifting transformers and load shedding</w:t>
            </w:r>
          </w:p>
          <w:p w:rsidR="00000000" w:rsidRPr="00236A4C" w:rsidP="00236A4C">
            <w:pPr>
              <w:pStyle w:val="ListBullet"/>
            </w:pPr>
            <w:r w:rsidRPr="00236A4C">
              <w:t>Principles of automated control</w:t>
            </w:r>
          </w:p>
          <w:p w:rsidR="00000000" w:rsidRPr="00236A4C" w:rsidP="00236A4C">
            <w:pPr>
              <w:pStyle w:val="ListBullet"/>
            </w:pPr>
            <w:r w:rsidRPr="00236A4C">
              <w:t>Synchronising power</w:t>
            </w:r>
          </w:p>
          <w:p w:rsidR="00000000" w:rsidRPr="00236A4C" w:rsidP="00236A4C">
            <w:pPr>
              <w:pStyle w:val="ListBullet"/>
            </w:pPr>
            <w:r w:rsidRPr="00236A4C">
              <w:t>Relationship of power and frequency</w:t>
            </w:r>
          </w:p>
          <w:p w:rsidR="00000000" w:rsidRPr="00236A4C" w:rsidP="00236A4C">
            <w:pPr>
              <w:pStyle w:val="ListBullet"/>
            </w:pPr>
            <w:r w:rsidRPr="00236A4C">
              <w:t>Machine stabilisation tec</w:t>
            </w:r>
            <w:r w:rsidRPr="00236A4C">
              <w:t>hniques</w:t>
            </w:r>
          </w:p>
          <w:p w:rsidR="00000000" w:rsidRPr="00236A4C" w:rsidP="00236A4C">
            <w:pPr>
              <w:pStyle w:val="ListBullet"/>
            </w:pPr>
            <w:r w:rsidRPr="00236A4C">
              <w:t>System oscillations and stability - damped and undamped oscillation, relationship of fault clearance times and system stability, critical clearance times.</w:t>
            </w:r>
          </w:p>
          <w:p w:rsidR="00000000" w:rsidRPr="00236A4C" w:rsidP="00236A4C">
            <w:pPr>
              <w:pStyle w:val="BodyText"/>
            </w:pPr>
            <w:r w:rsidRPr="00236A4C">
              <w:t>T4</w:t>
            </w:r>
            <w:r w:rsidRPr="00236A4C">
              <w:tab/>
              <w:t>Alternators operation and control encompassing:</w:t>
            </w:r>
          </w:p>
          <w:p w:rsidR="00000000" w:rsidRPr="00236A4C" w:rsidP="00236A4C">
            <w:pPr>
              <w:pStyle w:val="ListBullet"/>
            </w:pPr>
            <w:r w:rsidRPr="00236A4C">
              <w:t>Constructional features of alternators - weights, lengths, lengths, cooling mediums, cooling systems, prime mover types, prime mover attachment, types of windings, core arrangements</w:t>
            </w:r>
          </w:p>
          <w:p w:rsidR="00000000" w:rsidRPr="00236A4C" w:rsidP="00236A4C">
            <w:pPr>
              <w:pStyle w:val="ListBullet"/>
            </w:pPr>
            <w:r w:rsidRPr="00236A4C">
              <w:t>Principle of operation - induction machines, synchronous machines</w:t>
            </w:r>
          </w:p>
          <w:p w:rsidR="00000000" w:rsidRPr="00236A4C" w:rsidP="00236A4C">
            <w:pPr>
              <w:pStyle w:val="ListBullet"/>
            </w:pPr>
            <w:r w:rsidRPr="00236A4C">
              <w:t>Modes of</w:t>
            </w:r>
            <w:r w:rsidRPr="00236A4C">
              <w:t xml:space="preserve"> operation - island and infinite bus operation, running up of prime movers, loading the alternator, requirements for synchronising, methods of synchronising</w:t>
            </w:r>
          </w:p>
          <w:p w:rsidR="00000000" w:rsidRPr="00236A4C" w:rsidP="00236A4C">
            <w:pPr>
              <w:pStyle w:val="ListBullet"/>
            </w:pPr>
            <w:r w:rsidRPr="00236A4C">
              <w:t>Use of reactive capability diagram - related diagram types, current circle diagram, performance cha</w:t>
            </w:r>
            <w:r w:rsidRPr="00236A4C">
              <w:t>rt, capability diagram, values represented, per unit representation, limits representation and meaning</w:t>
            </w:r>
          </w:p>
          <w:p w:rsidR="00000000" w:rsidRPr="00236A4C" w:rsidP="00236A4C">
            <w:pPr>
              <w:pStyle w:val="ListBullet"/>
            </w:pPr>
            <w:r w:rsidRPr="00236A4C">
              <w:t>Automatic voltage regulators - need for voltage control, required attributes of an AVR, range, response time, constraints on AVR capability, desirable at</w:t>
            </w:r>
            <w:r w:rsidRPr="00236A4C">
              <w:t>tributes of an AVR, power consumption, compensation, rotor stabilisation, automatic changeover systems, input and output requirements and components</w:t>
            </w:r>
          </w:p>
          <w:p w:rsidR="00000000" w:rsidRPr="00236A4C" w:rsidP="00236A4C">
            <w:pPr>
              <w:pStyle w:val="ListBullet"/>
            </w:pPr>
            <w:r w:rsidRPr="00236A4C">
              <w:t>Operation on an infinite bus - definition of infinite bus, power/angle dependence, reactive flow/voltage de</w:t>
            </w:r>
            <w:r w:rsidRPr="00236A4C">
              <w:t>pendence, power/angle diagram, effect of saliency, transient conditions, practical and theoretical stability limits, voltage dependence of stability, control of reactive flow using AVR and generator transformer tap changer.</w:t>
            </w:r>
          </w:p>
          <w:p w:rsidR="00000000" w:rsidRPr="00236A4C" w:rsidP="00236A4C">
            <w:pPr>
              <w:pStyle w:val="BodyText"/>
            </w:pPr>
            <w:r w:rsidRPr="00236A4C">
              <w:t>T5</w:t>
            </w:r>
            <w:r w:rsidRPr="00236A4C">
              <w:tab/>
              <w:t>Prime mover principles encomp</w:t>
            </w:r>
            <w:r w:rsidRPr="00236A4C">
              <w:t>assing:</w:t>
            </w:r>
          </w:p>
          <w:p w:rsidR="00000000" w:rsidRPr="00236A4C" w:rsidP="00236A4C">
            <w:pPr>
              <w:pStyle w:val="ListBullet"/>
            </w:pPr>
            <w:r w:rsidRPr="00236A4C">
              <w:t>Commonwealth, State/Territory and local government legislation, supply authority regulations, Standards, codes, and or enterprise requirements applicable to the prime movers</w:t>
            </w:r>
          </w:p>
          <w:p w:rsidR="00000000" w:rsidRPr="00236A4C" w:rsidP="00236A4C">
            <w:pPr>
              <w:pStyle w:val="ListBullet"/>
            </w:pPr>
            <w:r w:rsidRPr="00236A4C">
              <w:t>Requirements for the use of operational manuals, system diagrams/plans an</w:t>
            </w:r>
            <w:r w:rsidRPr="00236A4C">
              <w:t>d drawings</w:t>
            </w:r>
          </w:p>
          <w:p w:rsidR="00000000" w:rsidRPr="00236A4C" w:rsidP="00236A4C">
            <w:pPr>
              <w:pStyle w:val="ListBullet"/>
            </w:pPr>
            <w:r w:rsidRPr="00236A4C">
              <w:t>Types, characterizes and applications of energy sources and conversion systems – wind, steam turbine, gas turbine, diesel.</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10" w:name="O_464941"/>
      <w:bookmarkEnd w:id="10"/>
      <w:r w:rsidRPr="00236A4C">
        <w:t>Evidence Guide</w:t>
      </w:r>
    </w:p>
    <w:tbl>
      <w:tblPr>
        <w:tblW w:w="0" w:type="auto"/>
        <w:tblLayout w:type="fixed"/>
        <w:tblCellMar>
          <w:left w:w="62" w:type="dxa"/>
          <w:right w:w="62" w:type="dxa"/>
        </w:tblCellMar>
        <w:tblLook w:val="0000"/>
      </w:tblPr>
      <w:tblGrid>
        <w:gridCol w:w="8460"/>
      </w:tblGrid>
      <w:tr w:rsidTr="00362F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EVIDENCE GUIDE</w:t>
            </w:r>
          </w:p>
        </w:tc>
      </w:tr>
      <w:tr w:rsidTr="00362F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9)</w:t>
            </w:r>
            <w:r w:rsidRPr="00236A4C">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236A4C" w:rsidP="00236A4C">
            <w:pPr>
              <w:pStyle w:val="BodyText"/>
            </w:pPr>
            <w:r w:rsidRPr="00236A4C">
              <w:t>The Evidenc</w:t>
            </w:r>
            <w:r w:rsidRPr="00236A4C">
              <w:t>e Guide forms an integral part of this Competency Standard Unit and shall be used in conjunction with all component parts of this unit and, performed in accordance with the Assessment Guidelines of this Training Package.</w:t>
            </w:r>
          </w:p>
        </w:tc>
      </w:tr>
    </w:tbl>
    <w:p w:rsidR="00000000" w:rsidRPr="00236A4C" w:rsidP="00236A4C">
      <w:pPr>
        <w:pStyle w:val="BodyText"/>
      </w:pPr>
    </w:p>
    <w:tbl>
      <w:tblPr>
        <w:tblW w:w="0" w:type="auto"/>
        <w:tblLayout w:type="fixed"/>
        <w:tblCellMar>
          <w:left w:w="62" w:type="dxa"/>
          <w:right w:w="62" w:type="dxa"/>
        </w:tblCellMar>
        <w:tblLook w:val="0000"/>
      </w:tblPr>
      <w:tblGrid>
        <w:gridCol w:w="1890"/>
        <w:gridCol w:w="6570"/>
      </w:tblGrid>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9.1)</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Lon</w:t>
            </w:r>
            <w:r w:rsidRPr="00236A4C">
              <w:t>gitudinal competency development approaches to assessment, such as Profiling, require data to be reliably gathered in a form that can be consistently interpreted over time. This approach is best utilised in Apprenticeship programs and reduces assessment in</w:t>
            </w:r>
            <w:r w:rsidRPr="00236A4C">
              <w:t>tervention. It is the Industry’s preferred model for apprenticeships. However, where summative (or final) assessment is used it is to include the application of the competency in the normal work environment or, at a minimum, the application of the competen</w:t>
            </w:r>
            <w:r w:rsidRPr="00236A4C">
              <w:t>cy in a realistically simulated work environment. It is recognised that, in some circumstances, assessment in part or full can occur outside the workplace. However, it must be in accord with Industry and, Regulatory policy in this regard.</w:t>
            </w:r>
          </w:p>
          <w:p w:rsidR="00000000" w:rsidRPr="00236A4C" w:rsidP="00236A4C">
            <w:pPr>
              <w:pStyle w:val="BodyText"/>
            </w:pPr>
            <w:r w:rsidRPr="00236A4C">
              <w:t>Methods chosen for a particular assessment will be influenced by various factors. These include the extent of the assessment, the most effective locations for the assessment activities to take place, access to physical resources, additional safety measures</w:t>
            </w:r>
            <w:r w:rsidRPr="00236A4C">
              <w:t xml:space="preserve"> that may be required and the critical nature of the competencies being assessed.</w:t>
            </w:r>
          </w:p>
          <w:p w:rsidR="00000000" w:rsidRPr="00236A4C" w:rsidP="00236A4C">
            <w:pPr>
              <w:pStyle w:val="BodyText"/>
            </w:pPr>
            <w:r w:rsidRPr="00236A4C">
              <w:t>The critical safety nature of working with electricity, electrical equipment, gas or any other hazardous substance/material carries risk in deeming a person competent. Hence,</w:t>
            </w:r>
            <w:r w:rsidRPr="00236A4C">
              <w:t xml:space="preserve"> sources of evidence need to be ‘rich’ in nature so as to minimise error in judgment.</w:t>
            </w:r>
          </w:p>
          <w:p w:rsidR="00000000" w:rsidRPr="00236A4C" w:rsidP="00236A4C">
            <w:pPr>
              <w:pStyle w:val="BodyText"/>
            </w:pPr>
            <w:r w:rsidRPr="00236A4C">
              <w:t xml:space="preserve">Activities associated with normal every day work have a bearing on the decision as to how much and how detailed the data gathered will contribute to its ‘richness’. Some </w:t>
            </w:r>
            <w:r w:rsidRPr="00236A4C">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236A4C">
              <w:t>Sample assessment instruments are included for Assessors in the Assessment Guidelines of this Training Package.</w:t>
            </w:r>
          </w:p>
        </w:tc>
      </w:tr>
    </w:tbl>
    <w:p w:rsidR="00000000" w:rsidRPr="00236A4C" w:rsidP="00236A4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9.2)</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 xml:space="preserve">Before the critical aspects of evidence are considered </w:t>
            </w:r>
            <w:r w:rsidRPr="00236A4C">
              <w:t>all prerequisites shall be met.</w:t>
            </w:r>
          </w:p>
          <w:p w:rsidR="00000000" w:rsidRPr="00236A4C" w:rsidP="00236A4C">
            <w:pPr>
              <w:pStyle w:val="BodyText"/>
            </w:pPr>
            <w:r w:rsidRPr="00236A4C">
              <w:t xml:space="preserve">Evidence for competence in this unit shall be considered holistically. Each Element and associated Performance Criteria shall be demonstrated on at least two occasions in accordance with the “Assessment Guidelines – UET12”. </w:t>
            </w:r>
            <w:r w:rsidRPr="00236A4C">
              <w:t>Evidence shall also comprise:</w:t>
            </w:r>
          </w:p>
          <w:p w:rsidR="00000000" w:rsidRPr="00236A4C" w:rsidP="00236A4C">
            <w:pPr>
              <w:pStyle w:val="ListBullet"/>
            </w:pPr>
            <w:r w:rsidRPr="00236A4C">
              <w:t>A representative body of Performance Criteria demonstrated within the timeframes typically expected of the discipline, work function and industrial environment. In particular this shall incorporate evidence that shows a candi</w:t>
            </w:r>
            <w:r w:rsidRPr="00236A4C">
              <w:t>date is able to:</w:t>
            </w:r>
          </w:p>
          <w:p w:rsidR="00000000" w:rsidRPr="00236A4C" w:rsidP="00236A4C">
            <w:pPr>
              <w:pStyle w:val="ListBullet2"/>
            </w:pPr>
            <w:r w:rsidRPr="00236A4C">
              <w:t>Implement Occupational Health and Safety workplace procedures and practices including the use of risk control measures as specified in the Performance Criteria and range; and</w:t>
            </w:r>
          </w:p>
          <w:p w:rsidR="00000000" w:rsidRPr="00236A4C" w:rsidP="00236A4C">
            <w:pPr>
              <w:pStyle w:val="ListBullet2"/>
            </w:pPr>
            <w:r w:rsidRPr="00236A4C">
              <w:t>Apply sustainable energy principles and practices as specified in the Performance Criteria and range; and</w:t>
            </w:r>
          </w:p>
          <w:p w:rsidR="00000000" w:rsidRPr="00236A4C" w:rsidP="00236A4C">
            <w:pPr>
              <w:pStyle w:val="ListBullet2"/>
            </w:pPr>
            <w:r w:rsidRPr="00236A4C">
              <w:t xml:space="preserve">Demonstrate an understanding of the Essential knowledge and associated skills described in this unit to such an extent that the learner’s performance </w:t>
            </w:r>
            <w:r w:rsidRPr="00236A4C">
              <w:t>outcome is reported in accordance with the preferred approach; namely a percentile graded result, where required by the regulated environment; and</w:t>
            </w:r>
          </w:p>
          <w:p w:rsidR="00000000" w:rsidRPr="00236A4C" w:rsidP="00236A4C">
            <w:pPr>
              <w:pStyle w:val="ListBullet2"/>
            </w:pPr>
            <w:r w:rsidRPr="00236A4C">
              <w:t>Demonstrate an appropriate level of employability skills; and</w:t>
            </w:r>
          </w:p>
          <w:p w:rsidR="00000000" w:rsidRPr="00236A4C" w:rsidP="00236A4C">
            <w:pPr>
              <w:pStyle w:val="ListBullet"/>
            </w:pPr>
            <w:r w:rsidRPr="00236A4C">
              <w:t>Conduct work observing the relevant Anti Discr</w:t>
            </w:r>
            <w:r w:rsidRPr="00236A4C">
              <w:t>imination legislation, regulations, policies and workplace procedures; and</w:t>
            </w:r>
          </w:p>
          <w:p w:rsidR="00000000" w:rsidP="00236A4C">
            <w:pPr>
              <w:pStyle w:val="ListBullet2"/>
              <w:rPr>
                <w:lang w:val="en-NZ"/>
              </w:rPr>
            </w:pPr>
            <w:r w:rsidRPr="00236A4C">
              <w:t>Demonstrated performance across a representative range of contexts from the prescribed items below:</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36A4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4C">
            <w:pPr>
              <w:pStyle w:val="BodyText"/>
              <w:rPr>
                <w:lang w:val="en-NZ"/>
              </w:rPr>
            </w:pPr>
            <w:r w:rsidRPr="00236A4C">
              <w:rPr>
                <w:rStyle w:val="SpecialBold"/>
              </w:rPr>
              <w:t>Range of tools/equipment/materials/procedures/workplaces/other variables</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36A4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4C" w:rsidP="00236A4C">
            <w:pPr>
              <w:pStyle w:val="BodyText"/>
            </w:pPr>
            <w:r w:rsidRPr="00236A4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4C" w:rsidP="00236A4C">
            <w:pPr>
              <w:pStyle w:val="BodyText"/>
            </w:pPr>
            <w:r w:rsidRPr="00236A4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4C">
            <w:pPr>
              <w:pStyle w:val="BodyText"/>
              <w:rPr>
                <w:lang w:val="en-NZ"/>
              </w:rPr>
            </w:pPr>
            <w:r w:rsidRPr="00236A4C">
              <w:rPr>
                <w:rStyle w:val="SpecialBold"/>
              </w:rPr>
              <w:t>Item List</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4C">
            <w:pPr>
              <w:pStyle w:val="BodyText"/>
              <w:rPr>
                <w:lang w:val="en-NZ"/>
              </w:rPr>
            </w:pPr>
            <w:r w:rsidRPr="00236A4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4C">
            <w:pPr>
              <w:pStyle w:val="BodyText"/>
              <w:rPr>
                <w:lang w:val="en-NZ"/>
              </w:rPr>
            </w:pPr>
            <w:r w:rsidRPr="00236A4C">
              <w:t>Manage an Electricity Generating Plant including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4C" w:rsidP="00236A4C">
            <w:pPr>
              <w:pStyle w:val="BodyText"/>
            </w:pPr>
            <w:r w:rsidRPr="00236A4C">
              <w:t>Operate generator and excitation systems.</w:t>
            </w:r>
          </w:p>
          <w:p w:rsidR="00000000" w:rsidRPr="00236A4C" w:rsidP="00236A4C">
            <w:pPr>
              <w:pStyle w:val="BodyText"/>
            </w:pPr>
            <w:r w:rsidRPr="00236A4C">
              <w:t xml:space="preserve">Control and coordinate generation of electrical </w:t>
            </w:r>
            <w:r w:rsidRPr="00236A4C">
              <w:t>energy.</w:t>
            </w:r>
          </w:p>
          <w:p w:rsidR="00000000" w:rsidRPr="00236A4C" w:rsidP="00236A4C">
            <w:pPr>
              <w:pStyle w:val="BodyText"/>
            </w:pPr>
            <w:r w:rsidRPr="00236A4C">
              <w:t>Analyse prime mover and alternator faults.</w:t>
            </w:r>
          </w:p>
          <w:p w:rsidR="00000000" w:rsidRPr="00236A4C" w:rsidP="00236A4C">
            <w:pPr>
              <w:pStyle w:val="BodyText"/>
            </w:pPr>
            <w:r w:rsidRPr="00236A4C">
              <w:t>Effectively liaise with operating and regulatory authorities.</w:t>
            </w:r>
          </w:p>
          <w:p w:rsidR="00000000" w:rsidRPr="00236A4C" w:rsidP="00236A4C">
            <w:pPr>
              <w:pStyle w:val="BodyText"/>
            </w:pPr>
            <w:r w:rsidRPr="00236A4C">
              <w:t>Record events using both written and computerised logging systems.</w:t>
            </w:r>
          </w:p>
          <w:p w:rsidR="00000000" w:rsidP="00236A4C">
            <w:pPr>
              <w:pStyle w:val="BodyText"/>
              <w:rPr>
                <w:lang w:val="en-NZ"/>
              </w:rPr>
            </w:pPr>
            <w:r w:rsidRPr="00236A4C">
              <w:t>Document/De-brief actions fo</w:t>
            </w:r>
            <w:r w:rsidRPr="00236A4C">
              <w:t>llowing an event resulting in loss of generation.</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4C">
            <w:pPr>
              <w:pStyle w:val="BodyText"/>
              <w:rPr>
                <w:lang w:val="en-NZ"/>
              </w:rPr>
            </w:pPr>
            <w:r w:rsidRPr="00236A4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4C">
            <w:pPr>
              <w:pStyle w:val="BodyText"/>
              <w:rPr>
                <w:lang w:val="en-NZ"/>
              </w:rPr>
            </w:pPr>
            <w:r w:rsidRPr="00236A4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4C" w:rsidP="00236A4C">
            <w:pPr>
              <w:pStyle w:val="BodyText"/>
            </w:pPr>
            <w:r w:rsidRPr="00236A4C">
              <w:t>Dealing with an unplanned event by drawing on essential knowledge and associated skills to provide appropriate solutions incorporated in the holistic assessment with the above lis</w:t>
            </w:r>
            <w:r w:rsidRPr="00236A4C">
              <w:t>ted items.</w:t>
            </w:r>
          </w:p>
        </w:tc>
      </w:tr>
    </w:tbl>
    <w:p w:rsidR="00000000" w:rsidRPr="00236A4C" w:rsidP="00236A4C">
      <w:pPr>
        <w:pStyle w:val="BodyText"/>
      </w:pPr>
    </w:p>
    <w:tbl>
      <w:tblPr>
        <w:tblW w:w="0" w:type="auto"/>
        <w:tblLayout w:type="fixed"/>
        <w:tblCellMar>
          <w:left w:w="62" w:type="dxa"/>
          <w:right w:w="62" w:type="dxa"/>
        </w:tblCellMar>
        <w:tblLook w:val="0000"/>
      </w:tblPr>
      <w:tblGrid>
        <w:gridCol w:w="1890"/>
        <w:gridCol w:w="6570"/>
      </w:tblGrid>
      <w:tr w:rsidTr="00362FF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9.3)</w:t>
            </w:r>
          </w:p>
        </w:tc>
      </w:tr>
      <w:tr w:rsidTr="00362FF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This unit should be assessed as it relates to normal work practice using procedures, information and resources typical of a workplace. This should include:</w:t>
            </w:r>
          </w:p>
          <w:p w:rsidR="00000000" w:rsidRPr="00236A4C" w:rsidP="00236A4C">
            <w:pPr>
              <w:pStyle w:val="ListBullet"/>
            </w:pPr>
            <w:r w:rsidRPr="00236A4C">
              <w:t>OHS policy and work procedures and instructions.</w:t>
            </w:r>
          </w:p>
          <w:p w:rsidR="00000000" w:rsidRPr="00236A4C" w:rsidP="00236A4C">
            <w:pPr>
              <w:pStyle w:val="ListBullet"/>
            </w:pPr>
            <w:r w:rsidRPr="00236A4C">
              <w:t>Suitable work environment, facilities, equipment and materials to undertake actual control of a generation plant.</w:t>
            </w:r>
          </w:p>
          <w:p w:rsidR="00000000" w:rsidRPr="00236A4C" w:rsidP="00236A4C">
            <w:pPr>
              <w:pStyle w:val="BodyText"/>
            </w:pPr>
            <w:r w:rsidRPr="00236A4C">
              <w:t>Note:</w:t>
            </w:r>
          </w:p>
          <w:p w:rsidR="00000000" w:rsidRPr="00236A4C" w:rsidP="00236A4C">
            <w:pPr>
              <w:pStyle w:val="BodyText"/>
            </w:pPr>
            <w:r w:rsidRPr="00236A4C">
              <w:t xml:space="preserve">Access will be needed to: relevant protection, control, metering, and alarm equipment, </w:t>
            </w:r>
            <w:r w:rsidRPr="00236A4C">
              <w:t>network drawings, computerised electrical plant control and monitoring facilities, operational event data, enterprise operational policies, procedures and work practices and enterprise crisis management procedures.</w:t>
            </w:r>
          </w:p>
          <w:p w:rsidR="00000000" w:rsidRPr="00236A4C" w:rsidP="00236A4C">
            <w:pPr>
              <w:pStyle w:val="BodyText"/>
            </w:pPr>
            <w:r w:rsidRPr="00236A4C">
              <w:t>In addition to the resources listed above</w:t>
            </w:r>
            <w:r w:rsidRPr="00236A4C">
              <w:t xml:space="preserve">, in Context of and specific resources for assessment, evidence should show demonstrated competency working in realistic environment and a variety of conditions. </w:t>
            </w:r>
          </w:p>
        </w:tc>
      </w:tr>
    </w:tbl>
    <w:p w:rsidR="00000000" w:rsidRPr="00236A4C" w:rsidP="00236A4C">
      <w:pPr>
        <w:pStyle w:val="BodyText"/>
      </w:pPr>
    </w:p>
    <w:tbl>
      <w:tblPr>
        <w:tblW w:w="0" w:type="auto"/>
        <w:tblLayout w:type="fixed"/>
        <w:tblCellMar>
          <w:left w:w="62" w:type="dxa"/>
          <w:right w:w="62" w:type="dxa"/>
        </w:tblCellMar>
        <w:tblLook w:val="0000"/>
      </w:tblPr>
      <w:tblGrid>
        <w:gridCol w:w="1890"/>
        <w:gridCol w:w="6570"/>
      </w:tblGrid>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9.4)</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This Competency Standard Unit shall be assessed by methods given in Volume 1, Part 3 “Assessment Guidelines”.</w:t>
            </w:r>
          </w:p>
          <w:p w:rsidR="00000000" w:rsidRPr="00236A4C" w:rsidP="00236A4C">
            <w:pPr>
              <w:pStyle w:val="BodyText"/>
            </w:pPr>
            <w:r w:rsidRPr="00236A4C">
              <w:t>Note:</w:t>
            </w:r>
          </w:p>
          <w:p w:rsidR="00000000" w:rsidRPr="00236A4C" w:rsidP="00236A4C">
            <w:pPr>
              <w:pStyle w:val="BodyText"/>
            </w:pPr>
            <w:r w:rsidRPr="00236A4C">
              <w:t>Competent performance with inherent safe working practices is expected in the Transmission, Distribution and Rail Traction Industry. This re</w:t>
            </w:r>
            <w:r w:rsidRPr="00236A4C">
              <w:t>quires that the specified essential knowledge and associated skills are assessed in a structured environment which is primarily intended for learning/assessment and incorporates all necessary equipment and facilities for learners to develop and demonstrate</w:t>
            </w:r>
            <w:r w:rsidRPr="00236A4C">
              <w:t xml:space="preserve"> the essential knowledge and associated skills described in this unit.</w:t>
            </w:r>
          </w:p>
        </w:tc>
      </w:tr>
    </w:tbl>
    <w:p w:rsidR="00000000" w:rsidRPr="00236A4C" w:rsidP="00236A4C">
      <w:pPr>
        <w:pStyle w:val="BodyText"/>
      </w:pPr>
    </w:p>
    <w:tbl>
      <w:tblPr>
        <w:tblW w:w="0" w:type="auto"/>
        <w:tblLayout w:type="fixed"/>
        <w:tblCellMar>
          <w:left w:w="62" w:type="dxa"/>
          <w:right w:w="62" w:type="dxa"/>
        </w:tblCellMar>
        <w:tblLook w:val="0000"/>
      </w:tblPr>
      <w:tblGrid>
        <w:gridCol w:w="1890"/>
        <w:gridCol w:w="6570"/>
      </w:tblGrid>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9.5)</w:t>
            </w:r>
          </w:p>
        </w:tc>
      </w:tr>
      <w:tr w:rsidTr="00362F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There are no concurrent assessment recommendations for this unit.</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11" w:name="O_464945"/>
      <w:bookmarkEnd w:id="11"/>
      <w:r w:rsidRPr="00236A4C">
        <w:t>Range Statement</w:t>
      </w:r>
    </w:p>
    <w:tbl>
      <w:tblPr>
        <w:tblW w:w="0" w:type="auto"/>
        <w:tblLayout w:type="fixed"/>
        <w:tblCellMar>
          <w:left w:w="62" w:type="dxa"/>
          <w:right w:w="62" w:type="dxa"/>
        </w:tblCellMar>
        <w:tblLook w:val="0000"/>
      </w:tblPr>
      <w:tblGrid>
        <w:gridCol w:w="8460"/>
      </w:tblGrid>
      <w:tr w:rsidTr="00362F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RANGE STATEMENT</w:t>
            </w:r>
          </w:p>
        </w:tc>
      </w:tr>
      <w:tr w:rsidTr="00362F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10)</w:t>
            </w:r>
            <w:r w:rsidRPr="00236A4C">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236A4C" w:rsidP="00236A4C">
            <w:pPr>
              <w:pStyle w:val="BodyText"/>
            </w:pPr>
            <w:r w:rsidRPr="00236A4C">
              <w:t>This Competency Stand</w:t>
            </w:r>
            <w:r w:rsidRPr="00236A4C">
              <w:t>ard Unit shall be demonstrated in relation to controlling the generation side of generation plants and shall be demonstrated using the following:</w:t>
            </w:r>
          </w:p>
          <w:p w:rsidR="00000000" w:rsidRPr="00236A4C" w:rsidP="00236A4C">
            <w:pPr>
              <w:pStyle w:val="BodyText"/>
            </w:pPr>
            <w:r w:rsidRPr="00236A4C">
              <w:t>Key indicators may include frequency time error, bus voltage, machine/ equipment voltage and current limits, p</w:t>
            </w:r>
            <w:r w:rsidRPr="00236A4C">
              <w:t>lant temperatures, reactive power flows, power factor, generation plant load capabilities, protection settings, visual and audible indicators, analogue and digital displays and load shedding requirements</w:t>
            </w:r>
          </w:p>
          <w:p w:rsidR="00000000" w:rsidRPr="00236A4C" w:rsidP="00236A4C">
            <w:pPr>
              <w:pStyle w:val="BodyText"/>
            </w:pPr>
            <w:r w:rsidRPr="00236A4C">
              <w:t>Systems, plant and equipment may include generator c</w:t>
            </w:r>
            <w:r w:rsidRPr="00236A4C">
              <w:t xml:space="preserve">ooling systems; fuel delivery system; generator and generator auxiliary plant; generator excitation system; generation fire protection system; unit coordinated control system; generator circuit breaker/transformer; unit auxiliary switchboards; electricity </w:t>
            </w:r>
            <w:r w:rsidRPr="00236A4C">
              <w:t>market auto loading procedures prime mover governing system; alternators; generator differential protection; over/under speed protection; over/under flux protection; synchroscopes; excitation circuits.</w:t>
            </w:r>
          </w:p>
          <w:p w:rsidR="00000000" w:rsidRPr="00236A4C" w:rsidP="00236A4C">
            <w:pPr>
              <w:pStyle w:val="BodyText"/>
            </w:pPr>
            <w:r w:rsidRPr="00236A4C">
              <w:t>Technical and operational indicators may include stimu</w:t>
            </w:r>
            <w:r w:rsidRPr="00236A4C">
              <w:t>li (audio, smell, touch, visual), remote or local indicators and recorders, computers and alarms (visible and or audible)</w:t>
            </w:r>
          </w:p>
          <w:p w:rsidR="00000000" w:rsidRPr="00236A4C" w:rsidP="00236A4C">
            <w:pPr>
              <w:pStyle w:val="BodyText"/>
            </w:pPr>
            <w:r w:rsidRPr="00236A4C">
              <w:t>Operating within an isolated system the environment may be remote from plant and equipment being operated; (operation is assisted by r</w:t>
            </w:r>
            <w:r w:rsidRPr="00236A4C">
              <w:t>emote indicators of plant status and other parameters monitored); during night periods; during inclement or otherwise harsh weather conditions; and in wet/noisy/dusty areas.</w:t>
            </w:r>
          </w:p>
          <w:p w:rsidR="00000000" w:rsidRPr="00236A4C" w:rsidP="00236A4C">
            <w:pPr>
              <w:pStyle w:val="BodyText"/>
            </w:pPr>
            <w:r w:rsidRPr="00236A4C">
              <w:t>Unit operations (systems requirements) may include spurious faults in automatic sy</w:t>
            </w:r>
            <w:r w:rsidRPr="00236A4C">
              <w:t>stems operating out of range, failure of automatic system components and routine plant movement</w:t>
            </w:r>
          </w:p>
          <w:p w:rsidR="00000000" w:rsidRPr="00236A4C" w:rsidP="00236A4C">
            <w:pPr>
              <w:pStyle w:val="BodyText"/>
            </w:pPr>
            <w:r w:rsidRPr="00236A4C">
              <w:t xml:space="preserve">The following constants and variables included in the Element/Performance Criteria in this unit are fully described in the Definitions Section 1 of this volume </w:t>
            </w:r>
            <w:r w:rsidRPr="00236A4C">
              <w:t>and form an integral part of the Range Statement of this unit:</w:t>
            </w:r>
          </w:p>
          <w:p w:rsidR="00000000" w:rsidRPr="00236A4C" w:rsidP="00236A4C">
            <w:pPr>
              <w:pStyle w:val="ListBullet3"/>
            </w:pPr>
            <w:r w:rsidRPr="00236A4C">
              <w:t>Appropriate and relevant persons (see Personnel)</w:t>
            </w:r>
          </w:p>
          <w:p w:rsidR="00000000" w:rsidRPr="00236A4C" w:rsidP="00236A4C">
            <w:pPr>
              <w:pStyle w:val="ListBullet3"/>
            </w:pPr>
            <w:r w:rsidRPr="00236A4C">
              <w:t>Appropriate authorities</w:t>
            </w:r>
          </w:p>
          <w:p w:rsidR="00000000" w:rsidRPr="00236A4C" w:rsidP="00236A4C">
            <w:pPr>
              <w:pStyle w:val="ListBullet3"/>
            </w:pPr>
            <w:r w:rsidRPr="00236A4C">
              <w:t>Appropriate work platform</w:t>
            </w:r>
          </w:p>
          <w:p w:rsidR="00000000" w:rsidRPr="00236A4C" w:rsidP="00236A4C">
            <w:pPr>
              <w:pStyle w:val="ListBullet3"/>
            </w:pPr>
            <w:r w:rsidRPr="00236A4C">
              <w:t>Assessing risk</w:t>
            </w:r>
          </w:p>
          <w:p w:rsidR="00000000" w:rsidRPr="00236A4C" w:rsidP="00236A4C">
            <w:pPr>
              <w:pStyle w:val="ListBullet3"/>
            </w:pPr>
            <w:r w:rsidRPr="00236A4C">
              <w:t>Assessment</w:t>
            </w:r>
          </w:p>
          <w:p w:rsidR="00000000" w:rsidRPr="00236A4C" w:rsidP="00236A4C">
            <w:pPr>
              <w:pStyle w:val="ListBullet3"/>
            </w:pPr>
            <w:r w:rsidRPr="00236A4C">
              <w:t>Authorisation</w:t>
            </w:r>
          </w:p>
          <w:p w:rsidR="00000000" w:rsidRPr="00236A4C" w:rsidP="00236A4C">
            <w:pPr>
              <w:pStyle w:val="ListBullet3"/>
            </w:pPr>
            <w:r w:rsidRPr="00236A4C">
              <w:t>Confined space</w:t>
            </w:r>
          </w:p>
          <w:p w:rsidR="00000000" w:rsidRPr="00236A4C" w:rsidP="00236A4C">
            <w:pPr>
              <w:pStyle w:val="ListBullet3"/>
            </w:pPr>
            <w:r w:rsidRPr="00236A4C">
              <w:t>Diagnostic, testing and restoration</w:t>
            </w:r>
          </w:p>
          <w:p w:rsidR="00000000" w:rsidRPr="00236A4C" w:rsidP="00236A4C">
            <w:pPr>
              <w:pStyle w:val="ListBullet3"/>
            </w:pPr>
            <w:r w:rsidRPr="00236A4C">
              <w:t>Documenting detail work events, record keeping and or storage of information</w:t>
            </w:r>
          </w:p>
          <w:p w:rsidR="00000000" w:rsidRPr="00236A4C" w:rsidP="00236A4C">
            <w:pPr>
              <w:pStyle w:val="ListBullet3"/>
            </w:pPr>
            <w:r w:rsidRPr="00236A4C">
              <w:t>Drawings and specifications</w:t>
            </w:r>
          </w:p>
          <w:p w:rsidR="00000000" w:rsidRPr="00236A4C" w:rsidP="00236A4C">
            <w:pPr>
              <w:pStyle w:val="ListBullet3"/>
            </w:pPr>
            <w:r w:rsidRPr="00236A4C">
              <w:t>Emergency</w:t>
            </w:r>
          </w:p>
          <w:p w:rsidR="00000000" w:rsidRPr="00236A4C" w:rsidP="00236A4C">
            <w:pPr>
              <w:pStyle w:val="ListBullet3"/>
            </w:pPr>
            <w:r w:rsidRPr="00236A4C">
              <w:t>Environmental and sustainable energy procedures</w:t>
            </w:r>
          </w:p>
          <w:p w:rsidR="00000000" w:rsidRPr="00236A4C" w:rsidP="00236A4C">
            <w:pPr>
              <w:pStyle w:val="ListBullet3"/>
            </w:pPr>
            <w:r w:rsidRPr="00236A4C">
              <w:t>Environmental legislation</w:t>
            </w:r>
          </w:p>
          <w:p w:rsidR="00000000" w:rsidRPr="00236A4C" w:rsidP="00236A4C">
            <w:pPr>
              <w:pStyle w:val="ListBullet3"/>
            </w:pPr>
            <w:r w:rsidRPr="00236A4C">
              <w:t>Environmental management documentation</w:t>
            </w:r>
          </w:p>
          <w:p w:rsidR="00000000" w:rsidRPr="00236A4C" w:rsidP="00236A4C">
            <w:pPr>
              <w:pStyle w:val="ListBullet3"/>
            </w:pPr>
            <w:r w:rsidRPr="00236A4C">
              <w:t>Established procedures</w:t>
            </w:r>
          </w:p>
          <w:p w:rsidR="00000000" w:rsidRPr="00236A4C" w:rsidP="00236A4C">
            <w:pPr>
              <w:pStyle w:val="ListBullet3"/>
            </w:pPr>
            <w:r w:rsidRPr="00236A4C">
              <w:t xml:space="preserve">Fall </w:t>
            </w:r>
            <w:r w:rsidRPr="00236A4C">
              <w:t>prevention</w:t>
            </w:r>
          </w:p>
          <w:p w:rsidR="00000000" w:rsidRPr="00236A4C" w:rsidP="00236A4C">
            <w:pPr>
              <w:pStyle w:val="ListBullet3"/>
            </w:pPr>
            <w:r w:rsidRPr="00236A4C">
              <w:t>Hazards</w:t>
            </w:r>
          </w:p>
          <w:p w:rsidR="00000000" w:rsidRPr="00236A4C" w:rsidP="00236A4C">
            <w:pPr>
              <w:pStyle w:val="ListBullet3"/>
            </w:pPr>
            <w:r w:rsidRPr="00236A4C">
              <w:t>Identifying hazards</w:t>
            </w:r>
          </w:p>
          <w:p w:rsidR="00000000" w:rsidRPr="00236A4C" w:rsidP="00236A4C">
            <w:pPr>
              <w:pStyle w:val="ListBullet3"/>
            </w:pPr>
            <w:r w:rsidRPr="00236A4C">
              <w:t>Inspect</w:t>
            </w:r>
          </w:p>
          <w:p w:rsidR="00000000" w:rsidRPr="00236A4C" w:rsidP="00236A4C">
            <w:pPr>
              <w:pStyle w:val="ListBullet3"/>
            </w:pPr>
            <w:r w:rsidRPr="00236A4C">
              <w:t>Legislation</w:t>
            </w:r>
          </w:p>
          <w:p w:rsidR="00000000" w:rsidRPr="00236A4C" w:rsidP="00236A4C">
            <w:pPr>
              <w:pStyle w:val="ListBullet3"/>
            </w:pPr>
            <w:r w:rsidRPr="00236A4C">
              <w:t>MSDS</w:t>
            </w:r>
          </w:p>
          <w:p w:rsidR="00000000" w:rsidRPr="00236A4C" w:rsidP="00236A4C">
            <w:pPr>
              <w:pStyle w:val="ListBullet3"/>
            </w:pPr>
            <w:r w:rsidRPr="00236A4C">
              <w:t>Notification</w:t>
            </w:r>
          </w:p>
          <w:p w:rsidR="00000000" w:rsidRPr="00236A4C" w:rsidP="00236A4C">
            <w:pPr>
              <w:pStyle w:val="ListBullet3"/>
            </w:pPr>
            <w:r w:rsidRPr="00236A4C">
              <w:t>OHS practices</w:t>
            </w:r>
          </w:p>
          <w:p w:rsidR="00000000" w:rsidRPr="00236A4C" w:rsidP="00236A4C">
            <w:pPr>
              <w:pStyle w:val="ListBullet3"/>
            </w:pPr>
            <w:r w:rsidRPr="00236A4C">
              <w:t>OHS issues</w:t>
            </w:r>
          </w:p>
          <w:p w:rsidR="00000000" w:rsidRPr="00236A4C" w:rsidP="00236A4C">
            <w:pPr>
              <w:pStyle w:val="ListBullet3"/>
            </w:pPr>
            <w:r w:rsidRPr="00236A4C">
              <w:t>Permits and/or permits to work</w:t>
            </w:r>
          </w:p>
          <w:p w:rsidR="00000000" w:rsidRPr="00236A4C" w:rsidP="00236A4C">
            <w:pPr>
              <w:pStyle w:val="ListBullet3"/>
            </w:pPr>
            <w:r w:rsidRPr="00236A4C">
              <w:t>Personnel</w:t>
            </w:r>
          </w:p>
          <w:p w:rsidR="00000000" w:rsidRPr="00236A4C" w:rsidP="00236A4C">
            <w:pPr>
              <w:pStyle w:val="ListBullet3"/>
            </w:pPr>
            <w:r w:rsidRPr="00236A4C">
              <w:t>Quality assurance systems</w:t>
            </w:r>
          </w:p>
          <w:p w:rsidR="00000000" w:rsidRPr="00236A4C" w:rsidP="00236A4C">
            <w:pPr>
              <w:pStyle w:val="ListBullet3"/>
            </w:pPr>
            <w:r w:rsidRPr="00236A4C">
              <w:t>Requirements</w:t>
            </w:r>
          </w:p>
          <w:p w:rsidR="00000000" w:rsidRPr="00236A4C" w:rsidP="00236A4C">
            <w:pPr>
              <w:pStyle w:val="ListBullet3"/>
            </w:pPr>
            <w:r w:rsidRPr="00236A4C">
              <w:t>Testing procedures</w:t>
            </w:r>
          </w:p>
          <w:p w:rsidR="00000000" w:rsidRPr="00236A4C" w:rsidP="00236A4C">
            <w:pPr>
              <w:pStyle w:val="ListBullet3"/>
            </w:pPr>
            <w:r w:rsidRPr="00236A4C">
              <w:t>Work clearance systems</w:t>
            </w:r>
          </w:p>
        </w:tc>
      </w:tr>
    </w:tbl>
    <w:p w:rsidR="00000000" w:rsidRPr="00236A4C" w:rsidP="00236A4C">
      <w:pPr>
        <w:pStyle w:val="BodyText"/>
      </w:pPr>
    </w:p>
    <w:p w:rsidR="00000000" w:rsidRPr="00236A4C" w:rsidP="00236A4C">
      <w:pPr>
        <w:pStyle w:val="AllowPageBreak"/>
      </w:pPr>
    </w:p>
    <w:p w:rsidR="00000000" w:rsidRPr="00236A4C" w:rsidP="00236A4C">
      <w:pPr>
        <w:pStyle w:val="Heading1"/>
      </w:pPr>
      <w:bookmarkStart w:id="12" w:name="O_464948"/>
      <w:bookmarkEnd w:id="12"/>
      <w:r w:rsidRPr="00236A4C">
        <w:t>Unit Sector(s)</w:t>
      </w:r>
    </w:p>
    <w:p w:rsidR="00000000" w:rsidRPr="00236A4C" w:rsidP="00236A4C">
      <w:pPr>
        <w:pStyle w:val="BodyText"/>
      </w:pPr>
      <w:r w:rsidRPr="00236A4C">
        <w:t>Not applicable.</w:t>
      </w:r>
    </w:p>
    <w:p w:rsidR="00000000" w:rsidRPr="00236A4C" w:rsidP="00236A4C">
      <w:pPr>
        <w:pStyle w:val="AllowPageBreak"/>
      </w:pPr>
    </w:p>
    <w:p w:rsidR="00000000" w:rsidRPr="00236A4C" w:rsidP="00236A4C">
      <w:pPr>
        <w:pStyle w:val="Heading1"/>
      </w:pPr>
      <w:bookmarkStart w:id="13" w:name="O_464937"/>
      <w:bookmarkEnd w:id="13"/>
      <w:r w:rsidRPr="00236A4C">
        <w:t>Competency Field</w:t>
      </w:r>
    </w:p>
    <w:tbl>
      <w:tblPr>
        <w:tblW w:w="0" w:type="auto"/>
        <w:tblLayout w:type="fixed"/>
        <w:tblCellMar>
          <w:left w:w="62" w:type="dxa"/>
          <w:right w:w="62" w:type="dxa"/>
        </w:tblCellMar>
        <w:tblLook w:val="0000"/>
      </w:tblPr>
      <w:tblGrid>
        <w:gridCol w:w="2700"/>
        <w:gridCol w:w="5760"/>
      </w:tblGrid>
      <w:tr w:rsidTr="00362F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6A4C">
            <w:pPr>
              <w:pStyle w:val="BodyText"/>
              <w:rPr>
                <w:lang w:val="en-NZ"/>
              </w:rPr>
            </w:pPr>
            <w:r w:rsidRPr="00236A4C">
              <w:rPr>
                <w:rStyle w:val="SpecialBold"/>
              </w:rPr>
              <w:t xml:space="preserve">11) </w:t>
            </w:r>
          </w:p>
        </w:tc>
      </w:tr>
      <w:tr w:rsidTr="00362F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A4C" w:rsidP="00236A4C">
            <w:pPr>
              <w:pStyle w:val="BodyText"/>
            </w:pPr>
            <w:r w:rsidRPr="00236A4C">
              <w:t>System Operation Units</w:t>
            </w:r>
          </w:p>
        </w:tc>
      </w:tr>
    </w:tbl>
    <w:p w:rsidR="00000000" w:rsidRPr="00236A4C" w:rsidP="00236A4C">
      <w:pPr>
        <w:pStyle w:val="BodyText"/>
      </w:pPr>
    </w:p>
    <w:p w:rsidR="00000000" w:rsidRPr="00236A4C" w:rsidP="00236A4C"/>
    <w:sectPr w:rsidSect="00236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FF2" w:rsidP="00362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F2" w:rsidP="00236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62FF2" w:rsidP="00236A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2FF2" w:rsidP="00236A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FF2" w:rsidP="00362F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F2" w:rsidP="00236A4C">
    <w:pPr>
      <w:pStyle w:val="Header"/>
      <w:framePr w:wrap="around"/>
    </w:pPr>
    <w:r>
      <w:fldChar w:fldCharType="begin"/>
    </w:r>
    <w:r>
      <w:instrText xml:space="preserve"> TITLE   \* MERGEFORMAT </w:instrText>
    </w:r>
    <w:r>
      <w:fldChar w:fldCharType="separate"/>
    </w:r>
    <w:r>
      <w:t>UETTDRSO34A Control power systems generating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2FF2" w:rsidP="00236A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6B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2A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AA2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A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A4C"/>
    <w:pPr>
      <w:spacing w:before="360" w:after="60"/>
      <w:outlineLvl w:val="0"/>
    </w:pPr>
    <w:rPr>
      <w:sz w:val="32"/>
    </w:rPr>
  </w:style>
  <w:style w:type="paragraph" w:styleId="Heading2">
    <w:name w:val="heading 2"/>
    <w:basedOn w:val="HeadingBase"/>
    <w:next w:val="BodyText"/>
    <w:link w:val="Heading2Char"/>
    <w:qFormat/>
    <w:rsid w:val="00236A4C"/>
    <w:pPr>
      <w:keepLines/>
      <w:spacing w:before="240" w:after="120"/>
      <w:outlineLvl w:val="1"/>
    </w:pPr>
    <w:rPr>
      <w:sz w:val="28"/>
      <w:szCs w:val="40"/>
    </w:rPr>
  </w:style>
  <w:style w:type="paragraph" w:styleId="Heading3">
    <w:name w:val="heading 3"/>
    <w:basedOn w:val="HeadingBase"/>
    <w:next w:val="BodyText"/>
    <w:link w:val="Heading3Char"/>
    <w:qFormat/>
    <w:rsid w:val="00236A4C"/>
    <w:pPr>
      <w:spacing w:before="180" w:after="120"/>
      <w:outlineLvl w:val="2"/>
    </w:pPr>
    <w:rPr>
      <w:spacing w:val="-10"/>
      <w:kern w:val="32"/>
    </w:rPr>
  </w:style>
  <w:style w:type="paragraph" w:styleId="Heading4">
    <w:name w:val="heading 4"/>
    <w:basedOn w:val="HeadingBase"/>
    <w:next w:val="BodyText"/>
    <w:link w:val="Heading4Char"/>
    <w:qFormat/>
    <w:rsid w:val="00236A4C"/>
    <w:pPr>
      <w:spacing w:before="160" w:after="120"/>
      <w:outlineLvl w:val="3"/>
    </w:pPr>
    <w:rPr>
      <w:sz w:val="22"/>
    </w:rPr>
  </w:style>
  <w:style w:type="paragraph" w:styleId="Heading5">
    <w:name w:val="heading 5"/>
    <w:basedOn w:val="HeadingBase"/>
    <w:next w:val="Normal"/>
    <w:link w:val="Heading5Char"/>
    <w:qFormat/>
    <w:rsid w:val="00236A4C"/>
    <w:pPr>
      <w:spacing w:before="80"/>
      <w:outlineLvl w:val="4"/>
    </w:pPr>
    <w:rPr>
      <w:color w:val="918585"/>
      <w:sz w:val="20"/>
    </w:rPr>
  </w:style>
  <w:style w:type="paragraph" w:styleId="Heading6">
    <w:name w:val="heading 6"/>
    <w:basedOn w:val="HeadingBase"/>
    <w:next w:val="Normal"/>
    <w:link w:val="Heading6Char"/>
    <w:qFormat/>
    <w:rsid w:val="00236A4C"/>
    <w:pPr>
      <w:spacing w:before="60"/>
      <w:outlineLvl w:val="5"/>
    </w:pPr>
    <w:rPr>
      <w:color w:val="918585"/>
      <w:sz w:val="20"/>
    </w:rPr>
  </w:style>
  <w:style w:type="paragraph" w:styleId="Heading7">
    <w:name w:val="heading 7"/>
    <w:basedOn w:val="Normal"/>
    <w:next w:val="Normal"/>
    <w:link w:val="Heading7Char"/>
    <w:qFormat/>
    <w:rsid w:val="00236A4C"/>
    <w:pPr>
      <w:ind w:left="720"/>
      <w:outlineLvl w:val="6"/>
    </w:pPr>
    <w:rPr>
      <w:i/>
    </w:rPr>
  </w:style>
  <w:style w:type="paragraph" w:styleId="Heading8">
    <w:name w:val="heading 8"/>
    <w:basedOn w:val="Normal"/>
    <w:next w:val="Normal"/>
    <w:link w:val="Heading8Char"/>
    <w:qFormat/>
    <w:rsid w:val="00236A4C"/>
    <w:pPr>
      <w:ind w:left="720"/>
      <w:outlineLvl w:val="7"/>
    </w:pPr>
    <w:rPr>
      <w:i/>
    </w:rPr>
  </w:style>
  <w:style w:type="paragraph" w:styleId="Heading9">
    <w:name w:val="heading 9"/>
    <w:basedOn w:val="Normal"/>
    <w:next w:val="Normal"/>
    <w:link w:val="Heading9Char"/>
    <w:qFormat/>
    <w:rsid w:val="00236A4C"/>
    <w:pPr>
      <w:ind w:left="720"/>
      <w:outlineLvl w:val="8"/>
    </w:pPr>
    <w:rPr>
      <w:i/>
    </w:rPr>
  </w:style>
  <w:style w:type="character" w:default="1" w:styleId="DefaultParagraphFont">
    <w:name w:val="Default Paragraph Font"/>
    <w:uiPriority w:val="1"/>
    <w:unhideWhenUsed/>
    <w:rsid w:val="00236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A4C"/>
  </w:style>
  <w:style w:type="character" w:customStyle="1" w:styleId="Heading1Char">
    <w:name w:val="Heading 1 Char"/>
    <w:basedOn w:val="DefaultParagraphFont"/>
    <w:link w:val="Heading1"/>
    <w:rsid w:val="00236A4C"/>
    <w:rPr>
      <w:rFonts w:ascii="Times New Roman" w:eastAsia="Times New Roman" w:hAnsi="Times New Roman" w:cs="Times New Roman"/>
      <w:b/>
      <w:sz w:val="32"/>
      <w:szCs w:val="20"/>
      <w:lang w:eastAsia="en-US"/>
    </w:rPr>
  </w:style>
  <w:style w:type="paragraph" w:styleId="BodyText">
    <w:name w:val="Body Text"/>
    <w:basedOn w:val="Normal"/>
    <w:link w:val="BodyTextChar"/>
    <w:rsid w:val="00236A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A4C"/>
    <w:rPr>
      <w:rFonts w:ascii="Times New Roman" w:eastAsia="Times New Roman" w:hAnsi="Times New Roman" w:cs="Times New Roman"/>
      <w:sz w:val="24"/>
      <w:lang w:val="en-US" w:eastAsia="en-US"/>
    </w:rPr>
  </w:style>
  <w:style w:type="paragraph" w:styleId="Footer">
    <w:name w:val="footer"/>
    <w:basedOn w:val="Normal"/>
    <w:link w:val="FooterChar"/>
    <w:rsid w:val="00236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A4C"/>
    <w:rPr>
      <w:rFonts w:ascii="Times New Roman" w:eastAsia="Times New Roman" w:hAnsi="Times New Roman" w:cs="Times New Roman"/>
      <w:sz w:val="16"/>
      <w:lang w:val="en-US" w:eastAsia="en-US"/>
    </w:rPr>
  </w:style>
  <w:style w:type="paragraph" w:styleId="ListBullet">
    <w:name w:val="List Bullet"/>
    <w:basedOn w:val="List"/>
    <w:rsid w:val="00236A4C"/>
    <w:pPr>
      <w:numPr>
        <w:numId w:val="14"/>
      </w:numPr>
      <w:tabs>
        <w:tab w:val="clear" w:pos="340"/>
      </w:tabs>
      <w:spacing w:before="40" w:after="40"/>
    </w:pPr>
  </w:style>
  <w:style w:type="character" w:customStyle="1" w:styleId="SpecialBold">
    <w:name w:val="Special Bold"/>
    <w:basedOn w:val="DefaultParagraphFont"/>
    <w:rsid w:val="00236A4C"/>
    <w:rPr>
      <w:b/>
      <w:spacing w:val="0"/>
    </w:rPr>
  </w:style>
  <w:style w:type="paragraph" w:styleId="ListBullet2">
    <w:name w:val="List Bullet 2"/>
    <w:basedOn w:val="List2"/>
    <w:rsid w:val="00236A4C"/>
    <w:pPr>
      <w:numPr>
        <w:numId w:val="15"/>
      </w:numPr>
      <w:tabs>
        <w:tab w:val="clear" w:pos="680"/>
      </w:tabs>
    </w:pPr>
  </w:style>
  <w:style w:type="paragraph" w:styleId="Header">
    <w:name w:val="header"/>
    <w:basedOn w:val="Normal"/>
    <w:link w:val="HeaderChar"/>
    <w:rsid w:val="00236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A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6A4C"/>
    <w:pPr>
      <w:spacing w:before="240" w:after="120"/>
      <w:outlineLvl w:val="0"/>
    </w:pPr>
    <w:rPr>
      <w:rFonts w:ascii="Times New Roman" w:hAnsi="Times New Roman"/>
      <w:b/>
      <w:sz w:val="28"/>
    </w:rPr>
  </w:style>
  <w:style w:type="paragraph" w:customStyle="1" w:styleId="AllowPageBreak">
    <w:name w:val="AllowPageBreak"/>
    <w:rsid w:val="00236A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6A4C"/>
    <w:pPr>
      <w:numPr>
        <w:numId w:val="3"/>
      </w:numPr>
      <w:tabs>
        <w:tab w:val="clear" w:pos="1021"/>
      </w:tabs>
      <w:ind w:left="1037" w:hanging="357"/>
    </w:pPr>
  </w:style>
  <w:style w:type="character" w:customStyle="1" w:styleId="Heading2Char">
    <w:name w:val="Heading 2 Char"/>
    <w:basedOn w:val="DefaultParagraphFont"/>
    <w:link w:val="Heading2"/>
    <w:rsid w:val="00236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A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A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A4C"/>
    <w:rPr>
      <w:rFonts w:ascii="Courier New" w:eastAsia="Times New Roman" w:hAnsi="Courier New" w:cs="Times New Roman"/>
      <w:i/>
      <w:szCs w:val="20"/>
      <w:lang w:val="en-US" w:eastAsia="en-US"/>
    </w:rPr>
  </w:style>
  <w:style w:type="paragraph" w:customStyle="1" w:styleId="HeadingBase">
    <w:name w:val="Heading Base"/>
    <w:rsid w:val="00236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A4C"/>
    <w:pPr>
      <w:tabs>
        <w:tab w:val="right" w:leader="dot" w:pos="9072"/>
      </w:tabs>
      <w:ind w:left="567"/>
    </w:pPr>
    <w:rPr>
      <w:szCs w:val="22"/>
    </w:rPr>
  </w:style>
  <w:style w:type="paragraph" w:customStyle="1" w:styleId="TOCBase">
    <w:name w:val="TOC Base"/>
    <w:rsid w:val="00236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A4C"/>
    <w:pPr>
      <w:tabs>
        <w:tab w:val="right" w:leader="dot" w:pos="9072"/>
      </w:tabs>
      <w:spacing w:before="40" w:after="40"/>
      <w:ind w:left="284"/>
    </w:pPr>
    <w:rPr>
      <w:rFonts w:ascii="Times New Roman" w:hAnsi="Times New Roman"/>
    </w:rPr>
  </w:style>
  <w:style w:type="paragraph" w:styleId="TOC1">
    <w:name w:val="toc 1"/>
    <w:basedOn w:val="TOCBase"/>
    <w:next w:val="Normal"/>
    <w:rsid w:val="00236A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A4C"/>
    <w:pPr>
      <w:spacing w:before="5040"/>
      <w:jc w:val="center"/>
    </w:pPr>
    <w:rPr>
      <w:sz w:val="48"/>
      <w:szCs w:val="72"/>
      <w:lang w:val="en-US"/>
    </w:rPr>
  </w:style>
  <w:style w:type="character" w:customStyle="1" w:styleId="TitleChar">
    <w:name w:val="Title Char"/>
    <w:basedOn w:val="DefaultParagraphFont"/>
    <w:link w:val="Title"/>
    <w:rsid w:val="00236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A4C"/>
    <w:pPr>
      <w:tabs>
        <w:tab w:val="left" w:pos="3600"/>
        <w:tab w:val="left" w:pos="3958"/>
      </w:tabs>
    </w:pPr>
  </w:style>
  <w:style w:type="paragraph" w:styleId="List">
    <w:name w:val="List"/>
    <w:basedOn w:val="BodyText"/>
    <w:next w:val="BodyText"/>
    <w:rsid w:val="00236A4C"/>
    <w:pPr>
      <w:tabs>
        <w:tab w:val="left" w:pos="340"/>
      </w:tabs>
      <w:spacing w:before="60" w:after="60"/>
      <w:ind w:left="340" w:hanging="340"/>
    </w:pPr>
  </w:style>
  <w:style w:type="paragraph" w:customStyle="1" w:styleId="Note">
    <w:name w:val="Note"/>
    <w:basedOn w:val="BodyText"/>
    <w:rsid w:val="00236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A4C"/>
    <w:pPr>
      <w:framePr w:wrap="auto" w:hAnchor="text" w:y="6049"/>
    </w:pPr>
    <w:rPr>
      <w:color w:val="000000"/>
      <w:sz w:val="40"/>
    </w:rPr>
  </w:style>
  <w:style w:type="paragraph" w:customStyle="1" w:styleId="TOCTitle">
    <w:name w:val="TOCTitle"/>
    <w:basedOn w:val="Heading1"/>
    <w:rsid w:val="00236A4C"/>
    <w:pPr>
      <w:spacing w:after="240"/>
      <w:jc w:val="center"/>
      <w:outlineLvl w:val="9"/>
    </w:pPr>
    <w:rPr>
      <w:caps/>
    </w:rPr>
  </w:style>
  <w:style w:type="paragraph" w:customStyle="1" w:styleId="Version">
    <w:name w:val="Version"/>
    <w:rsid w:val="00236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A4C"/>
    <w:pPr>
      <w:keepNext w:val="0"/>
      <w:tabs>
        <w:tab w:val="right" w:pos="4176"/>
      </w:tabs>
      <w:ind w:left="198" w:hanging="198"/>
    </w:pPr>
    <w:rPr>
      <w:rFonts w:ascii="Garamond" w:hAnsi="Garamond"/>
    </w:rPr>
  </w:style>
  <w:style w:type="paragraph" w:styleId="IndexHeading">
    <w:name w:val="index heading"/>
    <w:basedOn w:val="Normal"/>
    <w:next w:val="Index1"/>
    <w:semiHidden/>
    <w:rsid w:val="00236A4C"/>
    <w:pPr>
      <w:spacing w:before="120" w:after="120"/>
    </w:pPr>
    <w:rPr>
      <w:rFonts w:ascii="Arial" w:hAnsi="Arial"/>
      <w:b/>
      <w:color w:val="918585"/>
      <w:sz w:val="24"/>
    </w:rPr>
  </w:style>
  <w:style w:type="paragraph" w:customStyle="1" w:styleId="Chapter">
    <w:name w:val="Chapter"/>
    <w:basedOn w:val="Normal"/>
    <w:rsid w:val="00236A4C"/>
    <w:pPr>
      <w:spacing w:before="240"/>
    </w:pPr>
    <w:rPr>
      <w:rFonts w:ascii="Times New Roman" w:hAnsi="Times New Roman"/>
      <w:smallCaps/>
      <w:spacing w:val="80"/>
      <w:sz w:val="28"/>
    </w:rPr>
  </w:style>
  <w:style w:type="paragraph" w:customStyle="1" w:styleId="InChapter">
    <w:name w:val="InChapter"/>
    <w:basedOn w:val="Heading3"/>
    <w:rsid w:val="00236A4C"/>
    <w:pPr>
      <w:spacing w:after="240"/>
      <w:outlineLvl w:val="9"/>
    </w:pPr>
    <w:rPr>
      <w:noProof/>
    </w:rPr>
  </w:style>
  <w:style w:type="paragraph" w:styleId="Index2">
    <w:name w:val="index 2"/>
    <w:basedOn w:val="Normal"/>
    <w:next w:val="Normal"/>
    <w:semiHidden/>
    <w:rsid w:val="00236A4C"/>
    <w:pPr>
      <w:tabs>
        <w:tab w:val="right" w:pos="4176"/>
      </w:tabs>
      <w:ind w:left="568" w:hanging="284"/>
    </w:pPr>
    <w:rPr>
      <w:rFonts w:ascii="Garamond" w:hAnsi="Garamond"/>
    </w:rPr>
  </w:style>
  <w:style w:type="paragraph" w:customStyle="1" w:styleId="Byline">
    <w:name w:val="Byline"/>
    <w:rsid w:val="00236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A4C"/>
    <w:pPr>
      <w:tabs>
        <w:tab w:val="clear" w:pos="3600"/>
        <w:tab w:val="clear" w:pos="3958"/>
      </w:tabs>
      <w:jc w:val="right"/>
    </w:pPr>
  </w:style>
  <w:style w:type="character" w:styleId="Emphasis">
    <w:name w:val="Emphasis"/>
    <w:basedOn w:val="DefaultParagraphFont"/>
    <w:qFormat/>
    <w:rsid w:val="00236A4C"/>
    <w:rPr>
      <w:i/>
    </w:rPr>
  </w:style>
  <w:style w:type="paragraph" w:styleId="Caption">
    <w:name w:val="caption"/>
    <w:basedOn w:val="BodyText"/>
    <w:next w:val="Normal"/>
    <w:qFormat/>
    <w:rsid w:val="00236A4C"/>
    <w:pPr>
      <w:framePr w:w="2268" w:hSpace="181" w:vSpace="181" w:wrap="around" w:vAnchor="text" w:hAnchor="page" w:x="1135" w:y="285" w:anchorLock="1"/>
    </w:pPr>
    <w:rPr>
      <w:i/>
    </w:rPr>
  </w:style>
  <w:style w:type="paragraph" w:customStyle="1" w:styleId="MiniTOCTitle">
    <w:name w:val="MiniTOCTitle"/>
    <w:basedOn w:val="Heading4"/>
    <w:rsid w:val="00236A4C"/>
    <w:pPr>
      <w:spacing w:before="240"/>
      <w:outlineLvl w:val="9"/>
    </w:pPr>
    <w:rPr>
      <w:noProof/>
      <w:sz w:val="24"/>
    </w:rPr>
  </w:style>
  <w:style w:type="paragraph" w:customStyle="1" w:styleId="MiniTOCItem">
    <w:name w:val="MiniTOCItem"/>
    <w:basedOn w:val="ListBullet"/>
    <w:rsid w:val="00236A4C"/>
    <w:pPr>
      <w:numPr>
        <w:numId w:val="0"/>
      </w:numPr>
      <w:tabs>
        <w:tab w:val="right" w:leader="dot" w:pos="6521"/>
      </w:tabs>
      <w:spacing w:before="0" w:after="0"/>
    </w:pPr>
  </w:style>
  <w:style w:type="paragraph" w:customStyle="1" w:styleId="TOFTitle">
    <w:name w:val="TOFTitle"/>
    <w:basedOn w:val="TOCTitle"/>
    <w:rsid w:val="00236A4C"/>
  </w:style>
  <w:style w:type="paragraph" w:styleId="TableofFigures">
    <w:name w:val="table of figures"/>
    <w:basedOn w:val="Normal"/>
    <w:next w:val="Normal"/>
    <w:semiHidden/>
    <w:rsid w:val="00236A4C"/>
    <w:pPr>
      <w:tabs>
        <w:tab w:val="right" w:leader="dot" w:pos="9072"/>
      </w:tabs>
      <w:ind w:left="970" w:hanging="403"/>
    </w:pPr>
    <w:rPr>
      <w:rFonts w:ascii="Times New Roman" w:hAnsi="Times New Roman"/>
      <w:b/>
    </w:rPr>
  </w:style>
  <w:style w:type="paragraph" w:styleId="ListNumber">
    <w:name w:val="List Number"/>
    <w:basedOn w:val="List"/>
    <w:rsid w:val="00236A4C"/>
    <w:pPr>
      <w:numPr>
        <w:numId w:val="12"/>
      </w:numPr>
    </w:pPr>
  </w:style>
  <w:style w:type="character" w:customStyle="1" w:styleId="WingdingSymbols">
    <w:name w:val="Wingding Symbols"/>
    <w:rsid w:val="00236A4C"/>
    <w:rPr>
      <w:rFonts w:ascii="Wingdings" w:hAnsi="Wingdings"/>
    </w:rPr>
  </w:style>
  <w:style w:type="paragraph" w:customStyle="1" w:styleId="TableHeading">
    <w:name w:val="Table Heading"/>
    <w:basedOn w:val="HeadingBase"/>
    <w:rsid w:val="00236A4C"/>
    <w:pPr>
      <w:keepLines/>
      <w:pBdr>
        <w:bottom w:val="single" w:sz="6" w:space="1" w:color="918585"/>
      </w:pBdr>
      <w:spacing w:before="240"/>
    </w:pPr>
  </w:style>
  <w:style w:type="character" w:customStyle="1" w:styleId="HotSpot">
    <w:name w:val="HotSpot"/>
    <w:rsid w:val="00236A4C"/>
    <w:rPr>
      <w:color w:val="0033CC"/>
      <w:u w:val="none"/>
    </w:rPr>
  </w:style>
  <w:style w:type="paragraph" w:customStyle="1" w:styleId="BodyTextRight">
    <w:name w:val="Body Text Right"/>
    <w:basedOn w:val="BodyText"/>
    <w:rsid w:val="00236A4C"/>
    <w:pPr>
      <w:spacing w:before="0" w:after="0"/>
      <w:jc w:val="right"/>
    </w:pPr>
  </w:style>
  <w:style w:type="paragraph" w:styleId="Index3">
    <w:name w:val="index 3"/>
    <w:basedOn w:val="ListNumber2"/>
    <w:next w:val="Normal"/>
    <w:semiHidden/>
    <w:rsid w:val="00236A4C"/>
    <w:pPr>
      <w:numPr>
        <w:numId w:val="0"/>
      </w:numPr>
      <w:tabs>
        <w:tab w:val="right" w:leader="dot" w:pos="4176"/>
      </w:tabs>
    </w:pPr>
  </w:style>
  <w:style w:type="paragraph" w:styleId="ListNumber2">
    <w:name w:val="List Number 2"/>
    <w:basedOn w:val="List2"/>
    <w:rsid w:val="00236A4C"/>
    <w:pPr>
      <w:numPr>
        <w:numId w:val="11"/>
      </w:numPr>
      <w:tabs>
        <w:tab w:val="clear" w:pos="1060"/>
      </w:tabs>
    </w:pPr>
  </w:style>
  <w:style w:type="paragraph" w:customStyle="1" w:styleId="MarginNote">
    <w:name w:val="Margin Note"/>
    <w:basedOn w:val="BodyText"/>
    <w:rsid w:val="00236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A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A4C"/>
    <w:rPr>
      <w:sz w:val="32"/>
    </w:rPr>
  </w:style>
  <w:style w:type="paragraph" w:customStyle="1" w:styleId="HeadingProcedure">
    <w:name w:val="Heading Procedure"/>
    <w:basedOn w:val="HeadingBase"/>
    <w:next w:val="Normal"/>
    <w:rsid w:val="00236A4C"/>
    <w:pPr>
      <w:tabs>
        <w:tab w:val="left" w:pos="0"/>
      </w:tabs>
      <w:spacing w:before="120" w:after="60"/>
    </w:pPr>
    <w:rPr>
      <w:i/>
      <w:color w:val="918585"/>
      <w:sz w:val="22"/>
    </w:rPr>
  </w:style>
  <w:style w:type="paragraph" w:customStyle="1" w:styleId="TableBodyText">
    <w:name w:val="Table Body Text"/>
    <w:basedOn w:val="BodyText"/>
    <w:rsid w:val="00236A4C"/>
    <w:pPr>
      <w:spacing w:before="60" w:after="60"/>
    </w:pPr>
  </w:style>
  <w:style w:type="paragraph" w:styleId="ListContinue">
    <w:name w:val="List Continue"/>
    <w:basedOn w:val="List"/>
    <w:rsid w:val="00236A4C"/>
    <w:pPr>
      <w:ind w:firstLine="0"/>
    </w:pPr>
  </w:style>
  <w:style w:type="paragraph" w:customStyle="1" w:styleId="ListNote">
    <w:name w:val="List Note"/>
    <w:basedOn w:val="List"/>
    <w:rsid w:val="00236A4C"/>
    <w:pPr>
      <w:pBdr>
        <w:top w:val="single" w:sz="6" w:space="2" w:color="918585"/>
        <w:bottom w:val="single" w:sz="6" w:space="2" w:color="918585"/>
      </w:pBdr>
      <w:tabs>
        <w:tab w:val="left" w:pos="1021"/>
      </w:tabs>
      <w:ind w:firstLine="0"/>
    </w:pPr>
  </w:style>
  <w:style w:type="paragraph" w:customStyle="1" w:styleId="Warning">
    <w:name w:val="Warning"/>
    <w:basedOn w:val="BodyText"/>
    <w:rsid w:val="00236A4C"/>
    <w:pPr>
      <w:shd w:val="clear" w:color="auto" w:fill="D9D9D9"/>
      <w:tabs>
        <w:tab w:val="left" w:pos="992"/>
      </w:tabs>
      <w:ind w:left="119" w:right="119"/>
    </w:pPr>
    <w:rPr>
      <w:sz w:val="20"/>
    </w:rPr>
  </w:style>
  <w:style w:type="paragraph" w:customStyle="1" w:styleId="MarginIcons">
    <w:name w:val="Margin Icons"/>
    <w:basedOn w:val="BodyText"/>
    <w:rsid w:val="00236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A4C"/>
    <w:rPr>
      <w:rFonts w:ascii="Courier New" w:hAnsi="Courier New"/>
    </w:rPr>
  </w:style>
  <w:style w:type="paragraph" w:customStyle="1" w:styleId="NoteBullet">
    <w:name w:val="Note Bullet"/>
    <w:basedOn w:val="Note"/>
    <w:rsid w:val="00236A4C"/>
    <w:pPr>
      <w:tabs>
        <w:tab w:val="clear" w:pos="680"/>
      </w:tabs>
      <w:spacing w:before="60" w:after="60"/>
    </w:pPr>
  </w:style>
  <w:style w:type="paragraph" w:customStyle="1" w:styleId="SubHeading2">
    <w:name w:val="SubHeading2"/>
    <w:basedOn w:val="HeadingBase"/>
    <w:rsid w:val="00236A4C"/>
    <w:pPr>
      <w:spacing w:before="240" w:after="60"/>
    </w:pPr>
    <w:rPr>
      <w:sz w:val="20"/>
    </w:rPr>
  </w:style>
  <w:style w:type="paragraph" w:customStyle="1" w:styleId="SubHeading1">
    <w:name w:val="SubHeading1"/>
    <w:basedOn w:val="HeadingBase"/>
    <w:rsid w:val="00236A4C"/>
    <w:pPr>
      <w:spacing w:before="240" w:after="60"/>
    </w:pPr>
    <w:rPr>
      <w:color w:val="918585"/>
      <w:sz w:val="22"/>
    </w:rPr>
  </w:style>
  <w:style w:type="paragraph" w:customStyle="1" w:styleId="SideHeading">
    <w:name w:val="Side Heading"/>
    <w:basedOn w:val="HeadingBase"/>
    <w:rsid w:val="00236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A4C"/>
    <w:pPr>
      <w:numPr>
        <w:numId w:val="13"/>
      </w:numPr>
    </w:pPr>
  </w:style>
  <w:style w:type="paragraph" w:styleId="PlainText">
    <w:name w:val="Plain Text"/>
    <w:basedOn w:val="Normal"/>
    <w:link w:val="PlainTextChar"/>
    <w:rsid w:val="00236A4C"/>
    <w:rPr>
      <w:sz w:val="20"/>
    </w:rPr>
  </w:style>
  <w:style w:type="character" w:customStyle="1" w:styleId="PlainTextChar">
    <w:name w:val="Plain Text Char"/>
    <w:basedOn w:val="DefaultParagraphFont"/>
    <w:link w:val="PlainText"/>
    <w:rsid w:val="00236A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A4C"/>
    <w:rPr>
      <w:b/>
      <w:smallCaps/>
    </w:rPr>
  </w:style>
  <w:style w:type="paragraph" w:customStyle="1" w:styleId="TableListNumber">
    <w:name w:val="Table List Number"/>
    <w:basedOn w:val="ListNumber"/>
    <w:rsid w:val="00236A4C"/>
    <w:pPr>
      <w:numPr>
        <w:numId w:val="0"/>
      </w:numPr>
    </w:pPr>
  </w:style>
  <w:style w:type="paragraph" w:styleId="TOC4">
    <w:name w:val="toc 4"/>
    <w:basedOn w:val="TOCBase"/>
    <w:next w:val="Normal"/>
    <w:semiHidden/>
    <w:rsid w:val="00236A4C"/>
    <w:pPr>
      <w:tabs>
        <w:tab w:val="right" w:leader="dot" w:pos="9071"/>
      </w:tabs>
      <w:ind w:left="1701"/>
    </w:pPr>
  </w:style>
  <w:style w:type="paragraph" w:customStyle="1" w:styleId="ListAlpha">
    <w:name w:val="List Alpha"/>
    <w:basedOn w:val="List"/>
    <w:rsid w:val="00236A4C"/>
    <w:pPr>
      <w:numPr>
        <w:numId w:val="10"/>
      </w:numPr>
    </w:pPr>
  </w:style>
  <w:style w:type="paragraph" w:customStyle="1" w:styleId="ListAlpha2">
    <w:name w:val="List Alpha 2"/>
    <w:basedOn w:val="List2"/>
    <w:rsid w:val="00236A4C"/>
    <w:pPr>
      <w:numPr>
        <w:numId w:val="9"/>
      </w:numPr>
    </w:pPr>
  </w:style>
  <w:style w:type="paragraph" w:styleId="List2">
    <w:name w:val="List 2"/>
    <w:basedOn w:val="BodyText"/>
    <w:rsid w:val="00236A4C"/>
    <w:pPr>
      <w:tabs>
        <w:tab w:val="left" w:pos="680"/>
      </w:tabs>
      <w:spacing w:before="60" w:after="60"/>
      <w:ind w:left="680" w:hanging="340"/>
    </w:pPr>
  </w:style>
  <w:style w:type="paragraph" w:styleId="List3">
    <w:name w:val="List 3"/>
    <w:basedOn w:val="BodyText"/>
    <w:rsid w:val="00236A4C"/>
    <w:pPr>
      <w:tabs>
        <w:tab w:val="left" w:pos="1021"/>
      </w:tabs>
      <w:spacing w:before="60" w:after="60"/>
      <w:ind w:left="1020" w:hanging="340"/>
    </w:pPr>
  </w:style>
  <w:style w:type="paragraph" w:styleId="List4">
    <w:name w:val="List 4"/>
    <w:basedOn w:val="BodyText"/>
    <w:rsid w:val="00236A4C"/>
    <w:pPr>
      <w:tabs>
        <w:tab w:val="left" w:pos="1361"/>
      </w:tabs>
      <w:spacing w:before="60" w:after="60"/>
      <w:ind w:left="1361" w:hanging="340"/>
    </w:pPr>
  </w:style>
  <w:style w:type="paragraph" w:styleId="List5">
    <w:name w:val="List 5"/>
    <w:basedOn w:val="BodyText"/>
    <w:rsid w:val="00236A4C"/>
    <w:pPr>
      <w:tabs>
        <w:tab w:val="left" w:pos="1701"/>
      </w:tabs>
      <w:spacing w:before="60" w:after="60"/>
      <w:ind w:left="1701" w:hanging="340"/>
    </w:pPr>
  </w:style>
  <w:style w:type="paragraph" w:styleId="ListBullet4">
    <w:name w:val="List Bullet 4"/>
    <w:basedOn w:val="List4"/>
    <w:rsid w:val="00236A4C"/>
    <w:pPr>
      <w:numPr>
        <w:numId w:val="4"/>
      </w:numPr>
    </w:pPr>
  </w:style>
  <w:style w:type="paragraph" w:styleId="ListBullet5">
    <w:name w:val="List Bullet 5"/>
    <w:basedOn w:val="List5"/>
    <w:rsid w:val="00236A4C"/>
    <w:pPr>
      <w:numPr>
        <w:numId w:val="5"/>
      </w:numPr>
    </w:pPr>
  </w:style>
  <w:style w:type="paragraph" w:styleId="ListContinue2">
    <w:name w:val="List Continue 2"/>
    <w:basedOn w:val="List2"/>
    <w:rsid w:val="00236A4C"/>
    <w:pPr>
      <w:ind w:firstLine="0"/>
    </w:pPr>
  </w:style>
  <w:style w:type="paragraph" w:styleId="ListContinue3">
    <w:name w:val="List Continue 3"/>
    <w:basedOn w:val="List3"/>
    <w:rsid w:val="00236A4C"/>
    <w:pPr>
      <w:ind w:left="1021" w:firstLine="0"/>
    </w:pPr>
  </w:style>
  <w:style w:type="paragraph" w:styleId="ListContinue4">
    <w:name w:val="List Continue 4"/>
    <w:basedOn w:val="List4"/>
    <w:rsid w:val="00236A4C"/>
    <w:pPr>
      <w:ind w:firstLine="0"/>
    </w:pPr>
  </w:style>
  <w:style w:type="paragraph" w:styleId="ListContinue5">
    <w:name w:val="List Continue 5"/>
    <w:basedOn w:val="List5"/>
    <w:rsid w:val="00236A4C"/>
    <w:pPr>
      <w:ind w:firstLine="0"/>
    </w:pPr>
  </w:style>
  <w:style w:type="paragraph" w:styleId="ListNumber3">
    <w:name w:val="List Number 3"/>
    <w:basedOn w:val="List3"/>
    <w:rsid w:val="00236A4C"/>
    <w:pPr>
      <w:numPr>
        <w:numId w:val="6"/>
      </w:numPr>
    </w:pPr>
  </w:style>
  <w:style w:type="paragraph" w:styleId="ListNumber4">
    <w:name w:val="List Number 4"/>
    <w:basedOn w:val="List4"/>
    <w:rsid w:val="00236A4C"/>
    <w:pPr>
      <w:numPr>
        <w:numId w:val="7"/>
      </w:numPr>
    </w:pPr>
  </w:style>
  <w:style w:type="paragraph" w:styleId="ListNumber5">
    <w:name w:val="List Number 5"/>
    <w:basedOn w:val="List5"/>
    <w:rsid w:val="00236A4C"/>
    <w:pPr>
      <w:numPr>
        <w:numId w:val="8"/>
      </w:numPr>
    </w:pPr>
  </w:style>
  <w:style w:type="paragraph" w:styleId="BlockText">
    <w:name w:val="Block Text"/>
    <w:basedOn w:val="Normal"/>
    <w:rsid w:val="00236A4C"/>
    <w:pPr>
      <w:spacing w:after="120"/>
      <w:ind w:left="1440" w:right="1440"/>
    </w:pPr>
  </w:style>
  <w:style w:type="character" w:customStyle="1" w:styleId="Subscript">
    <w:name w:val="Subscript"/>
    <w:basedOn w:val="DefaultParagraphFont"/>
    <w:rsid w:val="00236A4C"/>
    <w:rPr>
      <w:sz w:val="16"/>
      <w:vertAlign w:val="subscript"/>
    </w:rPr>
  </w:style>
  <w:style w:type="character" w:customStyle="1" w:styleId="Superscript">
    <w:name w:val="Superscript"/>
    <w:basedOn w:val="DefaultParagraphFont"/>
    <w:rsid w:val="00236A4C"/>
    <w:rPr>
      <w:sz w:val="16"/>
      <w:vertAlign w:val="superscript"/>
    </w:rPr>
  </w:style>
  <w:style w:type="character" w:customStyle="1" w:styleId="Symbols">
    <w:name w:val="Symbols"/>
    <w:basedOn w:val="DefaultParagraphFont"/>
    <w:rsid w:val="00236A4C"/>
    <w:rPr>
      <w:rFonts w:ascii="Symbol" w:hAnsi="Symbol"/>
    </w:rPr>
  </w:style>
  <w:style w:type="character" w:customStyle="1" w:styleId="MenuOptions">
    <w:name w:val="Menu Options"/>
    <w:basedOn w:val="DefaultParagraphFont"/>
    <w:rsid w:val="00236A4C"/>
    <w:rPr>
      <w:rFonts w:ascii="Arial Narrow" w:hAnsi="Arial Narrow"/>
      <w:smallCaps/>
    </w:rPr>
  </w:style>
  <w:style w:type="character" w:customStyle="1" w:styleId="Buttons">
    <w:name w:val="Buttons"/>
    <w:basedOn w:val="DefaultParagraphFont"/>
    <w:rsid w:val="00236A4C"/>
    <w:rPr>
      <w:b/>
    </w:rPr>
  </w:style>
  <w:style w:type="character" w:customStyle="1" w:styleId="Underlined">
    <w:name w:val="Underlined"/>
    <w:basedOn w:val="DefaultParagraphFont"/>
    <w:rsid w:val="00236A4C"/>
    <w:rPr>
      <w:u w:val="single"/>
    </w:rPr>
  </w:style>
  <w:style w:type="paragraph" w:customStyle="1" w:styleId="TableBodyTextRight">
    <w:name w:val="Table Body Text Right"/>
    <w:basedOn w:val="TableBodyText"/>
    <w:rsid w:val="00236A4C"/>
    <w:pPr>
      <w:widowControl w:val="0"/>
      <w:autoSpaceDE w:val="0"/>
      <w:autoSpaceDN w:val="0"/>
      <w:adjustRightInd w:val="0"/>
      <w:jc w:val="right"/>
    </w:pPr>
    <w:rPr>
      <w:rFonts w:cs="Arial"/>
      <w:szCs w:val="18"/>
    </w:rPr>
  </w:style>
  <w:style w:type="paragraph" w:customStyle="1" w:styleId="CopyrightText">
    <w:name w:val="Copyright Text"/>
    <w:basedOn w:val="BodyText"/>
    <w:rsid w:val="00236A4C"/>
    <w:rPr>
      <w:sz w:val="18"/>
    </w:rPr>
  </w:style>
  <w:style w:type="paragraph" w:customStyle="1" w:styleId="BodySmallRight">
    <w:name w:val="Body Small Right"/>
    <w:basedOn w:val="BodyTextRight"/>
    <w:rsid w:val="00236A4C"/>
    <w:rPr>
      <w:sz w:val="18"/>
      <w:szCs w:val="18"/>
    </w:rPr>
  </w:style>
  <w:style w:type="paragraph" w:customStyle="1" w:styleId="MarginEdition">
    <w:name w:val="Margin Edition"/>
    <w:basedOn w:val="MarginNote"/>
    <w:rsid w:val="00236A4C"/>
    <w:pPr>
      <w:spacing w:before="0" w:after="0"/>
    </w:pPr>
    <w:rPr>
      <w:rFonts w:ascii="Times New Roman" w:hAnsi="Times New Roman"/>
      <w:color w:val="999999"/>
    </w:rPr>
  </w:style>
  <w:style w:type="paragraph" w:customStyle="1" w:styleId="Spacer">
    <w:name w:val="Spacer"/>
    <w:basedOn w:val="Normal"/>
    <w:rsid w:val="00236A4C"/>
    <w:rPr>
      <w:sz w:val="2"/>
      <w:szCs w:val="2"/>
    </w:rPr>
  </w:style>
  <w:style w:type="character" w:customStyle="1" w:styleId="Small">
    <w:name w:val="Small"/>
    <w:basedOn w:val="DefaultParagraphFont"/>
    <w:rsid w:val="00236A4C"/>
    <w:rPr>
      <w:sz w:val="16"/>
    </w:rPr>
  </w:style>
  <w:style w:type="paragraph" w:customStyle="1" w:styleId="WideTable">
    <w:name w:val="Wide Table"/>
    <w:basedOn w:val="Normal"/>
    <w:rsid w:val="00236A4C"/>
    <w:pPr>
      <w:ind w:left="-1418"/>
    </w:pPr>
    <w:rPr>
      <w:sz w:val="2"/>
      <w:szCs w:val="2"/>
    </w:rPr>
  </w:style>
  <w:style w:type="character" w:styleId="PageNumber">
    <w:name w:val="page number"/>
    <w:basedOn w:val="DefaultParagraphFont"/>
    <w:rsid w:val="00236A4C"/>
  </w:style>
  <w:style w:type="paragraph" w:styleId="Quote">
    <w:name w:val="Quote"/>
    <w:basedOn w:val="Heading1"/>
    <w:link w:val="QuoteChar"/>
    <w:qFormat/>
    <w:rsid w:val="00236A4C"/>
    <w:rPr>
      <w:b w:val="0"/>
      <w:sz w:val="72"/>
      <w:szCs w:val="72"/>
      <w:lang w:val="en-NZ"/>
    </w:rPr>
  </w:style>
  <w:style w:type="character" w:customStyle="1" w:styleId="QuoteChar">
    <w:name w:val="Quote Char"/>
    <w:basedOn w:val="DefaultParagraphFont"/>
    <w:link w:val="Quote"/>
    <w:rsid w:val="00236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A4C"/>
    <w:pPr>
      <w:pageBreakBefore/>
    </w:pPr>
  </w:style>
  <w:style w:type="paragraph" w:customStyle="1" w:styleId="Border">
    <w:name w:val="Border"/>
    <w:basedOn w:val="Normal"/>
    <w:qFormat/>
    <w:rsid w:val="00236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A4C"/>
    <w:rPr>
      <w:b/>
      <w:bCs/>
      <w:i/>
      <w:iCs/>
      <w:color w:val="auto"/>
    </w:rPr>
  </w:style>
  <w:style w:type="paragraph" w:styleId="IntenseQuote">
    <w:name w:val="Intense Quote"/>
    <w:basedOn w:val="Normal"/>
    <w:next w:val="Normal"/>
    <w:link w:val="IntenseQuoteChar"/>
    <w:uiPriority w:val="30"/>
    <w:qFormat/>
    <w:rsid w:val="00236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A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A4C"/>
    <w:rPr>
      <w:smallCaps/>
      <w:color w:val="auto"/>
      <w:u w:val="single"/>
    </w:rPr>
  </w:style>
  <w:style w:type="character" w:styleId="IntenseReference">
    <w:name w:val="Intense Reference"/>
    <w:basedOn w:val="DefaultParagraphFont"/>
    <w:uiPriority w:val="32"/>
    <w:qFormat/>
    <w:rsid w:val="00236A4C"/>
    <w:rPr>
      <w:b/>
      <w:bCs/>
      <w:smallCaps/>
      <w:color w:val="auto"/>
      <w:spacing w:val="5"/>
      <w:u w:val="single"/>
    </w:rPr>
  </w:style>
  <w:style w:type="paragraph" w:customStyle="1" w:styleId="2ColumnHeading">
    <w:name w:val="2Column Heading"/>
    <w:basedOn w:val="BodyText"/>
    <w:qFormat/>
    <w:rsid w:val="00236A4C"/>
    <w:pPr>
      <w:spacing w:after="60"/>
      <w:ind w:left="-2268"/>
    </w:pPr>
    <w:rPr>
      <w:b/>
    </w:rPr>
  </w:style>
  <w:style w:type="paragraph" w:customStyle="1" w:styleId="Heading1TOC">
    <w:name w:val="Heading1 TOC"/>
    <w:basedOn w:val="Normal"/>
    <w:qFormat/>
    <w:rsid w:val="00236A4C"/>
    <w:pPr>
      <w:spacing w:before="240" w:after="120"/>
    </w:pPr>
    <w:rPr>
      <w:rFonts w:ascii="Times New Roman" w:hAnsi="Times New Roman"/>
      <w:b/>
      <w:sz w:val="32"/>
    </w:rPr>
  </w:style>
  <w:style w:type="paragraph" w:customStyle="1" w:styleId="Heading2TOC">
    <w:name w:val="Heading2 TOC"/>
    <w:basedOn w:val="Normal"/>
    <w:qFormat/>
    <w:rsid w:val="00236A4C"/>
    <w:pPr>
      <w:spacing w:before="240" w:after="60"/>
    </w:pPr>
    <w:rPr>
      <w:rFonts w:ascii="Times New Roman" w:hAnsi="Times New Roman"/>
      <w:b/>
      <w:sz w:val="28"/>
    </w:rPr>
  </w:style>
  <w:style w:type="character" w:customStyle="1" w:styleId="Underline">
    <w:name w:val="Underline"/>
    <w:basedOn w:val="DefaultParagraphFont"/>
    <w:qFormat/>
    <w:rsid w:val="00236A4C"/>
    <w:rPr>
      <w:u w:val="single"/>
    </w:rPr>
  </w:style>
  <w:style w:type="character" w:customStyle="1" w:styleId="BoldandItalics">
    <w:name w:val="Bold and Italics"/>
    <w:qFormat/>
    <w:rsid w:val="00236A4C"/>
    <w:rPr>
      <w:b/>
      <w:i/>
      <w:u w:val="none"/>
    </w:rPr>
  </w:style>
  <w:style w:type="paragraph" w:styleId="BalloonText">
    <w:name w:val="Balloon Text"/>
    <w:basedOn w:val="Normal"/>
    <w:link w:val="BalloonTextChar"/>
    <w:rsid w:val="00236A4C"/>
    <w:rPr>
      <w:rFonts w:ascii="Tahoma" w:hAnsi="Tahoma" w:cs="Tahoma"/>
      <w:sz w:val="16"/>
      <w:szCs w:val="16"/>
    </w:rPr>
  </w:style>
  <w:style w:type="character" w:customStyle="1" w:styleId="BalloonTextChar">
    <w:name w:val="Balloon Text Char"/>
    <w:basedOn w:val="DefaultParagraphFont"/>
    <w:link w:val="BalloonText"/>
    <w:rsid w:val="00236A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A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A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2958</Words>
  <Characters>19136</Characters>
  <Application>Microsoft Office Word</Application>
  <DocSecurity>0</DocSecurity>
  <Lines>711</Lines>
  <Paragraphs>283</Paragraphs>
  <ScaleCrop>false</ScaleCrop>
  <Company>Author-it Software Corporation Ltd.</Company>
  <LinksUpToDate>false</LinksUpToDate>
  <CharactersWithSpaces>21884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UETTDRSO34A Control power systems generating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