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53" w:rsidP="00675253">
      <w:pPr>
        <w:pStyle w:val="Title"/>
      </w:pPr>
      <w:r>
        <w:fldChar w:fldCharType="begin"/>
      </w:r>
      <w:r>
        <w:instrText xml:space="preserve"> TITLE   \* MERGEFORMAT </w:instrText>
      </w:r>
      <w:r>
        <w:fldChar w:fldCharType="separate"/>
      </w:r>
      <w:r>
        <w:t>UETTDRSO32A Manage power systems network faults</w:t>
      </w:r>
      <w:r>
        <w:fldChar w:fldCharType="end"/>
      </w:r>
    </w:p>
    <w:p w:rsidR="00675253" w:rsidP="00675253">
      <w:pPr>
        <w:pStyle w:val="Version"/>
        <w:sectPr w:rsidSect="00D52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8EF" w:rsidP="00D528EF">
      <w:pPr>
        <w:pStyle w:val="SuperHeading"/>
      </w:pPr>
      <w:r w:rsidRPr="00D528EF">
        <w:t>UETTDRSO32A Manage power systems network faults</w:t>
      </w:r>
    </w:p>
    <w:p w:rsidR="00000000" w:rsidRPr="00D528EF" w:rsidP="00D528EF">
      <w:pPr>
        <w:pStyle w:val="Heading1"/>
      </w:pPr>
      <w:bookmarkStart w:id="1" w:name="O_464919"/>
      <w:bookmarkEnd w:id="1"/>
      <w:r w:rsidRPr="00D528EF">
        <w:t>Modification History</w:t>
      </w:r>
    </w:p>
    <w:p w:rsidR="00000000" w:rsidRPr="00D528EF" w:rsidP="00D528EF">
      <w:pPr>
        <w:pStyle w:val="BodyText"/>
      </w:pPr>
      <w:r w:rsidRPr="00D528EF">
        <w:t>Not applicable.</w:t>
      </w:r>
    </w:p>
    <w:p w:rsidR="00000000" w:rsidRPr="00D528EF" w:rsidP="00D528EF">
      <w:pPr>
        <w:pStyle w:val="AllowPageBreak"/>
      </w:pPr>
    </w:p>
    <w:p w:rsidR="00000000" w:rsidRPr="00D528EF" w:rsidP="00D528EF">
      <w:pPr>
        <w:pStyle w:val="Heading1"/>
      </w:pPr>
      <w:bookmarkStart w:id="2" w:name="O_464917"/>
      <w:bookmarkEnd w:id="2"/>
      <w:r w:rsidRPr="00D528EF">
        <w:t>Unit Descriptor</w:t>
      </w:r>
    </w:p>
    <w:tbl>
      <w:tblPr>
        <w:tblW w:w="0" w:type="auto"/>
        <w:tblLayout w:type="fixed"/>
        <w:tblCellMar>
          <w:left w:w="62" w:type="dxa"/>
          <w:right w:w="62" w:type="dxa"/>
        </w:tblCellMar>
        <w:tblLook w:val="0000"/>
      </w:tblPr>
      <w:tblGrid>
        <w:gridCol w:w="2700"/>
        <w:gridCol w:w="5760"/>
      </w:tblGrid>
      <w:tr w:rsidTr="00675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1)</w:t>
            </w:r>
            <w:r w:rsidRPr="00D528EF">
              <w:t xml:space="preserve"> </w:t>
            </w:r>
            <w:r w:rsidRPr="00D528EF">
              <w:rPr>
                <w:rStyle w:val="SpecialBold"/>
              </w:rPr>
              <w:t>Scope:</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28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1.1) Descriptor</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This Competency Standard Unit covers the management of single incident faults on electrical network plant to ensure prompt restoration of supply to affected customers. Electrical network plant includes feeders, transformers and busbars from transmission to</w:t>
            </w:r>
            <w:r w:rsidRPr="00D528EF">
              <w:t xml:space="preserve"> distribution voltages. The unit includes single incident faults ranging from simple (involving a single item and no loss of supply) to complex (involving multiple substations with extensive loss of supply). The unit also encompasses liaison with operating</w:t>
            </w:r>
            <w:r w:rsidRPr="00D528EF">
              <w:t xml:space="preserve"> authorities and dispatching and managing field crews, as well as the monitoring of safe access to the network.</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3" w:name="O_464906"/>
      <w:bookmarkEnd w:id="3"/>
      <w:r w:rsidRPr="00D528EF">
        <w:t>Application of the Unit</w:t>
      </w:r>
    </w:p>
    <w:tbl>
      <w:tblPr>
        <w:tblW w:w="0" w:type="auto"/>
        <w:tblLayout w:type="fixed"/>
        <w:tblCellMar>
          <w:left w:w="62" w:type="dxa"/>
          <w:right w:w="62" w:type="dxa"/>
        </w:tblCellMar>
        <w:tblLook w:val="0000"/>
      </w:tblPr>
      <w:tblGrid>
        <w:gridCol w:w="2672"/>
        <w:gridCol w:w="5699"/>
      </w:tblGrid>
      <w:tr w:rsidTr="006752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2)</w:t>
            </w:r>
          </w:p>
        </w:tc>
      </w:tr>
      <w:tr w:rsidTr="006752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This Unit is intended to augment formally acquired competencies. It is suitable for employment-based programs under an approved contract of training.</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4" w:name="O_464913"/>
      <w:bookmarkEnd w:id="4"/>
      <w:r w:rsidRPr="00D528EF">
        <w:t>Licensing/Regulatory Information</w:t>
      </w:r>
    </w:p>
    <w:tbl>
      <w:tblPr>
        <w:tblW w:w="0" w:type="auto"/>
        <w:tblLayout w:type="fixed"/>
        <w:tblCellMar>
          <w:left w:w="62" w:type="dxa"/>
          <w:right w:w="62" w:type="dxa"/>
        </w:tblCellMar>
        <w:tblLook w:val="0000"/>
      </w:tblPr>
      <w:tblGrid>
        <w:gridCol w:w="2700"/>
        <w:gridCol w:w="5760"/>
      </w:tblGrid>
      <w:tr w:rsidTr="006752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 xml:space="preserve">3) </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The skills and knowledge des</w:t>
            </w:r>
            <w:r w:rsidRPr="00D528EF">
              <w:t xml:space="preserve">cribed in this unit may require a licence/registration to practice in the work place subject to regulations for undertaking of electrical work. Practice in workplace and during training is also subject to </w:t>
            </w:r>
            <w:r w:rsidRPr="00D528EF">
              <w:t>regulations directly related to Occupational Health</w:t>
            </w:r>
            <w:r w:rsidRPr="00D528EF">
              <w:t xml:space="preserve"> and Safety, electricity/telecommunications/gas/water industry safety and compliance, industrial relations, environmental protection, anti discrimination and training. Commonwealth, State/Territory or Local Government legislation and regulations may exist </w:t>
            </w:r>
            <w:r w:rsidRPr="00D528EF">
              <w:t>that limits the age of operating certain equipment.</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5" w:name="O_464914"/>
      <w:bookmarkEnd w:id="5"/>
      <w:r w:rsidRPr="00D528EF">
        <w:t>Pre-Requisites</w:t>
      </w:r>
    </w:p>
    <w:tbl>
      <w:tblPr>
        <w:tblW w:w="0" w:type="auto"/>
        <w:tblLayout w:type="fixed"/>
        <w:tblCellMar>
          <w:left w:w="62" w:type="dxa"/>
          <w:right w:w="62" w:type="dxa"/>
        </w:tblCellMar>
        <w:tblLook w:val="0000"/>
      </w:tblPr>
      <w:tblGrid>
        <w:gridCol w:w="2610"/>
        <w:gridCol w:w="1980"/>
        <w:gridCol w:w="3855"/>
        <w:gridCol w:w="15"/>
      </w:tblGrid>
      <w:tr w:rsidTr="00675253">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Prerequisite Unit(s)</w:t>
            </w:r>
          </w:p>
        </w:tc>
        <w:tc>
          <w:tcPr>
            <w:tcW w:w="5850" w:type="dxa"/>
            <w:gridSpan w:val="3"/>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 xml:space="preserve">4) </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Competencies</w:t>
            </w:r>
          </w:p>
        </w:tc>
        <w:tc>
          <w:tcPr>
            <w:tcW w:w="5850" w:type="dxa"/>
            <w:gridSpan w:val="3"/>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4.1)</w:t>
            </w:r>
          </w:p>
        </w:tc>
      </w:tr>
      <w:tr w:rsidTr="00675253">
        <w:tblPrEx>
          <w:tblW w:w="0" w:type="auto"/>
          <w:tblLayout w:type="fixed"/>
          <w:tblCellMar>
            <w:left w:w="62" w:type="dxa"/>
            <w:right w:w="62" w:type="dxa"/>
          </w:tblCellMar>
          <w:tblLook w:val="0000"/>
        </w:tblPrEx>
        <w:trPr>
          <w:gridAfter w:val="1"/>
          <w:wAfter w:w="15" w:type="dxa"/>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Granting of competency in this unit shall be made only after competency in the following unit(s) has/have been confirmed.</w:t>
            </w:r>
          </w:p>
          <w:p w:rsidR="00000000" w:rsidRPr="00D528EF" w:rsidP="00D528EF">
            <w:pPr>
              <w:pStyle w:val="BodyText"/>
            </w:pPr>
            <w:r w:rsidRPr="00D528EF">
              <w:t>Where pre-requisite pathways have been identified. All competencies in the Common Unit Group must be have been completed plus all the competencies in one (1) of the identified Pathway Unit Group(s):</w:t>
            </w:r>
          </w:p>
          <w:p w:rsidR="00000000" w:rsidP="00D528EF">
            <w:pPr>
              <w:pStyle w:val="BodyText"/>
              <w:rPr>
                <w:lang w:val="en-NZ"/>
              </w:rPr>
            </w:pPr>
            <w:r w:rsidRPr="00D528EF">
              <w:t>Common Unit Group</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Unit Code</w:t>
            </w:r>
            <w:r w:rsidRPr="00D528EF">
              <w:tab/>
            </w:r>
          </w:p>
        </w:tc>
        <w:tc>
          <w:tcPr>
            <w:tcW w:w="3870" w:type="dxa"/>
            <w:gridSpan w:val="2"/>
            <w:tcBorders>
              <w:top w:val="nil"/>
              <w:left w:val="nil"/>
              <w:bottom w:val="nil"/>
              <w:right w:val="nil"/>
            </w:tcBorders>
            <w:tcMar>
              <w:top w:w="0" w:type="dxa"/>
              <w:left w:w="62" w:type="dxa"/>
              <w:bottom w:w="0" w:type="dxa"/>
              <w:right w:w="62" w:type="dxa"/>
            </w:tcMar>
            <w:vAlign w:val="bottom"/>
          </w:tcPr>
          <w:p w:rsidR="00000000" w:rsidP="00D528EF">
            <w:pPr>
              <w:pStyle w:val="BodyText"/>
              <w:rPr>
                <w:lang w:val="en-NZ"/>
              </w:rPr>
            </w:pPr>
            <w:r w:rsidRPr="00D528EF">
              <w:t>Unit Title</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UEENEED104A</w:t>
            </w:r>
          </w:p>
        </w:tc>
        <w:tc>
          <w:tcPr>
            <w:tcW w:w="3870" w:type="dxa"/>
            <w:gridSpan w:val="2"/>
            <w:tcBorders>
              <w:top w:val="nil"/>
              <w:left w:val="nil"/>
              <w:bottom w:val="nil"/>
              <w:right w:val="nil"/>
            </w:tcBorders>
            <w:tcMar>
              <w:top w:w="0" w:type="dxa"/>
              <w:left w:w="62" w:type="dxa"/>
              <w:bottom w:w="0" w:type="dxa"/>
              <w:right w:w="62" w:type="dxa"/>
            </w:tcMar>
            <w:vAlign w:val="bottom"/>
          </w:tcPr>
          <w:p w:rsidR="00000000" w:rsidP="00D528EF">
            <w:pPr>
              <w:pStyle w:val="BodyText"/>
              <w:rPr>
                <w:lang w:val="en-NZ"/>
              </w:rPr>
            </w:pPr>
            <w:r w:rsidRPr="00D528EF">
              <w:t>Use engineering applications software on personal computers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UEENEEE101A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Apply Occupational Health and Safety regulations, codes and practices in the workplace</w:t>
            </w:r>
          </w:p>
        </w:tc>
      </w:tr>
      <w:tr w:rsidTr="00675253">
        <w:tblPrEx>
          <w:tblW w:w="0" w:type="auto"/>
          <w:tblLayout w:type="fixed"/>
          <w:tblCellMar>
            <w:left w:w="62" w:type="dxa"/>
            <w:right w:w="62" w:type="dxa"/>
          </w:tblCellMar>
          <w:tblLook w:val="0000"/>
        </w:tblPrEx>
        <w:trPr>
          <w:trHeight w:val="587"/>
        </w:trPr>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UEENEEE102A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Fabricate, assemble and dismantle utilities industry components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UEENEEE104A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Solve problems in d.c. Circuits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UEENEEE107A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Use drawings, diagrams, schedules, standards, codes and specifications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UEENEEE124A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Compile and produce an energy sector detailed report</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UEENEEE125A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 xml:space="preserve">Provide engineering solutions for </w:t>
            </w:r>
            <w:r w:rsidRPr="00D528EF">
              <w:t>problems in complex multiple path circuits problems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UEENEEE126A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Provide solutions to basic engineering computational problems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UEENEEG101A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Solve problems in electromagnetic devices and related circuits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UEENEEG102A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Sol</w:t>
            </w:r>
            <w:r w:rsidRPr="00D528EF">
              <w:t>ve problems in electromagnetic devices and related circuits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UEENEEG149A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Provide engineering solutions to problems in complex polyphase power circuits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UETTDREL11A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Apply sustainable energy and environmental procedures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UETTDREL16A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 xml:space="preserve">Working safely near live electrical apparatus </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UETTDRIS62A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Implement and monitor the power system organisational OHS policies, procedures and programs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UETTDRIS63A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Implement and monitor the power system environmental and sustainable energy management po</w:t>
            </w:r>
            <w:r w:rsidRPr="00D528EF">
              <w:t>licies and procedures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UETTDRSO41A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Manage power systems transmission networks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UETTDRSO48A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Respond to discrete and interdependent protection operations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UETTDRSO49A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Coordinate power system operations in a regulated energy market</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UETTDRSO50A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Respond to complex power system protection operations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850" w:type="dxa"/>
            <w:gridSpan w:val="3"/>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Generation/Distribution and Subtransmission Pathway Unit Group</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UETTDRSO34A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Control power systems generating plant</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UETTDRSO37A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Develop high voltage distribution and subtransmission switching programs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UETTDRSO40A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Coordinate high voltage distribution and subtransmission networks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3"/>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Generation/Transmission Pathway Unit Group</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UETTDRSO34A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Control power systems generating plant</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UETTDRSO38A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Develop and evaluate power systems transmission switching programs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UETTDRSO47A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Coordinate high voltage transmission network</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850" w:type="dxa"/>
            <w:gridSpan w:val="3"/>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Distribution and Subtransmission Pathway Unit Group</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UETTDRSO35A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Manage high voltage distribution and subtransmission network demand</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UETTDRSO37A</w:t>
            </w:r>
          </w:p>
        </w:tc>
        <w:tc>
          <w:tcPr>
            <w:tcW w:w="3870" w:type="dxa"/>
            <w:gridSpan w:val="2"/>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Develop high voltage distribution and subtransmission switching programs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UETTDRSO40A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Coordinate high voltage distribution and subtransmission networks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850" w:type="dxa"/>
            <w:gridSpan w:val="3"/>
            <w:tcBorders>
              <w:top w:val="nil"/>
              <w:left w:val="nil"/>
              <w:bottom w:val="nil"/>
              <w:right w:val="nil"/>
            </w:tcBorders>
            <w:tcMar>
              <w:top w:w="0" w:type="dxa"/>
              <w:left w:w="62" w:type="dxa"/>
              <w:bottom w:w="0" w:type="dxa"/>
              <w:right w:w="62" w:type="dxa"/>
            </w:tcMar>
            <w:vAlign w:val="center"/>
          </w:tcPr>
          <w:p w:rsidR="00000000" w:rsidP="00D528EF">
            <w:pPr>
              <w:pStyle w:val="BodyText"/>
              <w:rPr>
                <w:lang w:val="en-NZ"/>
              </w:rPr>
            </w:pPr>
            <w:r w:rsidRPr="00D528EF">
              <w:t>Transmission Pathway Unit Group</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UETTDRSO38A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Develop and evaluate power systems transmission switching programs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UETTDRSO41A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Manage power systems transmission networks</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UETTDRSO42A</w:t>
            </w:r>
          </w:p>
        </w:tc>
        <w:tc>
          <w:tcPr>
            <w:tcW w:w="387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Manage power systems transmission network demand</w:t>
            </w:r>
          </w:p>
        </w:tc>
      </w:tr>
      <w:tr w:rsidTr="0067525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UETTDRSO47A</w:t>
            </w:r>
          </w:p>
        </w:tc>
        <w:tc>
          <w:tcPr>
            <w:tcW w:w="3870" w:type="dxa"/>
            <w:gridSpan w:val="2"/>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Coordinate high voltage transmission network</w:t>
            </w:r>
          </w:p>
        </w:tc>
      </w:tr>
    </w:tbl>
    <w:p w:rsidR="00000000" w:rsidRPr="00D528EF" w:rsidP="00D528E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7525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 xml:space="preserve">4.2) </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 xml:space="preserve">Participants are best equipped to achieve this unit if they have reading, writing and numeracy skills indicated by the following scales. Description </w:t>
            </w:r>
            <w:r w:rsidRPr="00D528EF">
              <w:t>of each scale is given in Volume 2, Part 3 “Literacy and Numeracy”</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Reading</w:t>
            </w:r>
          </w:p>
        </w:tc>
        <w:tc>
          <w:tcPr>
            <w:tcW w:w="81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5</w:t>
            </w:r>
          </w:p>
        </w:tc>
        <w:tc>
          <w:tcPr>
            <w:tcW w:w="99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Writing</w:t>
            </w:r>
          </w:p>
        </w:tc>
        <w:tc>
          <w:tcPr>
            <w:tcW w:w="90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5</w:t>
            </w:r>
          </w:p>
        </w:tc>
        <w:tc>
          <w:tcPr>
            <w:tcW w:w="12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Numeracy</w:t>
            </w:r>
          </w:p>
        </w:tc>
        <w:tc>
          <w:tcPr>
            <w:tcW w:w="72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5</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6" w:name="O_464910"/>
      <w:bookmarkEnd w:id="6"/>
      <w:r w:rsidRPr="00D528EF">
        <w:t>Employability Skills Information</w:t>
      </w:r>
    </w:p>
    <w:tbl>
      <w:tblPr>
        <w:tblW w:w="0" w:type="auto"/>
        <w:tblLayout w:type="fixed"/>
        <w:tblCellMar>
          <w:left w:w="62" w:type="dxa"/>
          <w:right w:w="62" w:type="dxa"/>
        </w:tblCellMar>
        <w:tblLook w:val="0000"/>
      </w:tblPr>
      <w:tblGrid>
        <w:gridCol w:w="2700"/>
        <w:gridCol w:w="5760"/>
      </w:tblGrid>
      <w:tr w:rsidTr="00675253">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 xml:space="preserve">5) </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The requ</w:t>
            </w:r>
            <w:r w:rsidRPr="00D528EF">
              <w:t>ired outcomes described in this unit of competency contain applicable facets of Employability Skills. The Employability Skills Summary of the qualification in which this unit of competency is packaged will assist in identifying Employability Skill requirem</w:t>
            </w:r>
            <w:r w:rsidRPr="00D528EF">
              <w:t>ents.</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7" w:name="O_464909"/>
      <w:bookmarkEnd w:id="7"/>
      <w:r w:rsidRPr="00D528EF">
        <w:t>Elements and Performance Criteria Pre-Content</w:t>
      </w:r>
    </w:p>
    <w:tbl>
      <w:tblPr>
        <w:tblW w:w="0" w:type="auto"/>
        <w:tblLayout w:type="fixed"/>
        <w:tblCellMar>
          <w:left w:w="62" w:type="dxa"/>
          <w:right w:w="62" w:type="dxa"/>
        </w:tblCellMar>
        <w:tblLook w:val="0000"/>
      </w:tblPr>
      <w:tblGrid>
        <w:gridCol w:w="2700"/>
        <w:gridCol w:w="5760"/>
      </w:tblGrid>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6)</w:t>
            </w:r>
            <w:r w:rsidRPr="00D528E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Performance Criteria describe the required performance needed to demonstrate achievement of the element. Asses</w:t>
            </w:r>
            <w:r w:rsidRPr="00D528EF">
              <w:t>sment of performance is to be consistent with the Evidence Guide.</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8" w:name="O_464908"/>
      <w:bookmarkEnd w:id="8"/>
      <w:r w:rsidRPr="00D528EF">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6752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PERFORMANCE CRITERIA</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w:t>
            </w:r>
          </w:p>
        </w:tc>
        <w:tc>
          <w:tcPr>
            <w:tcW w:w="2294"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Plan for the management of a network fault</w:t>
            </w: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1.1</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OHS practices/procedures and environmental and sustainable energy procedures, which may influence the management of network faults, are reviewed and determined.</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1.2</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Purpose of the management is established after data is analysed and expected outcomes of</w:t>
            </w:r>
            <w:r w:rsidRPr="00D528EF">
              <w:t xml:space="preserve"> the work are confirmed with the appropriate personnel.</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1.3</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Organisational established procedures on policies and specifications for the management of network faults are obtained or established with the appropriate personnel.</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1.4</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Identification and testing procedures are discussed with/directed to the appropriate personnel in order to ascertain the occurrence of a network fault.</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1.5</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Testing parameters are established from organisational established procedures on policies and spe</w:t>
            </w:r>
            <w:r w:rsidRPr="00D528EF">
              <w:t>cifications.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1.6</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Equipment/tools and personal protective equipment are selected based on specified Performance Criteria and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1.7</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Work roles and tasks are allocated according to requirements and individuals’ competencies.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1.8</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Work is prioritised and sequenced for the most efficient/effective outcome, completed within an acceptable timeframe to a quality standard and in accordance with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1.9</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Liaison and communication issues with other/authorised personn</w:t>
            </w:r>
            <w:r w:rsidRPr="00D528EF">
              <w:t>el, authorities, clients and land owners are resolved and activities coordinated to carry out work.</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1.10</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Risk control measures are identified, prioritised and evaluated against the work schedule.</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1.11</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Relevant work permits are secured to coordinate t</w:t>
            </w:r>
            <w:r w:rsidRPr="00D528EF">
              <w:t>he performance of work according to requirements and/or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1.12</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Action plan is developed as per requirements and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w:t>
            </w:r>
          </w:p>
        </w:tc>
        <w:tc>
          <w:tcPr>
            <w:tcW w:w="2294" w:type="dxa"/>
            <w:vMerge w:val="restart"/>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Carry out the management of a network fault</w:t>
            </w: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2.1</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Action plan is initiated and continually monitored to ensure outcomes are being met.</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2.2</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OHS and sustainable energy principles, functionality and practices to reduce the incidents of accidents and minimise waste are incorporated into the network fault s</w:t>
            </w:r>
            <w:r w:rsidRPr="00D528EF">
              <w:t>olution in accordance with requirements and/or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2.3</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Network fault management decisions are made on the basis of safety and effective outcomes according to requirements and/or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2.4</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Stakeholders/customers are kept informed of current status regarding plan progress and recent developments.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2.5</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Technical advice is given regarding potential hazards, safety risks and control measures so that monitoring and preventative action can be un</w:t>
            </w:r>
            <w:r w:rsidRPr="00D528EF">
              <w:t>dertaken and/or appropriate authorities consulted, where necessary, in accordance with requirements and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2.6</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Essential knowledge and associated skills are applied to analyse specific data and compare it with compliance specifications to ensure completion of the project within an agreed timeframe according to requirements.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2.7</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Testing of network fault managemen</w:t>
            </w:r>
            <w:r w:rsidRPr="00D528EF">
              <w:t>t procedures is undertaken according to requirements and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2.8</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Work teams/groups are arranged, coordinated and evaluated to ensure planned goals are met according to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2.9</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 xml:space="preserve">Solutions to non-routine problems </w:t>
            </w:r>
            <w:r w:rsidRPr="00D528EF">
              <w:t>are identified and actioned, using acquired essential knowledge and associated skills, according to requirements.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2.10</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Quality of work is monitored against personal performance agreement and/or established organisational and professional standards.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2.11</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Strategic plans are developed incorporating organisation initiatives as per established procedures.</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3</w:t>
            </w:r>
          </w:p>
        </w:tc>
        <w:tc>
          <w:tcPr>
            <w:tcW w:w="2294"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Complete the management of a network fault</w:t>
            </w: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3.1</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 xml:space="preserve">Final inspection of the network is undertaken to ensure it complies with all requirements and report </w:t>
            </w:r>
            <w:r w:rsidRPr="00D528EF">
              <w:t>includes all specifications and documentations needed to complete the project.</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3.2</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Appropriate personnel are notified of completion and reports and/or completion documents are finalised/commissioned.</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3.3</w:t>
            </w:r>
          </w:p>
        </w:tc>
        <w:tc>
          <w:tcPr>
            <w:tcW w:w="4922"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Reports and/or completion documents are submit</w:t>
            </w:r>
            <w:r w:rsidRPr="00D528EF">
              <w:t>ted to relevant personnel/organisations for approval and, where applicable, statutory or regulatory approval.</w:t>
            </w:r>
          </w:p>
        </w:tc>
      </w:tr>
      <w:tr w:rsidTr="00675253">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t>3.4</w:t>
            </w:r>
          </w:p>
        </w:tc>
        <w:tc>
          <w:tcPr>
            <w:tcW w:w="4922"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Approved copies of network fault management documents are issued and records are updated in accordance with established procedures.</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9" w:name="O_464916"/>
      <w:bookmarkEnd w:id="9"/>
      <w:r w:rsidRPr="00D528EF">
        <w:t>Required Skills and Knowledge</w:t>
      </w:r>
    </w:p>
    <w:tbl>
      <w:tblPr>
        <w:tblW w:w="0" w:type="auto"/>
        <w:tblLayout w:type="fixed"/>
        <w:tblCellMar>
          <w:left w:w="62" w:type="dxa"/>
          <w:right w:w="62" w:type="dxa"/>
        </w:tblCellMar>
        <w:tblLook w:val="0000"/>
      </w:tblPr>
      <w:tblGrid>
        <w:gridCol w:w="8460"/>
      </w:tblGrid>
      <w:tr w:rsidTr="00675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REQUIRED SKILLS AND KNOWLEDGE</w:t>
            </w:r>
          </w:p>
        </w:tc>
      </w:tr>
      <w:tr w:rsidTr="0067525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8)</w:t>
            </w:r>
            <w:r w:rsidRPr="00D528EF">
              <w:t xml:space="preserve"> Essential Knowledge and Associated Skills (EKAS): This describes the essential skills and knowledge and their level, required for this unit.</w:t>
            </w:r>
          </w:p>
          <w:p w:rsidR="00000000" w:rsidRPr="00D528EF" w:rsidP="00D528EF">
            <w:pPr>
              <w:pStyle w:val="BodyText"/>
            </w:pPr>
            <w:r w:rsidRPr="00D528EF">
              <w:t xml:space="preserve">Evidence shall show that knowledge </w:t>
            </w:r>
            <w:r w:rsidRPr="00D528EF">
              <w:t>has been acquired of managing network faults.</w:t>
            </w:r>
          </w:p>
          <w:p w:rsidR="00000000" w:rsidRPr="00D528EF" w:rsidP="00D528EF">
            <w:pPr>
              <w:pStyle w:val="BodyText"/>
            </w:pPr>
            <w:r w:rsidRPr="00D528EF">
              <w:t>All knowledge and skills detailed in this unit should be contextualised to current industry practices and technologies.</w:t>
            </w:r>
          </w:p>
          <w:p w:rsidR="00000000" w:rsidRPr="00D528EF" w:rsidP="00D528EF">
            <w:pPr>
              <w:pStyle w:val="BodyText"/>
            </w:pPr>
            <w:r w:rsidRPr="00D528EF">
              <w:t>KS01-TSO32A</w:t>
            </w:r>
            <w:r w:rsidRPr="00D528EF">
              <w:tab/>
              <w:t>Power systems network faults</w:t>
            </w:r>
          </w:p>
          <w:p w:rsidR="00000000" w:rsidRPr="00D528EF" w:rsidP="00D528EF">
            <w:pPr>
              <w:pStyle w:val="BodyText"/>
            </w:pPr>
            <w:r w:rsidRPr="00D528EF">
              <w:t>Evidence shall show an understanding of power systems network faults to an extent indicated by the following aspects: Manage power systems network faults</w:t>
            </w:r>
          </w:p>
          <w:p w:rsidR="00000000" w:rsidRPr="00D528EF" w:rsidP="00D528EF">
            <w:pPr>
              <w:pStyle w:val="BodyText"/>
            </w:pPr>
            <w:r w:rsidRPr="00D528EF">
              <w:t>T1</w:t>
            </w:r>
            <w:r w:rsidRPr="00D528EF">
              <w:tab/>
              <w:t>Enterprise specific procedures and work practices relating to fault restorations encompassing</w:t>
            </w:r>
          </w:p>
          <w:p w:rsidR="00000000" w:rsidRPr="00D528EF" w:rsidP="00D528EF">
            <w:pPr>
              <w:pStyle w:val="ListBullet"/>
            </w:pPr>
            <w:r w:rsidRPr="00D528EF">
              <w:t>Comm</w:t>
            </w:r>
            <w:r w:rsidRPr="00D528EF">
              <w:t>onwealth, State/Territory and local government legislation, supply authority regulations, Standards, codes, and or enterprise requirements applicable to the procedures and work practices relating to fault restorations</w:t>
            </w:r>
          </w:p>
          <w:p w:rsidR="00000000" w:rsidRPr="00D528EF" w:rsidP="00D528EF">
            <w:pPr>
              <w:pStyle w:val="ListBullet"/>
            </w:pPr>
            <w:r w:rsidRPr="00D528EF">
              <w:t>Requirements for the use of operationa</w:t>
            </w:r>
            <w:r w:rsidRPr="00D528EF">
              <w:t>l manuals, system diagrams/plans and drawings</w:t>
            </w:r>
          </w:p>
          <w:p w:rsidR="00000000" w:rsidRPr="00D528EF" w:rsidP="00D528EF">
            <w:pPr>
              <w:pStyle w:val="ListBullet"/>
            </w:pPr>
            <w:r w:rsidRPr="00D528EF">
              <w:t>Identify and interpret enterprise operating procedures</w:t>
            </w:r>
          </w:p>
          <w:p w:rsidR="00000000" w:rsidRPr="00D528EF" w:rsidP="00D528EF">
            <w:pPr>
              <w:pStyle w:val="ListBullet"/>
            </w:pPr>
            <w:r w:rsidRPr="00D528EF">
              <w:t>Techniques in the applying enterprise operating procedures</w:t>
            </w:r>
          </w:p>
          <w:p w:rsidR="00000000" w:rsidRPr="00D528EF" w:rsidP="00D528EF">
            <w:pPr>
              <w:pStyle w:val="BodyText"/>
            </w:pPr>
            <w:r w:rsidRPr="00D528EF">
              <w:t>T2</w:t>
            </w:r>
            <w:r w:rsidRPr="00D528EF">
              <w:tab/>
              <w:t>Use of fault information to analyse and develop optimal network restoration strategies encomp</w:t>
            </w:r>
            <w:r w:rsidRPr="00D528EF">
              <w:t>assing:</w:t>
            </w:r>
          </w:p>
          <w:p w:rsidR="00000000" w:rsidRPr="00D528EF" w:rsidP="00D528EF">
            <w:pPr>
              <w:pStyle w:val="ListBullet"/>
            </w:pPr>
            <w:r w:rsidRPr="00D528EF">
              <w:t>Commonwealth, State/Territory and local government legislation, supply authority regulations Standards, codes, and or enterprise requirements applicable to the analysis of protection targeting</w:t>
            </w:r>
          </w:p>
          <w:p w:rsidR="00000000" w:rsidRPr="00D528EF" w:rsidP="00D528EF">
            <w:pPr>
              <w:pStyle w:val="ListBullet"/>
            </w:pPr>
            <w:r w:rsidRPr="00D528EF">
              <w:t>Requirements for the use of operational manuals, syste</w:t>
            </w:r>
            <w:r w:rsidRPr="00D528EF">
              <w:t>m diagrams/plans and drawings</w:t>
            </w:r>
          </w:p>
          <w:p w:rsidR="00000000" w:rsidRPr="00D528EF" w:rsidP="00D528EF">
            <w:pPr>
              <w:pStyle w:val="ListBullet"/>
            </w:pPr>
            <w:r w:rsidRPr="00D528EF">
              <w:t>Techniques in the collation of protection data</w:t>
            </w:r>
          </w:p>
          <w:p w:rsidR="00000000" w:rsidRPr="00D528EF" w:rsidP="00D528EF">
            <w:pPr>
              <w:pStyle w:val="ListBullet"/>
            </w:pPr>
            <w:r w:rsidRPr="00D528EF">
              <w:t>Techniques in the analyse and assessment of fault information – public, employee, protection equipment.</w:t>
            </w:r>
          </w:p>
          <w:p w:rsidR="00000000" w:rsidRPr="00D528EF" w:rsidP="00D528EF">
            <w:pPr>
              <w:pStyle w:val="ListBullet"/>
            </w:pPr>
            <w:r w:rsidRPr="00D528EF">
              <w:t>Application methods of fault information to analyse and develop optimal net</w:t>
            </w:r>
            <w:r w:rsidRPr="00D528EF">
              <w:t>work restoration strategies - public and employee safety, enterprise reliability guidelines.</w:t>
            </w:r>
          </w:p>
          <w:p w:rsidR="00000000" w:rsidRPr="00D528EF" w:rsidP="00D528EF">
            <w:pPr>
              <w:pStyle w:val="ListBullet"/>
            </w:pPr>
            <w:r w:rsidRPr="00D528EF">
              <w:t>resource availability.</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10" w:name="O_464911"/>
      <w:bookmarkEnd w:id="10"/>
      <w:r w:rsidRPr="00D528EF">
        <w:t>Evidence Guide</w:t>
      </w:r>
    </w:p>
    <w:tbl>
      <w:tblPr>
        <w:tblW w:w="0" w:type="auto"/>
        <w:tblLayout w:type="fixed"/>
        <w:tblCellMar>
          <w:left w:w="62" w:type="dxa"/>
          <w:right w:w="62" w:type="dxa"/>
        </w:tblCellMar>
        <w:tblLook w:val="0000"/>
      </w:tblPr>
      <w:tblGrid>
        <w:gridCol w:w="8460"/>
      </w:tblGrid>
      <w:tr w:rsidTr="00675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EVIDENCE GUIDE</w:t>
            </w:r>
          </w:p>
        </w:tc>
      </w:tr>
      <w:tr w:rsidTr="006752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9)</w:t>
            </w:r>
            <w:r w:rsidRPr="00D528E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D528EF" w:rsidP="00D528EF">
            <w:pPr>
              <w:pStyle w:val="BodyText"/>
            </w:pPr>
            <w:r w:rsidRPr="00D528EF">
              <w:t>The Evidenc</w:t>
            </w:r>
            <w:r w:rsidRPr="00D528EF">
              <w:t>e Guide forms an integral part of this Competency Standard Unit and shall be used in conjunction with all component parts of this unit and, performed in accordance with the Assessment Guidelines of this Training Package.</w:t>
            </w:r>
          </w:p>
        </w:tc>
      </w:tr>
    </w:tbl>
    <w:p w:rsidR="00000000" w:rsidRPr="00D528EF" w:rsidP="00D528EF">
      <w:pPr>
        <w:pStyle w:val="BodyText"/>
      </w:pPr>
    </w:p>
    <w:tbl>
      <w:tblPr>
        <w:tblW w:w="0" w:type="auto"/>
        <w:tblLayout w:type="fixed"/>
        <w:tblCellMar>
          <w:left w:w="62" w:type="dxa"/>
          <w:right w:w="62" w:type="dxa"/>
        </w:tblCellMar>
        <w:tblLook w:val="0000"/>
      </w:tblPr>
      <w:tblGrid>
        <w:gridCol w:w="1890"/>
        <w:gridCol w:w="6570"/>
      </w:tblGrid>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9.1)</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Longitudinal competency development approaches to assessment, such as Profiling, require data to be reliably gathered in a form that can be consistently interpreted over time. This approach is best utilised in Apprenticeship programs and reduces assessment</w:t>
            </w:r>
            <w:r w:rsidRPr="00D528E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528EF">
              <w:t>tency in a realistically simulated work environment. It is recognised that, in some circumstances, assessment in part or full can occur outside the workplace. However, it must be in accord with Industry and, Regulatory policy in this regard.</w:t>
            </w:r>
          </w:p>
          <w:p w:rsidR="00000000" w:rsidRPr="00D528EF" w:rsidP="00D528EF">
            <w:pPr>
              <w:pStyle w:val="BodyText"/>
            </w:pPr>
            <w:r w:rsidRPr="00D528EF">
              <w:t>Methods chosen</w:t>
            </w:r>
            <w:r w:rsidRPr="00D528E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528EF">
              <w:t>equired and the critical nature of the competencies being assessed.</w:t>
            </w:r>
          </w:p>
          <w:p w:rsidR="00000000" w:rsidRPr="00D528EF" w:rsidP="00D528EF">
            <w:pPr>
              <w:pStyle w:val="BodyText"/>
            </w:pPr>
            <w:r w:rsidRPr="00D528EF">
              <w:t>The critical safety nature of working with electricity, electrical equipment, gas or any other hazardous substance/material carries risk in deeming a person competent. Hence, sources of ev</w:t>
            </w:r>
            <w:r w:rsidRPr="00D528EF">
              <w:t>idence need to be ‘rich’ in nature so as to minimise error in judgment.</w:t>
            </w:r>
          </w:p>
          <w:p w:rsidR="00000000" w:rsidRPr="00D528EF" w:rsidP="00D528EF">
            <w:pPr>
              <w:pStyle w:val="BodyText"/>
            </w:pPr>
            <w:r w:rsidRPr="00D528EF">
              <w:t>Activities associated with normal every day work have a bearing on the decision as to how much and how detailed the data gathered will contribute to its ‘richness’. Some skills are mor</w:t>
            </w:r>
            <w:r w:rsidRPr="00D528EF">
              <w:t>e critical to safety and operational requirements while the same skills may be more or less frequently practiced. These points are raised for the assessors to consider when choosing an assessment method and developing assessment instruments. Sample assessm</w:t>
            </w:r>
            <w:r w:rsidRPr="00D528EF">
              <w:t>ent instruments are included for Assessors in the Assessment Guidelines of this Training Package.</w:t>
            </w:r>
          </w:p>
        </w:tc>
      </w:tr>
    </w:tbl>
    <w:p w:rsidR="00000000" w:rsidRPr="00D528EF" w:rsidP="00D528E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9.2)</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Before the critical aspects of evidence are considered all prerequisi</w:t>
            </w:r>
            <w:r w:rsidRPr="00D528EF">
              <w:t>tes shall be met.</w:t>
            </w:r>
          </w:p>
          <w:p w:rsidR="00000000" w:rsidRPr="00D528EF" w:rsidP="00D528EF">
            <w:pPr>
              <w:pStyle w:val="BodyText"/>
            </w:pPr>
            <w:r w:rsidRPr="00D528EF">
              <w:t>Evidence for competence in this unit shall be considered holistically. Each Element and associated Performance Criteria shall be demonstrated on at least two occasions in accordance with the “Assessment Guidelines – UET12”. Evidence shall</w:t>
            </w:r>
            <w:r w:rsidRPr="00D528EF">
              <w:t xml:space="preserve"> also comprise:</w:t>
            </w:r>
          </w:p>
          <w:p w:rsidR="00000000" w:rsidRPr="00D528EF" w:rsidP="00D528EF">
            <w:pPr>
              <w:pStyle w:val="ListBullet"/>
            </w:pPr>
            <w:r w:rsidRPr="00D528EF">
              <w:t xml:space="preserve">A representative body of Performance Criteria demonstrated within the timeframes </w:t>
            </w:r>
            <w:r w:rsidRPr="00D528EF">
              <w:t>typically expected of the discipline, work function and industrial environment. In particular this shall incorporate evidence that shows a candidate is able to:</w:t>
            </w:r>
          </w:p>
          <w:p w:rsidR="00000000" w:rsidRPr="00D528EF" w:rsidP="00D528EF">
            <w:pPr>
              <w:pStyle w:val="ListBullet2"/>
            </w:pPr>
            <w:r w:rsidRPr="00D528EF">
              <w:t xml:space="preserve">Implement Occupational Health and Safety workplace procedures and practices including the use </w:t>
            </w:r>
            <w:r w:rsidRPr="00D528EF">
              <w:t>of risk control measures as specified in the Performance Criteria and range; and</w:t>
            </w:r>
          </w:p>
          <w:p w:rsidR="00000000" w:rsidRPr="00D528EF" w:rsidP="00D528EF">
            <w:pPr>
              <w:pStyle w:val="ListBullet2"/>
            </w:pPr>
            <w:r w:rsidRPr="00D528EF">
              <w:t>Apply sustainable energy principles and practices as specified in the Performance Criteria and range; and</w:t>
            </w:r>
          </w:p>
          <w:p w:rsidR="00000000" w:rsidRPr="00D528EF" w:rsidP="00D528EF">
            <w:pPr>
              <w:pStyle w:val="ListBullet2"/>
            </w:pPr>
            <w:r w:rsidRPr="00D528EF">
              <w:t>Demonstrate an understanding of the essential knowledge and associate</w:t>
            </w:r>
            <w:r w:rsidRPr="00D528EF">
              <w:t>d skills described in this unit to such an extent that the learner’s performance outcome is reported in accordance with the preferred approach; namely a percentile graded result, where required by the regulated environment; and</w:t>
            </w:r>
          </w:p>
          <w:p w:rsidR="00000000" w:rsidRPr="00D528EF" w:rsidP="00D528EF">
            <w:pPr>
              <w:pStyle w:val="ListBullet2"/>
            </w:pPr>
            <w:r w:rsidRPr="00D528EF">
              <w:t>Demonstrate an appropriate l</w:t>
            </w:r>
            <w:r w:rsidRPr="00D528EF">
              <w:t>evel of employability skills; and</w:t>
            </w:r>
          </w:p>
          <w:p w:rsidR="00000000" w:rsidRPr="00D528EF" w:rsidP="00D528EF">
            <w:pPr>
              <w:pStyle w:val="ListBullet"/>
            </w:pPr>
            <w:r w:rsidRPr="00D528EF">
              <w:t>Conduct work observing the relevant Anti Discrimination legislation, regulations, policies and workplace procedures; and</w:t>
            </w:r>
          </w:p>
          <w:p w:rsidR="00000000" w:rsidP="00D528EF">
            <w:pPr>
              <w:pStyle w:val="ListBullet2"/>
              <w:rPr>
                <w:lang w:val="en-NZ"/>
              </w:rPr>
            </w:pPr>
            <w:r w:rsidRPr="00D528EF">
              <w:t>Demonstrated performance across a representative range of contexts from the prescribed items below:</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28E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rPr>
                <w:rStyle w:val="SpecialBold"/>
              </w:rPr>
              <w:t>Range of tools/equipment/materials/procedures/workplaces/other variables</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28E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8EF" w:rsidP="00D528EF">
            <w:pPr>
              <w:pStyle w:val="BodyText"/>
            </w:pPr>
            <w:r w:rsidRPr="00D528E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8EF" w:rsidP="00D528EF">
            <w:pPr>
              <w:pStyle w:val="BodyText"/>
            </w:pPr>
            <w:r w:rsidRPr="00D528E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rPr>
                <w:rStyle w:val="SpecialBold"/>
              </w:rPr>
              <w:t>Item List</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t>Manage a Network Fault including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8EF" w:rsidP="00D528EF">
            <w:pPr>
              <w:pStyle w:val="BodyText"/>
            </w:pPr>
            <w:r w:rsidRPr="00D528EF">
              <w:t>Identify a network fault by interpreting available alarms and event data.</w:t>
            </w:r>
          </w:p>
          <w:p w:rsidR="00000000" w:rsidRPr="00D528EF" w:rsidP="00D528EF">
            <w:pPr>
              <w:pStyle w:val="BodyText"/>
            </w:pPr>
            <w:r w:rsidRPr="00D528EF">
              <w:t>Develop a plan to enable management of a network fault.</w:t>
            </w:r>
          </w:p>
          <w:p w:rsidR="00000000" w:rsidRPr="00D528EF" w:rsidP="00D528EF">
            <w:pPr>
              <w:pStyle w:val="BodyText"/>
            </w:pPr>
            <w:r w:rsidRPr="00D528EF">
              <w:t>Implement plans in order that the network be restored after a fault has occurred.</w:t>
            </w:r>
          </w:p>
          <w:p w:rsidR="00000000" w:rsidRPr="00D528EF" w:rsidP="00D528EF">
            <w:pPr>
              <w:pStyle w:val="BodyText"/>
            </w:pPr>
            <w:r w:rsidRPr="00D528EF">
              <w:t>Effectively liaise with operating authoritie</w:t>
            </w:r>
            <w:r w:rsidRPr="00D528EF">
              <w:t>s and field crews to restore the network after a fault has occurred.</w:t>
            </w:r>
          </w:p>
          <w:p w:rsidR="00000000" w:rsidP="00D528EF">
            <w:pPr>
              <w:pStyle w:val="BodyText"/>
              <w:rPr>
                <w:lang w:val="en-NZ"/>
              </w:rPr>
            </w:pPr>
            <w:r w:rsidRPr="00D528EF">
              <w:t>Document/de-brief actions upon restoration of the network.</w:t>
            </w:r>
          </w:p>
        </w:tc>
      </w:tr>
      <w:tr w:rsidTr="00675253">
        <w:tblPrEx>
          <w:tblW w:w="0" w:type="auto"/>
          <w:tblLayout w:type="fixed"/>
          <w:tblCellMar>
            <w:left w:w="62" w:type="dxa"/>
            <w:right w:w="62" w:type="dxa"/>
          </w:tblCellMar>
          <w:tblLook w:val="0000"/>
        </w:tblPrEx>
        <w:trPr>
          <w:trHeight w:val="194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8EF">
            <w:pPr>
              <w:pStyle w:val="BodyText"/>
              <w:rPr>
                <w:lang w:val="en-NZ"/>
              </w:rPr>
            </w:pPr>
            <w:r w:rsidRPr="00D528E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8EF" w:rsidP="00D528EF">
            <w:pPr>
              <w:pStyle w:val="BodyText"/>
            </w:pPr>
            <w:r w:rsidRPr="00D528EF">
              <w:t>Dealing with an unplanned event by drawing on essential knowledge and associated skills to provide ap</w:t>
            </w:r>
            <w:r w:rsidRPr="00D528EF">
              <w:t>propriate solutions incorporated in the holistic assessment with the above listed items.</w:t>
            </w:r>
          </w:p>
        </w:tc>
      </w:tr>
    </w:tbl>
    <w:p w:rsidR="00000000" w:rsidRPr="00D528EF" w:rsidP="00D528EF">
      <w:pPr>
        <w:pStyle w:val="BodyText"/>
      </w:pPr>
    </w:p>
    <w:tbl>
      <w:tblPr>
        <w:tblW w:w="0" w:type="auto"/>
        <w:tblLayout w:type="fixed"/>
        <w:tblCellMar>
          <w:left w:w="62" w:type="dxa"/>
          <w:right w:w="62" w:type="dxa"/>
        </w:tblCellMar>
        <w:tblLook w:val="0000"/>
      </w:tblPr>
      <w:tblGrid>
        <w:gridCol w:w="1890"/>
        <w:gridCol w:w="6570"/>
      </w:tblGrid>
      <w:tr w:rsidTr="0067525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9.3)</w:t>
            </w:r>
          </w:p>
        </w:tc>
      </w:tr>
      <w:tr w:rsidTr="0067525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This unit should be assessed as it relates to normal work practice using procedures, information and resources typical of a workplace. This should include:</w:t>
            </w:r>
          </w:p>
          <w:p w:rsidR="00000000" w:rsidRPr="00D528EF" w:rsidP="00D528EF">
            <w:pPr>
              <w:pStyle w:val="ListBullet"/>
            </w:pPr>
            <w:r w:rsidRPr="00D528EF">
              <w:t>OHS policy and work procedures and instructions.</w:t>
            </w:r>
          </w:p>
          <w:p w:rsidR="00000000" w:rsidRPr="00D528EF" w:rsidP="00D528EF">
            <w:pPr>
              <w:pStyle w:val="ListBullet"/>
            </w:pPr>
            <w:r w:rsidRPr="00D528EF">
              <w:t>Suitable work environment, fa</w:t>
            </w:r>
            <w:r w:rsidRPr="00D528EF">
              <w:t xml:space="preserve">cilities, equipment and materials to undertake actual management of a network fault. </w:t>
            </w:r>
          </w:p>
          <w:p w:rsidR="00000000" w:rsidRPr="00D528EF" w:rsidP="00D528EF">
            <w:pPr>
              <w:pStyle w:val="BodyText"/>
            </w:pPr>
            <w:r w:rsidRPr="00D528EF">
              <w:t>Note:</w:t>
            </w:r>
          </w:p>
          <w:p w:rsidR="00000000" w:rsidRPr="00D528EF" w:rsidP="00D528EF">
            <w:pPr>
              <w:pStyle w:val="BodyText"/>
            </w:pPr>
            <w:r w:rsidRPr="00D528EF">
              <w:t>Access will be needed to: relevant modelling tools, drawings, computerised electrical plant control and monitoring facilities and enterprise operational policies, p</w:t>
            </w:r>
            <w:r w:rsidRPr="00D528EF">
              <w:t>rocedures and work practices.</w:t>
            </w:r>
          </w:p>
          <w:p w:rsidR="00000000" w:rsidRPr="00D528EF" w:rsidP="00D528EF">
            <w:pPr>
              <w:pStyle w:val="BodyText"/>
            </w:pPr>
            <w:r w:rsidRPr="00D528EF">
              <w:t xml:space="preserve">In addition to the resources listed above, in Context of and specific resources for assessment, evidence should show demonstrated competency working in realistic environment and a variety of conditions </w:t>
            </w:r>
          </w:p>
        </w:tc>
      </w:tr>
    </w:tbl>
    <w:p w:rsidR="00000000" w:rsidRPr="00D528EF" w:rsidP="00D528EF">
      <w:pPr>
        <w:pStyle w:val="BodyText"/>
      </w:pPr>
    </w:p>
    <w:tbl>
      <w:tblPr>
        <w:tblW w:w="0" w:type="auto"/>
        <w:tblLayout w:type="fixed"/>
        <w:tblCellMar>
          <w:left w:w="62" w:type="dxa"/>
          <w:right w:w="62" w:type="dxa"/>
        </w:tblCellMar>
        <w:tblLook w:val="0000"/>
      </w:tblPr>
      <w:tblGrid>
        <w:gridCol w:w="1890"/>
        <w:gridCol w:w="6570"/>
      </w:tblGrid>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9.4)</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This Competency Standard Unit shall be assessed by methods given in Volume 1, Part 3 “Assessment Guidelines”.</w:t>
            </w:r>
          </w:p>
          <w:p w:rsidR="00000000" w:rsidRPr="00D528EF" w:rsidP="00D528EF">
            <w:pPr>
              <w:pStyle w:val="BodyText"/>
            </w:pPr>
            <w:r w:rsidRPr="00D528EF">
              <w:t>Note:</w:t>
            </w:r>
          </w:p>
          <w:p w:rsidR="00000000" w:rsidRPr="00D528EF" w:rsidP="00D528EF">
            <w:pPr>
              <w:pStyle w:val="BodyText"/>
            </w:pPr>
            <w:r w:rsidRPr="00D528EF">
              <w:t>Competent performance with inherent safe working practices is expected in the Transmission, Distribution and Rail Traction Industry. This requires that the specified essential knowledge and associated skills are assessed in a structured environment which i</w:t>
            </w:r>
            <w:r w:rsidRPr="00D528EF">
              <w:t>s primarily intended for learning/assessment and incorporates all necessary equipment and facilities for learners to develop and demonstrate the essential knowledge and associated skills described in this unit.</w:t>
            </w:r>
          </w:p>
        </w:tc>
      </w:tr>
    </w:tbl>
    <w:p w:rsidR="00000000" w:rsidRPr="00D528EF" w:rsidP="00D528EF">
      <w:pPr>
        <w:pStyle w:val="BodyText"/>
      </w:pPr>
    </w:p>
    <w:tbl>
      <w:tblPr>
        <w:tblW w:w="0" w:type="auto"/>
        <w:tblLayout w:type="fixed"/>
        <w:tblCellMar>
          <w:left w:w="62" w:type="dxa"/>
          <w:right w:w="62" w:type="dxa"/>
        </w:tblCellMar>
        <w:tblLook w:val="0000"/>
      </w:tblPr>
      <w:tblGrid>
        <w:gridCol w:w="1890"/>
        <w:gridCol w:w="6570"/>
      </w:tblGrid>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Concurrent assessment and relationship with</w:t>
            </w:r>
            <w:r w:rsidRPr="00D528EF">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9.5)</w:t>
            </w:r>
          </w:p>
        </w:tc>
      </w:tr>
      <w:tr w:rsidTr="006752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There are no concurrent assessment recommendations for this unit.</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11" w:name="O_464915"/>
      <w:bookmarkEnd w:id="11"/>
      <w:r w:rsidRPr="00D528EF">
        <w:t>Range Statement</w:t>
      </w:r>
    </w:p>
    <w:tbl>
      <w:tblPr>
        <w:tblW w:w="0" w:type="auto"/>
        <w:tblLayout w:type="fixed"/>
        <w:tblCellMar>
          <w:left w:w="62" w:type="dxa"/>
          <w:right w:w="62" w:type="dxa"/>
        </w:tblCellMar>
        <w:tblLook w:val="0000"/>
      </w:tblPr>
      <w:tblGrid>
        <w:gridCol w:w="8460"/>
      </w:tblGrid>
      <w:tr w:rsidTr="006752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RANGE STATEMENT</w:t>
            </w:r>
          </w:p>
        </w:tc>
      </w:tr>
      <w:tr w:rsidTr="006752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10)</w:t>
            </w:r>
            <w:r w:rsidRPr="00D528EF">
              <w:t xml:space="preserve"> This relates to the competency standard unit as a whole providing the range of contexts and </w:t>
            </w:r>
            <w:r w:rsidRPr="00D528EF">
              <w:t>conditions to which the Performance Criteria apply. It allows for different work environments and situations that will affect performance.</w:t>
            </w:r>
          </w:p>
          <w:p w:rsidR="00000000" w:rsidRPr="00D528EF" w:rsidP="00D528EF">
            <w:pPr>
              <w:pStyle w:val="BodyText"/>
            </w:pPr>
            <w:r w:rsidRPr="00D528EF">
              <w:t>This Competency Standard Unit shall be demonstrated in relation to the management of network fault operations such as</w:t>
            </w:r>
            <w:r w:rsidRPr="00D528EF">
              <w:t xml:space="preserve"> simultaneous multiple network faults and shall be demonstrated using the following:</w:t>
            </w:r>
          </w:p>
          <w:p w:rsidR="00000000" w:rsidRPr="00D528EF" w:rsidP="00D528EF">
            <w:pPr>
              <w:pStyle w:val="BodyText"/>
            </w:pPr>
            <w:r w:rsidRPr="00D528EF">
              <w:t>Equipment includes; sectionalisers, security, sensitive earth fault protection, communication bearers, local trip circuits, inter-trip circuits, remote control supervisory</w:t>
            </w:r>
            <w:r w:rsidRPr="00D528EF">
              <w:t xml:space="preserve"> circuits, frequency injection units, under frequency circuits, voice frequency protection signalling, micro-controllers, RDC and MUX units, pilot cables, telephone lines, microwave bearers, cossonay earthwire carriers and optical fibre cables.</w:t>
            </w:r>
          </w:p>
          <w:p w:rsidR="00000000" w:rsidRPr="00D528EF" w:rsidP="00D528EF">
            <w:pPr>
              <w:pStyle w:val="BodyText"/>
            </w:pPr>
            <w:r w:rsidRPr="00D528EF">
              <w:t>Equipment a</w:t>
            </w:r>
            <w:r w:rsidRPr="00D528EF">
              <w:t>lso includes; LV fuses, links and bridges, HV links, fuses, reclosers, ring main units, circuit breakers, isolators, earth switches, sectionalisers, air break switches, capacitor banks, transformer taps, metering and protection equipment, data communicatio</w:t>
            </w:r>
            <w:r w:rsidRPr="00D528EF">
              <w:t xml:space="preserve">n systems. Primary and secondary voltage and current injection equipment; time delay measuring equipment; current transformers; voltage transformers; power transformers; tapchangers; circuit breakers; capacitor banks; ring main units; audio frequency load </w:t>
            </w:r>
            <w:r w:rsidRPr="00D528EF">
              <w:t>control; circuit breaker auxiliary systems; substation and metal structure earthing systems; SCADA interfaces and transducer inputs; local opto-isolated alarms; PLC programs; auto reclosers (ACRS); protection relays; metering; control circuits; statistical</w:t>
            </w:r>
            <w:r w:rsidRPr="00D528EF">
              <w:t xml:space="preserve"> metering systems; frame leakage relays; distance relays; pilot wire relays; transformer differential relays; busbar differential relays; impedance bus zone relays; overcurrent and earth fault relays; transformer neutral check relays; circuit breaker fail </w:t>
            </w:r>
            <w:r w:rsidRPr="00D528EF">
              <w:t>relays; multi-trip relays; auto recloser relays; voltage transformer failure relays; surge protection relays; buchholz relays; winding temperature relays; sensitive earth fault relays; phase failure relays; frequency relays; load shedding relays; general p</w:t>
            </w:r>
            <w:r w:rsidRPr="00D528EF">
              <w:t>rotection LV devices; oil temperature protection devices; oil surge protection devices; power supplies. differential relays; power systems; multi-facetted schemes; interactive overload schemes, distance protection (incorporating relay selection, switched/n</w:t>
            </w:r>
            <w:r w:rsidRPr="00D528EF">
              <w:t>on-switched schemes; mutual coupling and teed feeder systems); protection signalling (incorporating series, direct, permissive, distance acceleration, block interruption); telecommunication circuits and equipment ; alternators; generator differential prote</w:t>
            </w:r>
            <w:r w:rsidRPr="00D528EF">
              <w:t>ction; over/under speed protection; over/under flux protection; synchroscopes; excitation circuits; governors.</w:t>
            </w:r>
          </w:p>
          <w:p w:rsidR="00000000" w:rsidRPr="00D528EF" w:rsidP="00D528EF">
            <w:pPr>
              <w:pStyle w:val="BodyText"/>
            </w:pPr>
            <w:r w:rsidRPr="00D528EF">
              <w:t>Communication equipment may include: Fixed radio; mobile radio; satellite; SACS controllers; computer hardware and software; programmable control</w:t>
            </w:r>
            <w:r w:rsidRPr="00D528EF">
              <w:t>lers; modems; digital line drivers (low and high speed); fibre optic line drivers (low and high speed); radio links including voice link and digital bearer; wave trap.</w:t>
            </w:r>
          </w:p>
          <w:p w:rsidR="00000000" w:rsidRPr="00D528EF" w:rsidP="00D528EF">
            <w:pPr>
              <w:pStyle w:val="BodyText"/>
            </w:pPr>
            <w:r w:rsidRPr="00D528EF">
              <w:t>The following constants and variables included in the Element/Performance Criteria in th</w:t>
            </w:r>
            <w:r w:rsidRPr="00D528EF">
              <w:t>is unit are fully described in the Definitions Section 1 of this volume and form an integral part of the Range Statement of this unit:</w:t>
            </w:r>
          </w:p>
          <w:p w:rsidR="00000000" w:rsidRPr="00D528EF" w:rsidP="00D528EF">
            <w:pPr>
              <w:pStyle w:val="ListBullet3"/>
            </w:pPr>
            <w:r w:rsidRPr="00D528EF">
              <w:t>Appropriate and relevant persons (see Personnel)</w:t>
            </w:r>
          </w:p>
          <w:p w:rsidR="00000000" w:rsidRPr="00D528EF" w:rsidP="00D528EF">
            <w:pPr>
              <w:pStyle w:val="ListBullet3"/>
            </w:pPr>
            <w:r w:rsidRPr="00D528EF">
              <w:t>Appropriate authorities</w:t>
            </w:r>
          </w:p>
          <w:p w:rsidR="00000000" w:rsidRPr="00D528EF" w:rsidP="00D528EF">
            <w:pPr>
              <w:pStyle w:val="ListBullet3"/>
            </w:pPr>
            <w:r w:rsidRPr="00D528EF">
              <w:t>Appropriate work platform</w:t>
            </w:r>
          </w:p>
          <w:p w:rsidR="00000000" w:rsidRPr="00D528EF" w:rsidP="00D528EF">
            <w:pPr>
              <w:pStyle w:val="ListBullet3"/>
            </w:pPr>
            <w:r w:rsidRPr="00D528EF">
              <w:t>Assessing risk</w:t>
            </w:r>
          </w:p>
          <w:p w:rsidR="00000000" w:rsidRPr="00D528EF" w:rsidP="00D528EF">
            <w:pPr>
              <w:pStyle w:val="ListBullet3"/>
            </w:pPr>
            <w:r w:rsidRPr="00D528EF">
              <w:t>Assess</w:t>
            </w:r>
            <w:r w:rsidRPr="00D528EF">
              <w:t>ment</w:t>
            </w:r>
          </w:p>
          <w:p w:rsidR="00000000" w:rsidRPr="00D528EF" w:rsidP="00D528EF">
            <w:pPr>
              <w:pStyle w:val="ListBullet3"/>
            </w:pPr>
            <w:r w:rsidRPr="00D528EF">
              <w:t>Authorisation</w:t>
            </w:r>
          </w:p>
          <w:p w:rsidR="00000000" w:rsidRPr="00D528EF" w:rsidP="00D528EF">
            <w:pPr>
              <w:pStyle w:val="ListBullet3"/>
            </w:pPr>
            <w:r w:rsidRPr="00D528EF">
              <w:t>Confined space</w:t>
            </w:r>
          </w:p>
          <w:p w:rsidR="00000000" w:rsidRPr="00D528EF" w:rsidP="00D528EF">
            <w:pPr>
              <w:pStyle w:val="ListBullet3"/>
            </w:pPr>
            <w:r w:rsidRPr="00D528EF">
              <w:t>Diagnostic, testing and restoration</w:t>
            </w:r>
          </w:p>
          <w:p w:rsidR="00000000" w:rsidRPr="00D528EF" w:rsidP="00D528EF">
            <w:pPr>
              <w:pStyle w:val="ListBullet3"/>
            </w:pPr>
            <w:r w:rsidRPr="00D528EF">
              <w:t>Documenting detail work events, record keeping and or storage of information</w:t>
            </w:r>
          </w:p>
          <w:p w:rsidR="00000000" w:rsidRPr="00D528EF" w:rsidP="00D528EF">
            <w:pPr>
              <w:pStyle w:val="ListBullet3"/>
            </w:pPr>
            <w:r w:rsidRPr="00D528EF">
              <w:t xml:space="preserve">Drawings and specifications </w:t>
            </w:r>
          </w:p>
          <w:p w:rsidR="00000000" w:rsidRPr="00D528EF" w:rsidP="00D528EF">
            <w:pPr>
              <w:pStyle w:val="ListBullet3"/>
            </w:pPr>
            <w:r w:rsidRPr="00D528EF">
              <w:t>Emergency</w:t>
            </w:r>
          </w:p>
          <w:p w:rsidR="00000000" w:rsidRPr="00D528EF" w:rsidP="00D528EF">
            <w:pPr>
              <w:pStyle w:val="ListBullet3"/>
            </w:pPr>
            <w:r w:rsidRPr="00D528EF">
              <w:t>Environmental and sustainable energy procedures</w:t>
            </w:r>
          </w:p>
          <w:p w:rsidR="00000000" w:rsidRPr="00D528EF" w:rsidP="00D528EF">
            <w:pPr>
              <w:pStyle w:val="ListBullet3"/>
            </w:pPr>
            <w:r w:rsidRPr="00D528EF">
              <w:t>Environmental legislation.</w:t>
            </w:r>
          </w:p>
          <w:p w:rsidR="00000000" w:rsidRPr="00D528EF" w:rsidP="00D528EF">
            <w:pPr>
              <w:pStyle w:val="ListBullet3"/>
            </w:pPr>
            <w:r w:rsidRPr="00D528EF">
              <w:t>Environmental management documentation.</w:t>
            </w:r>
          </w:p>
          <w:p w:rsidR="00000000" w:rsidRPr="00D528EF" w:rsidP="00D528EF">
            <w:pPr>
              <w:pStyle w:val="ListBullet3"/>
            </w:pPr>
            <w:r w:rsidRPr="00D528EF">
              <w:t>Established procedures</w:t>
            </w:r>
          </w:p>
          <w:p w:rsidR="00000000" w:rsidRPr="00D528EF" w:rsidP="00D528EF">
            <w:pPr>
              <w:pStyle w:val="ListBullet3"/>
            </w:pPr>
            <w:r w:rsidRPr="00D528EF">
              <w:t>Fall prevention</w:t>
            </w:r>
          </w:p>
          <w:p w:rsidR="00000000" w:rsidRPr="00D528EF" w:rsidP="00D528EF">
            <w:pPr>
              <w:pStyle w:val="ListBullet3"/>
            </w:pPr>
            <w:r w:rsidRPr="00D528EF">
              <w:t>Hazards</w:t>
            </w:r>
          </w:p>
          <w:p w:rsidR="00000000" w:rsidRPr="00D528EF" w:rsidP="00D528EF">
            <w:pPr>
              <w:pStyle w:val="ListBullet3"/>
            </w:pPr>
            <w:r w:rsidRPr="00D528EF">
              <w:t>Identifying hazards</w:t>
            </w:r>
          </w:p>
          <w:p w:rsidR="00000000" w:rsidRPr="00D528EF" w:rsidP="00D528EF">
            <w:pPr>
              <w:pStyle w:val="ListBullet3"/>
            </w:pPr>
            <w:r w:rsidRPr="00D528EF">
              <w:t>Inspect</w:t>
            </w:r>
          </w:p>
          <w:p w:rsidR="00000000" w:rsidRPr="00D528EF" w:rsidP="00D528EF">
            <w:pPr>
              <w:pStyle w:val="ListBullet3"/>
            </w:pPr>
            <w:r w:rsidRPr="00D528EF">
              <w:t>Legislation</w:t>
            </w:r>
          </w:p>
          <w:p w:rsidR="00000000" w:rsidRPr="00D528EF" w:rsidP="00D528EF">
            <w:pPr>
              <w:pStyle w:val="ListBullet3"/>
            </w:pPr>
            <w:r w:rsidRPr="00D528EF">
              <w:t>MSDS</w:t>
            </w:r>
          </w:p>
          <w:p w:rsidR="00000000" w:rsidRPr="00D528EF" w:rsidP="00D528EF">
            <w:pPr>
              <w:pStyle w:val="ListBullet3"/>
            </w:pPr>
            <w:r w:rsidRPr="00D528EF">
              <w:t>Notification</w:t>
            </w:r>
          </w:p>
          <w:p w:rsidR="00000000" w:rsidRPr="00D528EF" w:rsidP="00D528EF">
            <w:pPr>
              <w:pStyle w:val="ListBullet3"/>
            </w:pPr>
            <w:r w:rsidRPr="00D528EF">
              <w:t>OHS practices</w:t>
            </w:r>
          </w:p>
          <w:p w:rsidR="00000000" w:rsidRPr="00D528EF" w:rsidP="00D528EF">
            <w:pPr>
              <w:pStyle w:val="ListBullet3"/>
            </w:pPr>
            <w:r w:rsidRPr="00D528EF">
              <w:t>OHS issues</w:t>
            </w:r>
          </w:p>
          <w:p w:rsidR="00000000" w:rsidRPr="00D528EF" w:rsidP="00D528EF">
            <w:pPr>
              <w:pStyle w:val="ListBullet3"/>
            </w:pPr>
            <w:r w:rsidRPr="00D528EF">
              <w:t>Permits and/or permits to work</w:t>
            </w:r>
          </w:p>
          <w:p w:rsidR="00000000" w:rsidRPr="00D528EF" w:rsidP="00D528EF">
            <w:pPr>
              <w:pStyle w:val="ListBullet3"/>
            </w:pPr>
            <w:r w:rsidRPr="00D528EF">
              <w:t>Personnel</w:t>
            </w:r>
          </w:p>
          <w:p w:rsidR="00000000" w:rsidRPr="00D528EF" w:rsidP="00D528EF">
            <w:pPr>
              <w:pStyle w:val="ListBullet3"/>
            </w:pPr>
            <w:r w:rsidRPr="00D528EF">
              <w:t xml:space="preserve">Quality assurance </w:t>
            </w:r>
            <w:r w:rsidRPr="00D528EF">
              <w:t>systems</w:t>
            </w:r>
          </w:p>
          <w:p w:rsidR="00000000" w:rsidRPr="00D528EF" w:rsidP="00D528EF">
            <w:pPr>
              <w:pStyle w:val="ListBullet3"/>
            </w:pPr>
            <w:r w:rsidRPr="00D528EF">
              <w:t>Requirements</w:t>
            </w:r>
          </w:p>
          <w:p w:rsidR="00000000" w:rsidRPr="00D528EF" w:rsidP="00D528EF">
            <w:pPr>
              <w:pStyle w:val="ListBullet3"/>
            </w:pPr>
            <w:r w:rsidRPr="00D528EF">
              <w:t>Testing procedures</w:t>
            </w:r>
          </w:p>
          <w:p w:rsidR="00000000" w:rsidRPr="00D528EF" w:rsidP="00D528EF">
            <w:pPr>
              <w:pStyle w:val="ListBullet3"/>
            </w:pPr>
            <w:r w:rsidRPr="00D528EF">
              <w:t>Work clearance systems</w:t>
            </w:r>
          </w:p>
        </w:tc>
      </w:tr>
    </w:tbl>
    <w:p w:rsidR="00000000" w:rsidRPr="00D528EF" w:rsidP="00D528EF">
      <w:pPr>
        <w:pStyle w:val="BodyText"/>
      </w:pPr>
    </w:p>
    <w:p w:rsidR="00000000" w:rsidRPr="00D528EF" w:rsidP="00D528EF">
      <w:pPr>
        <w:pStyle w:val="AllowPageBreak"/>
      </w:pPr>
    </w:p>
    <w:p w:rsidR="00000000" w:rsidRPr="00D528EF" w:rsidP="00D528EF">
      <w:pPr>
        <w:pStyle w:val="Heading1"/>
      </w:pPr>
      <w:bookmarkStart w:id="12" w:name="O_464918"/>
      <w:bookmarkEnd w:id="12"/>
      <w:r w:rsidRPr="00D528EF">
        <w:t>Unit Sector(s)</w:t>
      </w:r>
    </w:p>
    <w:p w:rsidR="00000000" w:rsidRPr="00D528EF" w:rsidP="00D528EF">
      <w:pPr>
        <w:pStyle w:val="BodyText"/>
      </w:pPr>
      <w:r w:rsidRPr="00D528EF">
        <w:t>Not applicable.</w:t>
      </w:r>
    </w:p>
    <w:p w:rsidR="00000000" w:rsidRPr="00D528EF" w:rsidP="00D528EF">
      <w:pPr>
        <w:pStyle w:val="AllowPageBreak"/>
      </w:pPr>
    </w:p>
    <w:p w:rsidR="00000000" w:rsidRPr="00D528EF" w:rsidP="00D528EF">
      <w:pPr>
        <w:pStyle w:val="Heading1"/>
      </w:pPr>
      <w:bookmarkStart w:id="13" w:name="O_464907"/>
      <w:bookmarkEnd w:id="13"/>
      <w:r w:rsidRPr="00D528EF">
        <w:t>Competency Field</w:t>
      </w:r>
    </w:p>
    <w:tbl>
      <w:tblPr>
        <w:tblW w:w="0" w:type="auto"/>
        <w:tblLayout w:type="fixed"/>
        <w:tblCellMar>
          <w:left w:w="62" w:type="dxa"/>
          <w:right w:w="62" w:type="dxa"/>
        </w:tblCellMar>
        <w:tblLook w:val="0000"/>
      </w:tblPr>
      <w:tblGrid>
        <w:gridCol w:w="2700"/>
        <w:gridCol w:w="5760"/>
      </w:tblGrid>
      <w:tr w:rsidTr="00675253">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28EF">
            <w:pPr>
              <w:pStyle w:val="BodyText"/>
              <w:rPr>
                <w:lang w:val="en-NZ"/>
              </w:rPr>
            </w:pPr>
            <w:r w:rsidRPr="00D528EF">
              <w:rPr>
                <w:rStyle w:val="SpecialBold"/>
              </w:rPr>
              <w:t xml:space="preserve">11) </w:t>
            </w:r>
          </w:p>
        </w:tc>
      </w:tr>
      <w:tr w:rsidTr="006752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28EF" w:rsidP="00D528EF">
            <w:pPr>
              <w:pStyle w:val="BodyText"/>
            </w:pPr>
            <w:r w:rsidRPr="00D528EF">
              <w:t>System Operation Units</w:t>
            </w:r>
          </w:p>
        </w:tc>
      </w:tr>
    </w:tbl>
    <w:p w:rsidR="00000000" w:rsidRPr="00D528EF" w:rsidP="00D528EF">
      <w:pPr>
        <w:pStyle w:val="BodyText"/>
      </w:pPr>
    </w:p>
    <w:p w:rsidR="00000000" w:rsidRPr="00D528EF" w:rsidP="00D528EF"/>
    <w:sectPr w:rsidSect="00D52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253" w:rsidP="00675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53" w:rsidP="00D52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75253" w:rsidP="00D52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5253" w:rsidP="00D52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253" w:rsidP="00675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53" w:rsidP="00D528EF">
    <w:pPr>
      <w:pStyle w:val="Header"/>
      <w:framePr w:wrap="around"/>
    </w:pPr>
    <w:r>
      <w:fldChar w:fldCharType="begin"/>
    </w:r>
    <w:r>
      <w:instrText xml:space="preserve"> TITLE   \* MERGEFORMAT </w:instrText>
    </w:r>
    <w:r>
      <w:fldChar w:fldCharType="separate"/>
    </w:r>
    <w:r>
      <w:t>UETTDRSO32A Manage power systems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5253" w:rsidP="00D52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0B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1E8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E1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8EF"/>
    <w:pPr>
      <w:spacing w:before="360" w:after="60"/>
      <w:outlineLvl w:val="0"/>
    </w:pPr>
    <w:rPr>
      <w:sz w:val="32"/>
    </w:rPr>
  </w:style>
  <w:style w:type="paragraph" w:styleId="Heading2">
    <w:name w:val="heading 2"/>
    <w:basedOn w:val="HeadingBase"/>
    <w:next w:val="BodyText"/>
    <w:link w:val="Heading2Char"/>
    <w:qFormat/>
    <w:rsid w:val="00D528EF"/>
    <w:pPr>
      <w:keepLines/>
      <w:spacing w:before="240" w:after="120"/>
      <w:outlineLvl w:val="1"/>
    </w:pPr>
    <w:rPr>
      <w:sz w:val="28"/>
      <w:szCs w:val="40"/>
    </w:rPr>
  </w:style>
  <w:style w:type="paragraph" w:styleId="Heading3">
    <w:name w:val="heading 3"/>
    <w:basedOn w:val="HeadingBase"/>
    <w:next w:val="BodyText"/>
    <w:link w:val="Heading3Char"/>
    <w:qFormat/>
    <w:rsid w:val="00D528EF"/>
    <w:pPr>
      <w:spacing w:before="180" w:after="120"/>
      <w:outlineLvl w:val="2"/>
    </w:pPr>
    <w:rPr>
      <w:spacing w:val="-10"/>
      <w:kern w:val="32"/>
    </w:rPr>
  </w:style>
  <w:style w:type="paragraph" w:styleId="Heading4">
    <w:name w:val="heading 4"/>
    <w:basedOn w:val="HeadingBase"/>
    <w:next w:val="BodyText"/>
    <w:link w:val="Heading4Char"/>
    <w:qFormat/>
    <w:rsid w:val="00D528EF"/>
    <w:pPr>
      <w:spacing w:before="160" w:after="120"/>
      <w:outlineLvl w:val="3"/>
    </w:pPr>
    <w:rPr>
      <w:sz w:val="22"/>
    </w:rPr>
  </w:style>
  <w:style w:type="paragraph" w:styleId="Heading5">
    <w:name w:val="heading 5"/>
    <w:basedOn w:val="HeadingBase"/>
    <w:next w:val="Normal"/>
    <w:link w:val="Heading5Char"/>
    <w:qFormat/>
    <w:rsid w:val="00D528EF"/>
    <w:pPr>
      <w:spacing w:before="80"/>
      <w:outlineLvl w:val="4"/>
    </w:pPr>
    <w:rPr>
      <w:color w:val="918585"/>
      <w:sz w:val="20"/>
    </w:rPr>
  </w:style>
  <w:style w:type="paragraph" w:styleId="Heading6">
    <w:name w:val="heading 6"/>
    <w:basedOn w:val="HeadingBase"/>
    <w:next w:val="Normal"/>
    <w:link w:val="Heading6Char"/>
    <w:qFormat/>
    <w:rsid w:val="00D528EF"/>
    <w:pPr>
      <w:spacing w:before="60"/>
      <w:outlineLvl w:val="5"/>
    </w:pPr>
    <w:rPr>
      <w:color w:val="918585"/>
      <w:sz w:val="20"/>
    </w:rPr>
  </w:style>
  <w:style w:type="paragraph" w:styleId="Heading7">
    <w:name w:val="heading 7"/>
    <w:basedOn w:val="Normal"/>
    <w:next w:val="Normal"/>
    <w:link w:val="Heading7Char"/>
    <w:qFormat/>
    <w:rsid w:val="00D528EF"/>
    <w:pPr>
      <w:ind w:left="720"/>
      <w:outlineLvl w:val="6"/>
    </w:pPr>
    <w:rPr>
      <w:i/>
    </w:rPr>
  </w:style>
  <w:style w:type="paragraph" w:styleId="Heading8">
    <w:name w:val="heading 8"/>
    <w:basedOn w:val="Normal"/>
    <w:next w:val="Normal"/>
    <w:link w:val="Heading8Char"/>
    <w:qFormat/>
    <w:rsid w:val="00D528EF"/>
    <w:pPr>
      <w:ind w:left="720"/>
      <w:outlineLvl w:val="7"/>
    </w:pPr>
    <w:rPr>
      <w:i/>
    </w:rPr>
  </w:style>
  <w:style w:type="paragraph" w:styleId="Heading9">
    <w:name w:val="heading 9"/>
    <w:basedOn w:val="Normal"/>
    <w:next w:val="Normal"/>
    <w:link w:val="Heading9Char"/>
    <w:qFormat/>
    <w:rsid w:val="00D528EF"/>
    <w:pPr>
      <w:ind w:left="720"/>
      <w:outlineLvl w:val="8"/>
    </w:pPr>
    <w:rPr>
      <w:i/>
    </w:rPr>
  </w:style>
  <w:style w:type="character" w:default="1" w:styleId="DefaultParagraphFont">
    <w:name w:val="Default Paragraph Font"/>
    <w:uiPriority w:val="1"/>
    <w:unhideWhenUsed/>
    <w:rsid w:val="00D52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8EF"/>
  </w:style>
  <w:style w:type="character" w:customStyle="1" w:styleId="Heading1Char">
    <w:name w:val="Heading 1 Char"/>
    <w:basedOn w:val="DefaultParagraphFont"/>
    <w:link w:val="Heading1"/>
    <w:rsid w:val="00D528EF"/>
    <w:rPr>
      <w:rFonts w:ascii="Times New Roman" w:eastAsia="Times New Roman" w:hAnsi="Times New Roman" w:cs="Times New Roman"/>
      <w:b/>
      <w:sz w:val="32"/>
      <w:szCs w:val="20"/>
      <w:lang w:eastAsia="en-US"/>
    </w:rPr>
  </w:style>
  <w:style w:type="paragraph" w:styleId="BodyText">
    <w:name w:val="Body Text"/>
    <w:basedOn w:val="Normal"/>
    <w:link w:val="BodyTextChar"/>
    <w:rsid w:val="00D52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8EF"/>
    <w:rPr>
      <w:rFonts w:ascii="Times New Roman" w:eastAsia="Times New Roman" w:hAnsi="Times New Roman" w:cs="Times New Roman"/>
      <w:sz w:val="24"/>
      <w:lang w:val="en-US" w:eastAsia="en-US"/>
    </w:rPr>
  </w:style>
  <w:style w:type="paragraph" w:styleId="Footer">
    <w:name w:val="footer"/>
    <w:basedOn w:val="Normal"/>
    <w:link w:val="FooterChar"/>
    <w:rsid w:val="00D52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8EF"/>
    <w:rPr>
      <w:rFonts w:ascii="Times New Roman" w:eastAsia="Times New Roman" w:hAnsi="Times New Roman" w:cs="Times New Roman"/>
      <w:sz w:val="16"/>
      <w:lang w:val="en-US" w:eastAsia="en-US"/>
    </w:rPr>
  </w:style>
  <w:style w:type="paragraph" w:styleId="ListBullet">
    <w:name w:val="List Bullet"/>
    <w:basedOn w:val="List"/>
    <w:rsid w:val="00D528EF"/>
    <w:pPr>
      <w:numPr>
        <w:numId w:val="14"/>
      </w:numPr>
      <w:tabs>
        <w:tab w:val="clear" w:pos="340"/>
      </w:tabs>
      <w:spacing w:before="40" w:after="40"/>
    </w:pPr>
  </w:style>
  <w:style w:type="character" w:customStyle="1" w:styleId="SpecialBold">
    <w:name w:val="Special Bold"/>
    <w:basedOn w:val="DefaultParagraphFont"/>
    <w:rsid w:val="00D528EF"/>
    <w:rPr>
      <w:b/>
      <w:spacing w:val="0"/>
    </w:rPr>
  </w:style>
  <w:style w:type="paragraph" w:styleId="ListBullet2">
    <w:name w:val="List Bullet 2"/>
    <w:basedOn w:val="List2"/>
    <w:rsid w:val="00D528EF"/>
    <w:pPr>
      <w:numPr>
        <w:numId w:val="15"/>
      </w:numPr>
      <w:tabs>
        <w:tab w:val="clear" w:pos="680"/>
      </w:tabs>
    </w:pPr>
  </w:style>
  <w:style w:type="paragraph" w:styleId="Header">
    <w:name w:val="header"/>
    <w:basedOn w:val="Normal"/>
    <w:link w:val="HeaderChar"/>
    <w:rsid w:val="00D52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8EF"/>
    <w:pPr>
      <w:spacing w:before="240" w:after="120"/>
      <w:outlineLvl w:val="0"/>
    </w:pPr>
    <w:rPr>
      <w:rFonts w:ascii="Times New Roman" w:hAnsi="Times New Roman"/>
      <w:b/>
      <w:sz w:val="28"/>
    </w:rPr>
  </w:style>
  <w:style w:type="paragraph" w:customStyle="1" w:styleId="AllowPageBreak">
    <w:name w:val="AllowPageBreak"/>
    <w:rsid w:val="00D528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28EF"/>
    <w:pPr>
      <w:numPr>
        <w:numId w:val="3"/>
      </w:numPr>
      <w:tabs>
        <w:tab w:val="clear" w:pos="1021"/>
      </w:tabs>
      <w:ind w:left="1037" w:hanging="357"/>
    </w:pPr>
  </w:style>
  <w:style w:type="character" w:customStyle="1" w:styleId="Heading2Char">
    <w:name w:val="Heading 2 Char"/>
    <w:basedOn w:val="DefaultParagraphFont"/>
    <w:link w:val="Heading2"/>
    <w:rsid w:val="00D52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8EF"/>
    <w:rPr>
      <w:rFonts w:ascii="Courier New" w:eastAsia="Times New Roman" w:hAnsi="Courier New" w:cs="Times New Roman"/>
      <w:i/>
      <w:szCs w:val="20"/>
      <w:lang w:val="en-US" w:eastAsia="en-US"/>
    </w:rPr>
  </w:style>
  <w:style w:type="paragraph" w:customStyle="1" w:styleId="HeadingBase">
    <w:name w:val="Heading Base"/>
    <w:rsid w:val="00D52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8EF"/>
    <w:pPr>
      <w:tabs>
        <w:tab w:val="right" w:leader="dot" w:pos="9072"/>
      </w:tabs>
      <w:ind w:left="567"/>
    </w:pPr>
    <w:rPr>
      <w:szCs w:val="22"/>
    </w:rPr>
  </w:style>
  <w:style w:type="paragraph" w:customStyle="1" w:styleId="TOCBase">
    <w:name w:val="TOC Base"/>
    <w:rsid w:val="00D52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8EF"/>
    <w:pPr>
      <w:tabs>
        <w:tab w:val="right" w:leader="dot" w:pos="9072"/>
      </w:tabs>
      <w:spacing w:before="40" w:after="40"/>
      <w:ind w:left="284"/>
    </w:pPr>
    <w:rPr>
      <w:rFonts w:ascii="Times New Roman" w:hAnsi="Times New Roman"/>
    </w:rPr>
  </w:style>
  <w:style w:type="paragraph" w:styleId="TOC1">
    <w:name w:val="toc 1"/>
    <w:basedOn w:val="TOCBase"/>
    <w:next w:val="Normal"/>
    <w:rsid w:val="00D52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8EF"/>
    <w:pPr>
      <w:spacing w:before="5040"/>
      <w:jc w:val="center"/>
    </w:pPr>
    <w:rPr>
      <w:sz w:val="48"/>
      <w:szCs w:val="72"/>
      <w:lang w:val="en-US"/>
    </w:rPr>
  </w:style>
  <w:style w:type="character" w:customStyle="1" w:styleId="TitleChar">
    <w:name w:val="Title Char"/>
    <w:basedOn w:val="DefaultParagraphFont"/>
    <w:link w:val="Title"/>
    <w:rsid w:val="00D52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8EF"/>
    <w:pPr>
      <w:tabs>
        <w:tab w:val="left" w:pos="3600"/>
        <w:tab w:val="left" w:pos="3958"/>
      </w:tabs>
    </w:pPr>
  </w:style>
  <w:style w:type="paragraph" w:styleId="List">
    <w:name w:val="List"/>
    <w:basedOn w:val="BodyText"/>
    <w:next w:val="BodyText"/>
    <w:rsid w:val="00D528EF"/>
    <w:pPr>
      <w:tabs>
        <w:tab w:val="left" w:pos="340"/>
      </w:tabs>
      <w:spacing w:before="60" w:after="60"/>
      <w:ind w:left="340" w:hanging="340"/>
    </w:pPr>
  </w:style>
  <w:style w:type="paragraph" w:customStyle="1" w:styleId="Note">
    <w:name w:val="Note"/>
    <w:basedOn w:val="BodyText"/>
    <w:rsid w:val="00D52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8EF"/>
    <w:pPr>
      <w:framePr w:wrap="auto" w:hAnchor="text" w:y="6049"/>
    </w:pPr>
    <w:rPr>
      <w:color w:val="000000"/>
      <w:sz w:val="40"/>
    </w:rPr>
  </w:style>
  <w:style w:type="paragraph" w:customStyle="1" w:styleId="TOCTitle">
    <w:name w:val="TOCTitle"/>
    <w:basedOn w:val="Heading1"/>
    <w:rsid w:val="00D528EF"/>
    <w:pPr>
      <w:spacing w:after="240"/>
      <w:jc w:val="center"/>
      <w:outlineLvl w:val="9"/>
    </w:pPr>
    <w:rPr>
      <w:caps/>
    </w:rPr>
  </w:style>
  <w:style w:type="paragraph" w:customStyle="1" w:styleId="Version">
    <w:name w:val="Version"/>
    <w:rsid w:val="00D52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8EF"/>
    <w:pPr>
      <w:keepNext w:val="0"/>
      <w:tabs>
        <w:tab w:val="right" w:pos="4176"/>
      </w:tabs>
      <w:ind w:left="198" w:hanging="198"/>
    </w:pPr>
    <w:rPr>
      <w:rFonts w:ascii="Garamond" w:hAnsi="Garamond"/>
    </w:rPr>
  </w:style>
  <w:style w:type="paragraph" w:styleId="IndexHeading">
    <w:name w:val="index heading"/>
    <w:basedOn w:val="Normal"/>
    <w:next w:val="Index1"/>
    <w:semiHidden/>
    <w:rsid w:val="00D528EF"/>
    <w:pPr>
      <w:spacing w:before="120" w:after="120"/>
    </w:pPr>
    <w:rPr>
      <w:rFonts w:ascii="Arial" w:hAnsi="Arial"/>
      <w:b/>
      <w:color w:val="918585"/>
      <w:sz w:val="24"/>
    </w:rPr>
  </w:style>
  <w:style w:type="paragraph" w:customStyle="1" w:styleId="Chapter">
    <w:name w:val="Chapter"/>
    <w:basedOn w:val="Normal"/>
    <w:rsid w:val="00D528EF"/>
    <w:pPr>
      <w:spacing w:before="240"/>
    </w:pPr>
    <w:rPr>
      <w:rFonts w:ascii="Times New Roman" w:hAnsi="Times New Roman"/>
      <w:smallCaps/>
      <w:spacing w:val="80"/>
      <w:sz w:val="28"/>
    </w:rPr>
  </w:style>
  <w:style w:type="paragraph" w:customStyle="1" w:styleId="InChapter">
    <w:name w:val="InChapter"/>
    <w:basedOn w:val="Heading3"/>
    <w:rsid w:val="00D528EF"/>
    <w:pPr>
      <w:spacing w:after="240"/>
      <w:outlineLvl w:val="9"/>
    </w:pPr>
    <w:rPr>
      <w:noProof/>
    </w:rPr>
  </w:style>
  <w:style w:type="paragraph" w:styleId="Index2">
    <w:name w:val="index 2"/>
    <w:basedOn w:val="Normal"/>
    <w:next w:val="Normal"/>
    <w:semiHidden/>
    <w:rsid w:val="00D528EF"/>
    <w:pPr>
      <w:tabs>
        <w:tab w:val="right" w:pos="4176"/>
      </w:tabs>
      <w:ind w:left="568" w:hanging="284"/>
    </w:pPr>
    <w:rPr>
      <w:rFonts w:ascii="Garamond" w:hAnsi="Garamond"/>
    </w:rPr>
  </w:style>
  <w:style w:type="paragraph" w:customStyle="1" w:styleId="Byline">
    <w:name w:val="Byline"/>
    <w:rsid w:val="00D52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8EF"/>
    <w:pPr>
      <w:tabs>
        <w:tab w:val="clear" w:pos="3600"/>
        <w:tab w:val="clear" w:pos="3958"/>
      </w:tabs>
      <w:jc w:val="right"/>
    </w:pPr>
  </w:style>
  <w:style w:type="character" w:styleId="Emphasis">
    <w:name w:val="Emphasis"/>
    <w:basedOn w:val="DefaultParagraphFont"/>
    <w:qFormat/>
    <w:rsid w:val="00D528EF"/>
    <w:rPr>
      <w:i/>
    </w:rPr>
  </w:style>
  <w:style w:type="paragraph" w:styleId="Caption">
    <w:name w:val="caption"/>
    <w:basedOn w:val="BodyText"/>
    <w:next w:val="Normal"/>
    <w:qFormat/>
    <w:rsid w:val="00D528EF"/>
    <w:pPr>
      <w:framePr w:w="2268" w:hSpace="181" w:vSpace="181" w:wrap="around" w:vAnchor="text" w:hAnchor="page" w:x="1135" w:y="285" w:anchorLock="1"/>
    </w:pPr>
    <w:rPr>
      <w:i/>
    </w:rPr>
  </w:style>
  <w:style w:type="paragraph" w:customStyle="1" w:styleId="MiniTOCTitle">
    <w:name w:val="MiniTOCTitle"/>
    <w:basedOn w:val="Heading4"/>
    <w:rsid w:val="00D528EF"/>
    <w:pPr>
      <w:spacing w:before="240"/>
      <w:outlineLvl w:val="9"/>
    </w:pPr>
    <w:rPr>
      <w:noProof/>
      <w:sz w:val="24"/>
    </w:rPr>
  </w:style>
  <w:style w:type="paragraph" w:customStyle="1" w:styleId="MiniTOCItem">
    <w:name w:val="MiniTOCItem"/>
    <w:basedOn w:val="ListBullet"/>
    <w:rsid w:val="00D528EF"/>
    <w:pPr>
      <w:numPr>
        <w:numId w:val="0"/>
      </w:numPr>
      <w:tabs>
        <w:tab w:val="right" w:leader="dot" w:pos="6521"/>
      </w:tabs>
      <w:spacing w:before="0" w:after="0"/>
    </w:pPr>
  </w:style>
  <w:style w:type="paragraph" w:customStyle="1" w:styleId="TOFTitle">
    <w:name w:val="TOFTitle"/>
    <w:basedOn w:val="TOCTitle"/>
    <w:rsid w:val="00D528EF"/>
  </w:style>
  <w:style w:type="paragraph" w:styleId="TableofFigures">
    <w:name w:val="table of figures"/>
    <w:basedOn w:val="Normal"/>
    <w:next w:val="Normal"/>
    <w:semiHidden/>
    <w:rsid w:val="00D528EF"/>
    <w:pPr>
      <w:tabs>
        <w:tab w:val="right" w:leader="dot" w:pos="9072"/>
      </w:tabs>
      <w:ind w:left="970" w:hanging="403"/>
    </w:pPr>
    <w:rPr>
      <w:rFonts w:ascii="Times New Roman" w:hAnsi="Times New Roman"/>
      <w:b/>
    </w:rPr>
  </w:style>
  <w:style w:type="paragraph" w:styleId="ListNumber">
    <w:name w:val="List Number"/>
    <w:basedOn w:val="List"/>
    <w:rsid w:val="00D528EF"/>
    <w:pPr>
      <w:numPr>
        <w:numId w:val="12"/>
      </w:numPr>
    </w:pPr>
  </w:style>
  <w:style w:type="character" w:customStyle="1" w:styleId="WingdingSymbols">
    <w:name w:val="Wingding Symbols"/>
    <w:rsid w:val="00D528EF"/>
    <w:rPr>
      <w:rFonts w:ascii="Wingdings" w:hAnsi="Wingdings"/>
    </w:rPr>
  </w:style>
  <w:style w:type="paragraph" w:customStyle="1" w:styleId="TableHeading">
    <w:name w:val="Table Heading"/>
    <w:basedOn w:val="HeadingBase"/>
    <w:rsid w:val="00D528EF"/>
    <w:pPr>
      <w:keepLines/>
      <w:pBdr>
        <w:bottom w:val="single" w:sz="6" w:space="1" w:color="918585"/>
      </w:pBdr>
      <w:spacing w:before="240"/>
    </w:pPr>
  </w:style>
  <w:style w:type="character" w:customStyle="1" w:styleId="HotSpot">
    <w:name w:val="HotSpot"/>
    <w:rsid w:val="00D528EF"/>
    <w:rPr>
      <w:color w:val="0033CC"/>
      <w:u w:val="none"/>
    </w:rPr>
  </w:style>
  <w:style w:type="paragraph" w:customStyle="1" w:styleId="BodyTextRight">
    <w:name w:val="Body Text Right"/>
    <w:basedOn w:val="BodyText"/>
    <w:rsid w:val="00D528EF"/>
    <w:pPr>
      <w:spacing w:before="0" w:after="0"/>
      <w:jc w:val="right"/>
    </w:pPr>
  </w:style>
  <w:style w:type="paragraph" w:styleId="Index3">
    <w:name w:val="index 3"/>
    <w:basedOn w:val="ListNumber2"/>
    <w:next w:val="Normal"/>
    <w:semiHidden/>
    <w:rsid w:val="00D528EF"/>
    <w:pPr>
      <w:numPr>
        <w:numId w:val="0"/>
      </w:numPr>
      <w:tabs>
        <w:tab w:val="right" w:leader="dot" w:pos="4176"/>
      </w:tabs>
    </w:pPr>
  </w:style>
  <w:style w:type="paragraph" w:styleId="ListNumber2">
    <w:name w:val="List Number 2"/>
    <w:basedOn w:val="List2"/>
    <w:rsid w:val="00D528EF"/>
    <w:pPr>
      <w:numPr>
        <w:numId w:val="11"/>
      </w:numPr>
      <w:tabs>
        <w:tab w:val="clear" w:pos="1060"/>
      </w:tabs>
    </w:pPr>
  </w:style>
  <w:style w:type="paragraph" w:customStyle="1" w:styleId="MarginNote">
    <w:name w:val="Margin Note"/>
    <w:basedOn w:val="BodyText"/>
    <w:rsid w:val="00D52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8EF"/>
    <w:rPr>
      <w:sz w:val="32"/>
    </w:rPr>
  </w:style>
  <w:style w:type="paragraph" w:customStyle="1" w:styleId="HeadingProcedure">
    <w:name w:val="Heading Procedure"/>
    <w:basedOn w:val="HeadingBase"/>
    <w:next w:val="Normal"/>
    <w:rsid w:val="00D528EF"/>
    <w:pPr>
      <w:tabs>
        <w:tab w:val="left" w:pos="0"/>
      </w:tabs>
      <w:spacing w:before="120" w:after="60"/>
    </w:pPr>
    <w:rPr>
      <w:i/>
      <w:color w:val="918585"/>
      <w:sz w:val="22"/>
    </w:rPr>
  </w:style>
  <w:style w:type="paragraph" w:customStyle="1" w:styleId="TableBodyText">
    <w:name w:val="Table Body Text"/>
    <w:basedOn w:val="BodyText"/>
    <w:rsid w:val="00D528EF"/>
    <w:pPr>
      <w:spacing w:before="60" w:after="60"/>
    </w:pPr>
  </w:style>
  <w:style w:type="paragraph" w:styleId="ListContinue">
    <w:name w:val="List Continue"/>
    <w:basedOn w:val="List"/>
    <w:rsid w:val="00D528EF"/>
    <w:pPr>
      <w:ind w:firstLine="0"/>
    </w:pPr>
  </w:style>
  <w:style w:type="paragraph" w:customStyle="1" w:styleId="ListNote">
    <w:name w:val="List Note"/>
    <w:basedOn w:val="List"/>
    <w:rsid w:val="00D528EF"/>
    <w:pPr>
      <w:pBdr>
        <w:top w:val="single" w:sz="6" w:space="2" w:color="918585"/>
        <w:bottom w:val="single" w:sz="6" w:space="2" w:color="918585"/>
      </w:pBdr>
      <w:tabs>
        <w:tab w:val="left" w:pos="1021"/>
      </w:tabs>
      <w:ind w:firstLine="0"/>
    </w:pPr>
  </w:style>
  <w:style w:type="paragraph" w:customStyle="1" w:styleId="Warning">
    <w:name w:val="Warning"/>
    <w:basedOn w:val="BodyText"/>
    <w:rsid w:val="00D528EF"/>
    <w:pPr>
      <w:shd w:val="clear" w:color="auto" w:fill="D9D9D9"/>
      <w:tabs>
        <w:tab w:val="left" w:pos="992"/>
      </w:tabs>
      <w:ind w:left="119" w:right="119"/>
    </w:pPr>
    <w:rPr>
      <w:sz w:val="20"/>
    </w:rPr>
  </w:style>
  <w:style w:type="paragraph" w:customStyle="1" w:styleId="MarginIcons">
    <w:name w:val="Margin Icons"/>
    <w:basedOn w:val="BodyText"/>
    <w:rsid w:val="00D52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8EF"/>
    <w:rPr>
      <w:rFonts w:ascii="Courier New" w:hAnsi="Courier New"/>
    </w:rPr>
  </w:style>
  <w:style w:type="paragraph" w:customStyle="1" w:styleId="NoteBullet">
    <w:name w:val="Note Bullet"/>
    <w:basedOn w:val="Note"/>
    <w:rsid w:val="00D528EF"/>
    <w:pPr>
      <w:tabs>
        <w:tab w:val="clear" w:pos="680"/>
      </w:tabs>
      <w:spacing w:before="60" w:after="60"/>
    </w:pPr>
  </w:style>
  <w:style w:type="paragraph" w:customStyle="1" w:styleId="SubHeading2">
    <w:name w:val="SubHeading2"/>
    <w:basedOn w:val="HeadingBase"/>
    <w:rsid w:val="00D528EF"/>
    <w:pPr>
      <w:spacing w:before="240" w:after="60"/>
    </w:pPr>
    <w:rPr>
      <w:sz w:val="20"/>
    </w:rPr>
  </w:style>
  <w:style w:type="paragraph" w:customStyle="1" w:styleId="SubHeading1">
    <w:name w:val="SubHeading1"/>
    <w:basedOn w:val="HeadingBase"/>
    <w:rsid w:val="00D528EF"/>
    <w:pPr>
      <w:spacing w:before="240" w:after="60"/>
    </w:pPr>
    <w:rPr>
      <w:color w:val="918585"/>
      <w:sz w:val="22"/>
    </w:rPr>
  </w:style>
  <w:style w:type="paragraph" w:customStyle="1" w:styleId="SideHeading">
    <w:name w:val="Side Heading"/>
    <w:basedOn w:val="HeadingBase"/>
    <w:rsid w:val="00D52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8EF"/>
    <w:pPr>
      <w:numPr>
        <w:numId w:val="13"/>
      </w:numPr>
    </w:pPr>
  </w:style>
  <w:style w:type="paragraph" w:styleId="PlainText">
    <w:name w:val="Plain Text"/>
    <w:basedOn w:val="Normal"/>
    <w:link w:val="PlainTextChar"/>
    <w:rsid w:val="00D528EF"/>
    <w:rPr>
      <w:sz w:val="20"/>
    </w:rPr>
  </w:style>
  <w:style w:type="character" w:customStyle="1" w:styleId="PlainTextChar">
    <w:name w:val="Plain Text Char"/>
    <w:basedOn w:val="DefaultParagraphFont"/>
    <w:link w:val="PlainText"/>
    <w:rsid w:val="00D52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28EF"/>
    <w:rPr>
      <w:b/>
      <w:smallCaps/>
    </w:rPr>
  </w:style>
  <w:style w:type="paragraph" w:customStyle="1" w:styleId="TableListNumber">
    <w:name w:val="Table List Number"/>
    <w:basedOn w:val="ListNumber"/>
    <w:rsid w:val="00D528EF"/>
    <w:pPr>
      <w:numPr>
        <w:numId w:val="0"/>
      </w:numPr>
    </w:pPr>
  </w:style>
  <w:style w:type="paragraph" w:styleId="TOC4">
    <w:name w:val="toc 4"/>
    <w:basedOn w:val="TOCBase"/>
    <w:next w:val="Normal"/>
    <w:semiHidden/>
    <w:rsid w:val="00D528EF"/>
    <w:pPr>
      <w:tabs>
        <w:tab w:val="right" w:leader="dot" w:pos="9071"/>
      </w:tabs>
      <w:ind w:left="1701"/>
    </w:pPr>
  </w:style>
  <w:style w:type="paragraph" w:customStyle="1" w:styleId="ListAlpha">
    <w:name w:val="List Alpha"/>
    <w:basedOn w:val="List"/>
    <w:rsid w:val="00D528EF"/>
    <w:pPr>
      <w:numPr>
        <w:numId w:val="10"/>
      </w:numPr>
    </w:pPr>
  </w:style>
  <w:style w:type="paragraph" w:customStyle="1" w:styleId="ListAlpha2">
    <w:name w:val="List Alpha 2"/>
    <w:basedOn w:val="List2"/>
    <w:rsid w:val="00D528EF"/>
    <w:pPr>
      <w:numPr>
        <w:numId w:val="9"/>
      </w:numPr>
    </w:pPr>
  </w:style>
  <w:style w:type="paragraph" w:styleId="List2">
    <w:name w:val="List 2"/>
    <w:basedOn w:val="BodyText"/>
    <w:rsid w:val="00D528EF"/>
    <w:pPr>
      <w:tabs>
        <w:tab w:val="left" w:pos="680"/>
      </w:tabs>
      <w:spacing w:before="60" w:after="60"/>
      <w:ind w:left="680" w:hanging="340"/>
    </w:pPr>
  </w:style>
  <w:style w:type="paragraph" w:styleId="List3">
    <w:name w:val="List 3"/>
    <w:basedOn w:val="BodyText"/>
    <w:rsid w:val="00D528EF"/>
    <w:pPr>
      <w:tabs>
        <w:tab w:val="left" w:pos="1021"/>
      </w:tabs>
      <w:spacing w:before="60" w:after="60"/>
      <w:ind w:left="1020" w:hanging="340"/>
    </w:pPr>
  </w:style>
  <w:style w:type="paragraph" w:styleId="List4">
    <w:name w:val="List 4"/>
    <w:basedOn w:val="BodyText"/>
    <w:rsid w:val="00D528EF"/>
    <w:pPr>
      <w:tabs>
        <w:tab w:val="left" w:pos="1361"/>
      </w:tabs>
      <w:spacing w:before="60" w:after="60"/>
      <w:ind w:left="1361" w:hanging="340"/>
    </w:pPr>
  </w:style>
  <w:style w:type="paragraph" w:styleId="List5">
    <w:name w:val="List 5"/>
    <w:basedOn w:val="BodyText"/>
    <w:rsid w:val="00D528EF"/>
    <w:pPr>
      <w:tabs>
        <w:tab w:val="left" w:pos="1701"/>
      </w:tabs>
      <w:spacing w:before="60" w:after="60"/>
      <w:ind w:left="1701" w:hanging="340"/>
    </w:pPr>
  </w:style>
  <w:style w:type="paragraph" w:styleId="ListBullet4">
    <w:name w:val="List Bullet 4"/>
    <w:basedOn w:val="List4"/>
    <w:rsid w:val="00D528EF"/>
    <w:pPr>
      <w:numPr>
        <w:numId w:val="4"/>
      </w:numPr>
    </w:pPr>
  </w:style>
  <w:style w:type="paragraph" w:styleId="ListBullet5">
    <w:name w:val="List Bullet 5"/>
    <w:basedOn w:val="List5"/>
    <w:rsid w:val="00D528EF"/>
    <w:pPr>
      <w:numPr>
        <w:numId w:val="5"/>
      </w:numPr>
    </w:pPr>
  </w:style>
  <w:style w:type="paragraph" w:styleId="ListContinue2">
    <w:name w:val="List Continue 2"/>
    <w:basedOn w:val="List2"/>
    <w:rsid w:val="00D528EF"/>
    <w:pPr>
      <w:ind w:firstLine="0"/>
    </w:pPr>
  </w:style>
  <w:style w:type="paragraph" w:styleId="ListContinue3">
    <w:name w:val="List Continue 3"/>
    <w:basedOn w:val="List3"/>
    <w:rsid w:val="00D528EF"/>
    <w:pPr>
      <w:ind w:left="1021" w:firstLine="0"/>
    </w:pPr>
  </w:style>
  <w:style w:type="paragraph" w:styleId="ListContinue4">
    <w:name w:val="List Continue 4"/>
    <w:basedOn w:val="List4"/>
    <w:rsid w:val="00D528EF"/>
    <w:pPr>
      <w:ind w:firstLine="0"/>
    </w:pPr>
  </w:style>
  <w:style w:type="paragraph" w:styleId="ListContinue5">
    <w:name w:val="List Continue 5"/>
    <w:basedOn w:val="List5"/>
    <w:rsid w:val="00D528EF"/>
    <w:pPr>
      <w:ind w:firstLine="0"/>
    </w:pPr>
  </w:style>
  <w:style w:type="paragraph" w:styleId="ListNumber3">
    <w:name w:val="List Number 3"/>
    <w:basedOn w:val="List3"/>
    <w:rsid w:val="00D528EF"/>
    <w:pPr>
      <w:numPr>
        <w:numId w:val="6"/>
      </w:numPr>
    </w:pPr>
  </w:style>
  <w:style w:type="paragraph" w:styleId="ListNumber4">
    <w:name w:val="List Number 4"/>
    <w:basedOn w:val="List4"/>
    <w:rsid w:val="00D528EF"/>
    <w:pPr>
      <w:numPr>
        <w:numId w:val="7"/>
      </w:numPr>
    </w:pPr>
  </w:style>
  <w:style w:type="paragraph" w:styleId="ListNumber5">
    <w:name w:val="List Number 5"/>
    <w:basedOn w:val="List5"/>
    <w:rsid w:val="00D528EF"/>
    <w:pPr>
      <w:numPr>
        <w:numId w:val="8"/>
      </w:numPr>
    </w:pPr>
  </w:style>
  <w:style w:type="paragraph" w:styleId="BlockText">
    <w:name w:val="Block Text"/>
    <w:basedOn w:val="Normal"/>
    <w:rsid w:val="00D528EF"/>
    <w:pPr>
      <w:spacing w:after="120"/>
      <w:ind w:left="1440" w:right="1440"/>
    </w:pPr>
  </w:style>
  <w:style w:type="character" w:customStyle="1" w:styleId="Subscript">
    <w:name w:val="Subscript"/>
    <w:basedOn w:val="DefaultParagraphFont"/>
    <w:rsid w:val="00D528EF"/>
    <w:rPr>
      <w:sz w:val="16"/>
      <w:vertAlign w:val="subscript"/>
    </w:rPr>
  </w:style>
  <w:style w:type="character" w:customStyle="1" w:styleId="Superscript">
    <w:name w:val="Superscript"/>
    <w:basedOn w:val="DefaultParagraphFont"/>
    <w:rsid w:val="00D528EF"/>
    <w:rPr>
      <w:sz w:val="16"/>
      <w:vertAlign w:val="superscript"/>
    </w:rPr>
  </w:style>
  <w:style w:type="character" w:customStyle="1" w:styleId="Symbols">
    <w:name w:val="Symbols"/>
    <w:basedOn w:val="DefaultParagraphFont"/>
    <w:rsid w:val="00D528EF"/>
    <w:rPr>
      <w:rFonts w:ascii="Symbol" w:hAnsi="Symbol"/>
    </w:rPr>
  </w:style>
  <w:style w:type="character" w:customStyle="1" w:styleId="MenuOptions">
    <w:name w:val="Menu Options"/>
    <w:basedOn w:val="DefaultParagraphFont"/>
    <w:rsid w:val="00D528EF"/>
    <w:rPr>
      <w:rFonts w:ascii="Arial Narrow" w:hAnsi="Arial Narrow"/>
      <w:smallCaps/>
    </w:rPr>
  </w:style>
  <w:style w:type="character" w:customStyle="1" w:styleId="Buttons">
    <w:name w:val="Buttons"/>
    <w:basedOn w:val="DefaultParagraphFont"/>
    <w:rsid w:val="00D528EF"/>
    <w:rPr>
      <w:b/>
    </w:rPr>
  </w:style>
  <w:style w:type="character" w:customStyle="1" w:styleId="Underlined">
    <w:name w:val="Underlined"/>
    <w:basedOn w:val="DefaultParagraphFont"/>
    <w:rsid w:val="00D528EF"/>
    <w:rPr>
      <w:u w:val="single"/>
    </w:rPr>
  </w:style>
  <w:style w:type="paragraph" w:customStyle="1" w:styleId="TableBodyTextRight">
    <w:name w:val="Table Body Text Right"/>
    <w:basedOn w:val="TableBodyText"/>
    <w:rsid w:val="00D528EF"/>
    <w:pPr>
      <w:widowControl w:val="0"/>
      <w:autoSpaceDE w:val="0"/>
      <w:autoSpaceDN w:val="0"/>
      <w:adjustRightInd w:val="0"/>
      <w:jc w:val="right"/>
    </w:pPr>
    <w:rPr>
      <w:rFonts w:cs="Arial"/>
      <w:szCs w:val="18"/>
    </w:rPr>
  </w:style>
  <w:style w:type="paragraph" w:customStyle="1" w:styleId="CopyrightText">
    <w:name w:val="Copyright Text"/>
    <w:basedOn w:val="BodyText"/>
    <w:rsid w:val="00D528EF"/>
    <w:rPr>
      <w:sz w:val="18"/>
    </w:rPr>
  </w:style>
  <w:style w:type="paragraph" w:customStyle="1" w:styleId="BodySmallRight">
    <w:name w:val="Body Small Right"/>
    <w:basedOn w:val="BodyTextRight"/>
    <w:rsid w:val="00D528EF"/>
    <w:rPr>
      <w:sz w:val="18"/>
      <w:szCs w:val="18"/>
    </w:rPr>
  </w:style>
  <w:style w:type="paragraph" w:customStyle="1" w:styleId="MarginEdition">
    <w:name w:val="Margin Edition"/>
    <w:basedOn w:val="MarginNote"/>
    <w:rsid w:val="00D528EF"/>
    <w:pPr>
      <w:spacing w:before="0" w:after="0"/>
    </w:pPr>
    <w:rPr>
      <w:rFonts w:ascii="Times New Roman" w:hAnsi="Times New Roman"/>
      <w:color w:val="999999"/>
    </w:rPr>
  </w:style>
  <w:style w:type="paragraph" w:customStyle="1" w:styleId="Spacer">
    <w:name w:val="Spacer"/>
    <w:basedOn w:val="Normal"/>
    <w:rsid w:val="00D528EF"/>
    <w:rPr>
      <w:sz w:val="2"/>
      <w:szCs w:val="2"/>
    </w:rPr>
  </w:style>
  <w:style w:type="character" w:customStyle="1" w:styleId="Small">
    <w:name w:val="Small"/>
    <w:basedOn w:val="DefaultParagraphFont"/>
    <w:rsid w:val="00D528EF"/>
    <w:rPr>
      <w:sz w:val="16"/>
    </w:rPr>
  </w:style>
  <w:style w:type="paragraph" w:customStyle="1" w:styleId="WideTable">
    <w:name w:val="Wide Table"/>
    <w:basedOn w:val="Normal"/>
    <w:rsid w:val="00D528EF"/>
    <w:pPr>
      <w:ind w:left="-1418"/>
    </w:pPr>
    <w:rPr>
      <w:sz w:val="2"/>
      <w:szCs w:val="2"/>
    </w:rPr>
  </w:style>
  <w:style w:type="character" w:styleId="PageNumber">
    <w:name w:val="page number"/>
    <w:basedOn w:val="DefaultParagraphFont"/>
    <w:rsid w:val="00D528EF"/>
  </w:style>
  <w:style w:type="paragraph" w:styleId="Quote">
    <w:name w:val="Quote"/>
    <w:basedOn w:val="Heading1"/>
    <w:link w:val="QuoteChar"/>
    <w:qFormat/>
    <w:rsid w:val="00D528EF"/>
    <w:rPr>
      <w:b w:val="0"/>
      <w:sz w:val="72"/>
      <w:szCs w:val="72"/>
      <w:lang w:val="en-NZ"/>
    </w:rPr>
  </w:style>
  <w:style w:type="character" w:customStyle="1" w:styleId="QuoteChar">
    <w:name w:val="Quote Char"/>
    <w:basedOn w:val="DefaultParagraphFont"/>
    <w:link w:val="Quote"/>
    <w:rsid w:val="00D52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8EF"/>
    <w:pPr>
      <w:pageBreakBefore/>
    </w:pPr>
  </w:style>
  <w:style w:type="paragraph" w:customStyle="1" w:styleId="Border">
    <w:name w:val="Border"/>
    <w:basedOn w:val="Normal"/>
    <w:qFormat/>
    <w:rsid w:val="00D52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8EF"/>
    <w:rPr>
      <w:b/>
      <w:bCs/>
      <w:i/>
      <w:iCs/>
      <w:color w:val="auto"/>
    </w:rPr>
  </w:style>
  <w:style w:type="paragraph" w:styleId="IntenseQuote">
    <w:name w:val="Intense Quote"/>
    <w:basedOn w:val="Normal"/>
    <w:next w:val="Normal"/>
    <w:link w:val="IntenseQuoteChar"/>
    <w:uiPriority w:val="30"/>
    <w:qFormat/>
    <w:rsid w:val="00D52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28EF"/>
    <w:rPr>
      <w:smallCaps/>
      <w:color w:val="auto"/>
      <w:u w:val="single"/>
    </w:rPr>
  </w:style>
  <w:style w:type="character" w:styleId="IntenseReference">
    <w:name w:val="Intense Reference"/>
    <w:basedOn w:val="DefaultParagraphFont"/>
    <w:uiPriority w:val="32"/>
    <w:qFormat/>
    <w:rsid w:val="00D528EF"/>
    <w:rPr>
      <w:b/>
      <w:bCs/>
      <w:smallCaps/>
      <w:color w:val="auto"/>
      <w:spacing w:val="5"/>
      <w:u w:val="single"/>
    </w:rPr>
  </w:style>
  <w:style w:type="paragraph" w:customStyle="1" w:styleId="2ColumnHeading">
    <w:name w:val="2Column Heading"/>
    <w:basedOn w:val="BodyText"/>
    <w:qFormat/>
    <w:rsid w:val="00D528EF"/>
    <w:pPr>
      <w:spacing w:after="60"/>
      <w:ind w:left="-2268"/>
    </w:pPr>
    <w:rPr>
      <w:b/>
    </w:rPr>
  </w:style>
  <w:style w:type="paragraph" w:customStyle="1" w:styleId="Heading1TOC">
    <w:name w:val="Heading1 TOC"/>
    <w:basedOn w:val="Normal"/>
    <w:qFormat/>
    <w:rsid w:val="00D528EF"/>
    <w:pPr>
      <w:spacing w:before="240" w:after="120"/>
    </w:pPr>
    <w:rPr>
      <w:rFonts w:ascii="Times New Roman" w:hAnsi="Times New Roman"/>
      <w:b/>
      <w:sz w:val="32"/>
    </w:rPr>
  </w:style>
  <w:style w:type="paragraph" w:customStyle="1" w:styleId="Heading2TOC">
    <w:name w:val="Heading2 TOC"/>
    <w:basedOn w:val="Normal"/>
    <w:qFormat/>
    <w:rsid w:val="00D528EF"/>
    <w:pPr>
      <w:spacing w:before="240" w:after="60"/>
    </w:pPr>
    <w:rPr>
      <w:rFonts w:ascii="Times New Roman" w:hAnsi="Times New Roman"/>
      <w:b/>
      <w:sz w:val="28"/>
    </w:rPr>
  </w:style>
  <w:style w:type="character" w:customStyle="1" w:styleId="Underline">
    <w:name w:val="Underline"/>
    <w:basedOn w:val="DefaultParagraphFont"/>
    <w:qFormat/>
    <w:rsid w:val="00D528EF"/>
    <w:rPr>
      <w:u w:val="single"/>
    </w:rPr>
  </w:style>
  <w:style w:type="character" w:customStyle="1" w:styleId="BoldandItalics">
    <w:name w:val="Bold and Italics"/>
    <w:qFormat/>
    <w:rsid w:val="00D528EF"/>
    <w:rPr>
      <w:b/>
      <w:i/>
      <w:u w:val="none"/>
    </w:rPr>
  </w:style>
  <w:style w:type="paragraph" w:styleId="BalloonText">
    <w:name w:val="Balloon Text"/>
    <w:basedOn w:val="Normal"/>
    <w:link w:val="BalloonTextChar"/>
    <w:rsid w:val="00D528EF"/>
    <w:rPr>
      <w:rFonts w:ascii="Tahoma" w:hAnsi="Tahoma" w:cs="Tahoma"/>
      <w:sz w:val="16"/>
      <w:szCs w:val="16"/>
    </w:rPr>
  </w:style>
  <w:style w:type="character" w:customStyle="1" w:styleId="BalloonTextChar">
    <w:name w:val="Balloon Text Char"/>
    <w:basedOn w:val="DefaultParagraphFont"/>
    <w:link w:val="BalloonText"/>
    <w:rsid w:val="00D52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2922</Words>
  <Characters>19067</Characters>
  <Application>Microsoft Office Word</Application>
  <DocSecurity>0</DocSecurity>
  <Lines>743</Lines>
  <Paragraphs>289</Paragraphs>
  <ScaleCrop>false</ScaleCrop>
  <Company>Author-it Software Corporation Ltd.</Company>
  <LinksUpToDate>false</LinksUpToDate>
  <CharactersWithSpaces>21760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UETTDRSO32A Manage power systems network faults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