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33D" w:rsidP="0083633D">
      <w:pPr>
        <w:pStyle w:val="Title"/>
      </w:pPr>
      <w:bookmarkStart w:id="0" w:name="_GoBack"/>
      <w:bookmarkEnd w:id="0"/>
      <w:r>
        <w:fldChar w:fldCharType="begin"/>
      </w:r>
      <w:r>
        <w:instrText xml:space="preserve"> TITLE   \* MERGEFORMAT </w:instrText>
      </w:r>
      <w:r>
        <w:fldChar w:fldCharType="separate"/>
      </w:r>
      <w:r>
        <w:t>UETTDRSB39A Perform power system substation switching operation to a given schedule</w:t>
      </w:r>
      <w:r>
        <w:fldChar w:fldCharType="end"/>
      </w:r>
    </w:p>
    <w:p w:rsidR="0083633D" w:rsidP="0083633D">
      <w:pPr>
        <w:pStyle w:val="Version"/>
        <w:sectPr w:rsidSect="00C246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656" w:rsidP="00C24656">
      <w:pPr>
        <w:pStyle w:val="SuperHeading"/>
      </w:pPr>
      <w:r w:rsidRPr="00C24656">
        <w:t>UETTDRSB39A Perform power system substation switching operation to a given schedule</w:t>
      </w:r>
    </w:p>
    <w:p w:rsidR="00000000" w:rsidRPr="00C24656" w:rsidP="00C24656">
      <w:pPr>
        <w:pStyle w:val="Heading1"/>
      </w:pPr>
      <w:bookmarkStart w:id="1" w:name="O_459969"/>
      <w:bookmarkEnd w:id="1"/>
      <w:r w:rsidRPr="00C24656">
        <w:t>Modification History</w:t>
      </w:r>
    </w:p>
    <w:p w:rsidR="00000000" w:rsidRPr="00C24656" w:rsidP="00C24656">
      <w:pPr>
        <w:pStyle w:val="BodyText"/>
      </w:pPr>
      <w:r w:rsidRPr="00C24656">
        <w:t>Not applicable.</w:t>
      </w:r>
    </w:p>
    <w:p w:rsidR="00000000" w:rsidRPr="00C24656" w:rsidP="00C24656">
      <w:pPr>
        <w:pStyle w:val="AllowPageBreak"/>
      </w:pPr>
    </w:p>
    <w:p w:rsidR="00000000" w:rsidRPr="00C24656" w:rsidP="00C24656">
      <w:pPr>
        <w:pStyle w:val="Heading1"/>
      </w:pPr>
      <w:bookmarkStart w:id="2" w:name="O_459967"/>
      <w:bookmarkEnd w:id="2"/>
      <w:r w:rsidRPr="00C24656">
        <w:t>Unit Descrip</w:t>
      </w:r>
      <w:r w:rsidRPr="00C24656">
        <w:t>tor</w:t>
      </w:r>
    </w:p>
    <w:tbl>
      <w:tblPr>
        <w:tblW w:w="0" w:type="auto"/>
        <w:tblLayout w:type="fixed"/>
        <w:tblCellMar>
          <w:left w:w="62" w:type="dxa"/>
          <w:right w:w="62" w:type="dxa"/>
        </w:tblCellMar>
        <w:tblLook w:val="0000"/>
      </w:tblPr>
      <w:tblGrid>
        <w:gridCol w:w="2700"/>
        <w:gridCol w:w="5760"/>
      </w:tblGrid>
      <w:tr w:rsidTr="008363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1)</w:t>
            </w:r>
            <w:r w:rsidRPr="00C24656">
              <w:t xml:space="preserve"> </w:t>
            </w:r>
            <w:r w:rsidRPr="00C24656">
              <w:rPr>
                <w:rStyle w:val="SpecialBold"/>
              </w:rPr>
              <w:t>Scope:</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465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1.1) Descriptor</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 xml:space="preserve">This Competency Standard Unit covers the conducting of switching operations in a substation in accordance to a given instructions, switching </w:t>
            </w:r>
            <w:r w:rsidRPr="00C24656">
              <w:t xml:space="preserve">schedule and established enterprises procedures. It encompasses the operation of substation switching devices such as circuit breakers, air break switches, fuses, reclosers, ring main units and isolators. </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3" w:name="O_459956"/>
      <w:bookmarkEnd w:id="3"/>
      <w:r w:rsidRPr="00C24656">
        <w:t>Application of the Unit</w:t>
      </w:r>
    </w:p>
    <w:tbl>
      <w:tblPr>
        <w:tblW w:w="0" w:type="auto"/>
        <w:tblLayout w:type="fixed"/>
        <w:tblCellMar>
          <w:left w:w="62" w:type="dxa"/>
          <w:right w:w="62" w:type="dxa"/>
        </w:tblCellMar>
        <w:tblLook w:val="0000"/>
      </w:tblPr>
      <w:tblGrid>
        <w:gridCol w:w="2672"/>
        <w:gridCol w:w="5699"/>
      </w:tblGrid>
      <w:tr w:rsidTr="008363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Applica</w:t>
            </w:r>
            <w:r w:rsidRPr="00C24656">
              <w:rPr>
                <w:rStyle w:val="SpecialBold"/>
              </w:rPr>
              <w:t>tion of the Unit</w:t>
            </w:r>
          </w:p>
        </w:tc>
        <w:tc>
          <w:tcPr>
            <w:tcW w:w="5699"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2)</w:t>
            </w:r>
          </w:p>
        </w:tc>
      </w:tr>
      <w:tr w:rsidTr="008363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This Competency Standard Unit is intended to augment formally acquired competencies. It is suitable for employment-based programs under an approved contract of training.</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4" w:name="O_459963"/>
      <w:bookmarkEnd w:id="4"/>
      <w:r w:rsidRPr="00C24656">
        <w:t>Licensing/Regulatory Information</w:t>
      </w:r>
    </w:p>
    <w:tbl>
      <w:tblPr>
        <w:tblW w:w="0" w:type="auto"/>
        <w:tblLayout w:type="fixed"/>
        <w:tblCellMar>
          <w:left w:w="62" w:type="dxa"/>
          <w:right w:w="62" w:type="dxa"/>
        </w:tblCellMar>
        <w:tblLook w:val="0000"/>
      </w:tblPr>
      <w:tblGrid>
        <w:gridCol w:w="2700"/>
        <w:gridCol w:w="5760"/>
      </w:tblGrid>
      <w:tr w:rsidTr="008363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 xml:space="preserve">3)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 xml:space="preserve">The skills and knowledge described in this unit may require a licence/registration to practice in the work place subject to regulations for undertaking of electrical work. Practice in workplace and during training is also subject </w:t>
            </w:r>
            <w:r w:rsidRPr="00C24656">
              <w:t xml:space="preserve">to regulations directly related to Occupational Health and Safety, electricity/telecommunications/gas/water industry safety and compliance, industrial relations, environmental protection, anti discrimination and training. </w:t>
            </w:r>
            <w:r w:rsidRPr="00C24656">
              <w:t>Commonwealth, State/Territory or L</w:t>
            </w:r>
            <w:r w:rsidRPr="00C24656">
              <w:t>ocal Government legislation and regulations may exist that limits the age of operating certain equipment.</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5" w:name="O_459964"/>
      <w:bookmarkEnd w:id="5"/>
      <w:r w:rsidRPr="00C24656">
        <w:t>Pre-Requisites</w:t>
      </w:r>
    </w:p>
    <w:tbl>
      <w:tblPr>
        <w:tblW w:w="0" w:type="auto"/>
        <w:tblLayout w:type="fixed"/>
        <w:tblCellMar>
          <w:left w:w="62" w:type="dxa"/>
          <w:right w:w="62" w:type="dxa"/>
        </w:tblCellMar>
        <w:tblLook w:val="0000"/>
      </w:tblPr>
      <w:tblGrid>
        <w:gridCol w:w="2700"/>
        <w:gridCol w:w="2250"/>
        <w:gridCol w:w="3510"/>
      </w:tblGrid>
      <w:tr w:rsidTr="008363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 xml:space="preserve">4)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4.1)</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Granting of competency in this unit shall be made only after competency in the following unit(s) has/have been confirmed.</w:t>
            </w:r>
          </w:p>
          <w:p w:rsidR="00000000" w:rsidRPr="00C24656" w:rsidP="00C24656">
            <w:pPr>
              <w:pStyle w:val="BodyText"/>
            </w:pPr>
            <w:r w:rsidRPr="00C24656">
              <w:t xml:space="preserve">Where pre-requisite pathways have been identified. All competencies in the Common Unit Group must be have been completed plus all the </w:t>
            </w:r>
            <w:r w:rsidRPr="00C24656">
              <w:t>competencies in one (1) of the identified Pathway Unit Group(s):</w:t>
            </w:r>
          </w:p>
          <w:p w:rsidR="00000000" w:rsidRPr="00C24656" w:rsidP="00C24656">
            <w:pPr>
              <w:pStyle w:val="BodyText"/>
            </w:pPr>
            <w:r w:rsidRPr="00C24656">
              <w:t>Transmission Overhead</w:t>
            </w:r>
          </w:p>
          <w:p w:rsidR="00000000" w:rsidRPr="00C24656" w:rsidP="00C24656">
            <w:pPr>
              <w:pStyle w:val="BodyText"/>
            </w:pPr>
            <w:r w:rsidRPr="00C24656">
              <w:t>Distribution Overhead</w:t>
            </w:r>
          </w:p>
          <w:p w:rsidR="00000000" w:rsidRPr="00C24656" w:rsidP="00C24656">
            <w:pPr>
              <w:pStyle w:val="BodyText"/>
            </w:pPr>
            <w:r w:rsidRPr="00C24656">
              <w:t>Rail Traction</w:t>
            </w:r>
          </w:p>
          <w:p w:rsidR="00000000" w:rsidRPr="00C24656" w:rsidP="00C24656">
            <w:pPr>
              <w:pStyle w:val="BodyText"/>
            </w:pPr>
            <w:r w:rsidRPr="00C24656">
              <w:t>Distribution Cable Jointing</w:t>
            </w:r>
          </w:p>
          <w:p w:rsidR="00000000" w:rsidRPr="00C24656" w:rsidP="00C24656">
            <w:pPr>
              <w:pStyle w:val="BodyText"/>
            </w:pPr>
            <w:r w:rsidRPr="00C24656">
              <w:t>Electrical</w:t>
            </w:r>
          </w:p>
          <w:p w:rsidR="00000000" w:rsidP="00C24656">
            <w:pPr>
              <w:pStyle w:val="BodyText"/>
              <w:rPr>
                <w:lang w:val="en-NZ"/>
              </w:rPr>
            </w:pPr>
            <w:r w:rsidRPr="00C24656">
              <w:t>Common Unit Group</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Unit Code</w:t>
            </w:r>
            <w:r w:rsidRPr="00C24656">
              <w:tab/>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Unit Title</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UEENEEE101A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Apply Occupational Health and Safety regulations, codes and practices in the workplace</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UEENEEE102A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Fabricate, assemble and dismantle utilities industry components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UEENEEE104A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Solve problems in d.c. Circuits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UEENEEE105A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Fix and secure electrotechnolog</w:t>
            </w:r>
            <w:r w:rsidRPr="00C24656">
              <w:t>y equipment</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UEENEEE107A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Use drawings, diagrams, schedules, standards, codes and specifications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UEENEEG101A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Solve problems in electromagnetic devices and related circuits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UEENEEG102A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Solve problems in low voltage a.c. Circuits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UETTDREL16A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Working safely near live electrical apparatus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 xml:space="preserve">Transmission Overhead Pathway Group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UETTDREL11A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Apply sustainable energy and environmental procedures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UETTDREL12A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Operate plant and equipment near live electrical conductors and apparatus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UETTDRIS54A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and maintain poles, structures, overhead conductors and cables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UETTDRTP26A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transmission structures and associated hardware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UETTDRTP27A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Maintain transmission structures and associated hardware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UETTDRTP29A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Install and mai</w:t>
            </w:r>
            <w:r w:rsidRPr="00C24656">
              <w:t xml:space="preserve">ntain transmission overhead conductors and cables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Distribution Overhead Pathway Group</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UETTDRDP12A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Maintain overhead energised low voltage conductors and cables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UETTDREL11A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Apply sustainable energy and environmental procedures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UETTDREL12A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Operate plant and equipment near live electrical conductors and apparatus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UETTDRIS41A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network infrastructure electrical equipment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UETTDRIS42A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Maintain network infrastructure electrical equipment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UETTDRIS52A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Install and maintain poles, stru</w:t>
            </w:r>
            <w:r w:rsidRPr="00C24656">
              <w:t>ctures and associated hardware</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UETTDRIS54A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and maintain poles, structures, overhead conductors and cables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UETTDRIS56A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and maintain low voltage overhead services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Rail Traction Pathway Group</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UETTDREL11A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Apply sustainable energy and environmental procedures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UETTDREL12A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Operate plant and equipment near live electrical conductors and apparatus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UETTDRIS52A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Install and maintain poles, structures and associated hardware</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UETTDRIS54A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and maintain poles, structures, overhead conductors and cables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UETTDRRT21A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traction overhead wiring systems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UETTDRRT22A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Maintain traction overhead wiring systems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UETTDRRT23A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rail traction bonds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UETTDRRT27A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overhead traction components and equipment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UETTDRRT28A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Maintain overhead traction components and equipment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Distribution Cable Jointing Pathway Group</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UETTDRCJ21A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Lay ESI electrical cables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UETTDRCJ26A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and maintain de-energised low voltage underground polymeric cables.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UETTDRCJ27A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and maintain de-energised high voltage underground polymeric cables.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UETTDREL11A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Apply sustainable energy and environmental procedures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UETTDREL12A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Oper</w:t>
            </w:r>
            <w:r w:rsidRPr="00C24656">
              <w:t xml:space="preserve">ate plant and equipment near live electrical conductors and apparatus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UETTDRIS41A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network infrastructure electrical equipment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UETTDRIS42A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Maintain network infrastructure electrical equipment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UETTDRIS55A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 xml:space="preserve">Install and maintain low voltage underground services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Electrical Pathway Group</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UEENEEE137A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Document and apply measures to control OHS risks associated with electrotechnology work</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UEENEEG006A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Solve problems in single and three phase low voltage machines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UEENEEG033A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Solve problems in single and three phase electrical apparatus and circuits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UEENEEG063A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Arrange circuits, control and protection for general electrical installations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UEENEEG106A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Terminate cables, cords and accessories for low voltage circuits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UEENEEG108A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Trouble-shoot and repair faults in low voltage electrical apparatus and circuits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UEENEEG109A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Develop and connect electrical control circuits</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UEENEEK142A</w:t>
            </w:r>
          </w:p>
        </w:tc>
        <w:tc>
          <w:tcPr>
            <w:tcW w:w="3510" w:type="dxa"/>
            <w:tcBorders>
              <w:top w:val="nil"/>
              <w:left w:val="nil"/>
              <w:bottom w:val="nil"/>
              <w:right w:val="nil"/>
            </w:tcBorders>
            <w:tcMar>
              <w:top w:w="0" w:type="dxa"/>
              <w:left w:w="62" w:type="dxa"/>
              <w:bottom w:w="0" w:type="dxa"/>
              <w:right w:w="62" w:type="dxa"/>
            </w:tcMar>
            <w:vAlign w:val="bottom"/>
          </w:tcPr>
          <w:p w:rsidR="00000000" w:rsidP="00C24656">
            <w:pPr>
              <w:pStyle w:val="BodyText"/>
              <w:rPr>
                <w:lang w:val="en-NZ"/>
              </w:rPr>
            </w:pPr>
            <w:r w:rsidRPr="00C24656">
              <w:t>Apply environmental</w:t>
            </w:r>
            <w:r w:rsidRPr="00C24656">
              <w:t>ly and sustainable energy procedures in the energy sector</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UETTDRIS67A</w:t>
            </w:r>
          </w:p>
        </w:tc>
        <w:tc>
          <w:tcPr>
            <w:tcW w:w="3510" w:type="dxa"/>
            <w:tcBorders>
              <w:top w:val="nil"/>
              <w:left w:val="nil"/>
              <w:bottom w:val="nil"/>
              <w:right w:val="nil"/>
            </w:tcBorders>
            <w:tcMar>
              <w:top w:w="0" w:type="dxa"/>
              <w:left w:w="62" w:type="dxa"/>
              <w:bottom w:w="0" w:type="dxa"/>
              <w:right w:w="62" w:type="dxa"/>
            </w:tcMar>
            <w:vAlign w:val="center"/>
          </w:tcPr>
          <w:p w:rsidR="00000000" w:rsidRPr="00C24656" w:rsidP="00C24656">
            <w:pPr>
              <w:pStyle w:val="BodyText"/>
            </w:pPr>
            <w:r w:rsidRPr="00C24656">
              <w:t>Solve problems in energy supply network equipment</w:t>
            </w:r>
          </w:p>
        </w:tc>
      </w:tr>
    </w:tbl>
    <w:p w:rsidR="00000000" w:rsidRPr="00C24656" w:rsidP="00C2465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3633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 xml:space="preserve">4.2)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Participants are best equipped to achieve this unit if they have reading, writing and numeracy skills indicated by the following scales. Description of each scale is given in Volume 2, Part 3 “Literacy and Numeracy”</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Reading</w:t>
            </w:r>
          </w:p>
        </w:tc>
        <w:tc>
          <w:tcPr>
            <w:tcW w:w="81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3</w:t>
            </w:r>
          </w:p>
        </w:tc>
        <w:tc>
          <w:tcPr>
            <w:tcW w:w="99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Writing</w:t>
            </w:r>
          </w:p>
        </w:tc>
        <w:tc>
          <w:tcPr>
            <w:tcW w:w="90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3</w:t>
            </w:r>
          </w:p>
        </w:tc>
        <w:tc>
          <w:tcPr>
            <w:tcW w:w="126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Numeracy</w:t>
            </w:r>
          </w:p>
        </w:tc>
        <w:tc>
          <w:tcPr>
            <w:tcW w:w="72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3</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6" w:name="O_459960"/>
      <w:bookmarkEnd w:id="6"/>
      <w:r w:rsidRPr="00C24656">
        <w:t>Employability Skills Information</w:t>
      </w:r>
    </w:p>
    <w:tbl>
      <w:tblPr>
        <w:tblW w:w="0" w:type="auto"/>
        <w:tblLayout w:type="fixed"/>
        <w:tblCellMar>
          <w:left w:w="62" w:type="dxa"/>
          <w:right w:w="62" w:type="dxa"/>
        </w:tblCellMar>
        <w:tblLook w:val="0000"/>
      </w:tblPr>
      <w:tblGrid>
        <w:gridCol w:w="2700"/>
        <w:gridCol w:w="5760"/>
      </w:tblGrid>
      <w:tr w:rsidTr="008363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 xml:space="preserve">5)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 xml:space="preserve">The required outcomes described in this unit of competency contain applicable facets of Employability Skills. The Employability Skills Summary </w:t>
            </w:r>
            <w:r w:rsidRPr="00C24656">
              <w:t>of the qualification in which this unit of competency is packaged will assist in identifying Employability Skill requirements.</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7" w:name="O_459959"/>
      <w:bookmarkEnd w:id="7"/>
      <w:r w:rsidRPr="00C24656">
        <w:t>Elements and Performance Criteria Pre-Content</w:t>
      </w:r>
    </w:p>
    <w:tbl>
      <w:tblPr>
        <w:tblW w:w="0" w:type="auto"/>
        <w:tblLayout w:type="fixed"/>
        <w:tblCellMar>
          <w:left w:w="62" w:type="dxa"/>
          <w:right w:w="62" w:type="dxa"/>
        </w:tblCellMar>
        <w:tblLook w:val="0000"/>
      </w:tblPr>
      <w:tblGrid>
        <w:gridCol w:w="2700"/>
        <w:gridCol w:w="5760"/>
      </w:tblGrid>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6)</w:t>
            </w:r>
            <w:r w:rsidRPr="00C24656">
              <w:t xml:space="preserve"> Elements describe the essential outcomes of a competency stan</w:t>
            </w:r>
            <w:r w:rsidRPr="00C24656">
              <w:t>dard unit</w:t>
            </w:r>
          </w:p>
        </w:tc>
        <w:tc>
          <w:tcPr>
            <w:tcW w:w="576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Performance Criteria describe the required performance needed to demonstrate achievement of the element. Assessment of performance is to be consistent with the Evidence Guide.</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8" w:name="O_459958"/>
      <w:bookmarkEnd w:id="8"/>
      <w:r w:rsidRPr="00C24656">
        <w:t>Elements and Performance Criteria</w:t>
      </w:r>
    </w:p>
    <w:tbl>
      <w:tblPr>
        <w:tblW w:w="0" w:type="auto"/>
        <w:tblLayout w:type="fixed"/>
        <w:tblCellMar>
          <w:left w:w="62" w:type="dxa"/>
          <w:right w:w="62" w:type="dxa"/>
        </w:tblCellMar>
        <w:tblLook w:val="0000"/>
      </w:tblPr>
      <w:tblGrid>
        <w:gridCol w:w="410"/>
        <w:gridCol w:w="2290"/>
        <w:gridCol w:w="863"/>
        <w:gridCol w:w="4897"/>
      </w:tblGrid>
      <w:tr w:rsidTr="0083633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PERFORMANCE CRITERIA</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w:t>
            </w:r>
          </w:p>
        </w:tc>
        <w:tc>
          <w:tcPr>
            <w:tcW w:w="229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Prepare for substation switching to a given schedule</w:t>
            </w: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1.1</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Switching and work schedule(s), including drawings, plans, requirements, established procedures, and material lists, are received, analysed and confirmed, if necessary, by si</w:t>
            </w:r>
            <w:r w:rsidRPr="00C24656">
              <w:t>te inspection.</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1.2</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Relevant requirements and established procedures for the work are communicated to all personnel and identified for all work sites.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1.3</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OHS policies and procedures related to requirements and established proced</w:t>
            </w:r>
            <w:r w:rsidRPr="00C24656">
              <w:t>ures for substation switching are obtained and confirmed for the purposes of the work to be performed and communicated.</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1.4</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Work is prioritised and sequenced following consultation with others for completion within acceptable timeframes and in accordanc</w:t>
            </w:r>
            <w:r w:rsidRPr="00C24656">
              <w:t>e with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1.5</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Hazards are identified, OHS risks assessed and control measures are prioritised, implemented and monitored including emergency exits kept clear according to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1.6</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Relevant authority is obtained</w:t>
            </w:r>
            <w:r w:rsidRPr="00C24656">
              <w:t xml:space="preserve"> to access and perform work according to requirements and/or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1.7</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Resources including personnel, equipment, tools and personal protective equipment required for the job are obtained and confirmed in working order.</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1.8</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Relevant personnel at worksite are confirmed current in First Aid, Pole Top Rescue and other related work procedures according to requirements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1.9</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Liaison and communication issues with other/authorised personnel, authorities, clients and land owners are</w:t>
            </w:r>
            <w:r w:rsidRPr="00C24656">
              <w:t xml:space="preserve"> resolved to carry out work where necessary.</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1.10</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Site is prepared according to the work schedule and to minimise risk and damage to property, commerce, and individuals in accordance with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1.11</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Personnel participatin</w:t>
            </w:r>
            <w:r w:rsidRPr="00C24656">
              <w:t>g in the work, including plant operators and contractors, are fully briefed and respective responsibilities confirmed where applicable in accordance with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1.12</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 xml:space="preserve">Road signs, barriers and warning devices are positioned in accordance </w:t>
            </w:r>
            <w:r w:rsidRPr="00C24656">
              <w:t>with requirements.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w:t>
            </w:r>
          </w:p>
        </w:tc>
        <w:tc>
          <w:tcPr>
            <w:tcW w:w="229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Carry out substation switching to a given schedule</w:t>
            </w: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2.1</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OHS and sustainable energy principles and practices to reduce the incidents of accidents and minimise waste are monitored and followed in accordance with requirements and/or estab</w:t>
            </w:r>
            <w:r w:rsidRPr="00C24656">
              <w:t>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2.2</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Lifting, climbing, working in confined spaces and aloft, and use of power tools/equipment, techniques and practices are safely followed and, currency according to requirements confirmed.</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2.3</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Essential knowledge and associated s</w:t>
            </w:r>
            <w:r w:rsidRPr="00C24656">
              <w:t>kills are applied in safe substation switching to a given schedule to ensure completion in an agreed timeframe and, to quality standards with a minimum of waste according to requirements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2.4</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Communications with Switching Control Officer are established and maintained throughout the isolation operation according to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2.5</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Electrical equipment and associated circuits line/network or work site to be switched is isolated an</w:t>
            </w:r>
            <w:r w:rsidRPr="00C24656">
              <w:t>d proved de-energised using appropriate devices, earthed where required and load transfer successfully achieved according to requirements and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2.6</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Substation switching to a given schedule is carried out, in accordance with the wor</w:t>
            </w:r>
            <w:r w:rsidRPr="00C24656">
              <w:t>k schedule and requirements/established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2.7</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Hazard warnings and safety signs are recognised and hazards and assessed OHS risks are reported to the immediate authorised persons for directions according to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2.8</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Unplanned events occurring during substation switching to a given schedule are responded to and undertaken within the scope of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2.9</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Relevant permits are prepared and issued in accordance with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2.10</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 xml:space="preserve">Known </w:t>
            </w:r>
            <w:r w:rsidRPr="00C24656">
              <w:t>solutions to a variety of problems are applied using acquired essential knowledge and associated skills.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2.11</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Ongoing checks of quality of the work are undertaken in accordance with instructions and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3</w:t>
            </w:r>
          </w:p>
        </w:tc>
        <w:tc>
          <w:tcPr>
            <w:tcW w:w="229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Complete substation switchin</w:t>
            </w:r>
            <w:r w:rsidRPr="00C24656">
              <w:t>g to a given schedule</w:t>
            </w: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3.1</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Work undertaken is checked against works schedule for conformance with requirements and anomalies reported in accordance with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3.2</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Accidents and/or injuries are reported in acc</w:t>
            </w:r>
            <w:r w:rsidRPr="00C24656">
              <w:t>ordance with requirements/established procedures, where applicable.</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3.3</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Work site is rehabilitated, cleaned up and made safe in accordance with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3.4</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Tools, equipment and any surplus resources and materials are, where appropriat</w:t>
            </w:r>
            <w:r w:rsidRPr="00C24656">
              <w:t>e, cleaned, checked and returned to storage in accordance with established 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3.5</w:t>
            </w:r>
          </w:p>
        </w:tc>
        <w:tc>
          <w:tcPr>
            <w:tcW w:w="4897"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 xml:space="preserve">Relevant permit(s) are signed off, safety devices are removed, and the system is re-energised and returned to service in accordance with requirements/established </w:t>
            </w:r>
            <w:r w:rsidRPr="00C24656">
              <w:t>procedures.</w:t>
            </w:r>
          </w:p>
        </w:tc>
      </w:tr>
      <w:tr w:rsidTr="0083633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t>3.6</w:t>
            </w:r>
          </w:p>
        </w:tc>
        <w:tc>
          <w:tcPr>
            <w:tcW w:w="4897"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Works completion records, reports, as installed /modified drawing and/or documentation and information are finalised and processed and appropriate personnel and authority notified.</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9" w:name="O_459966"/>
      <w:bookmarkEnd w:id="9"/>
      <w:r w:rsidRPr="00C24656">
        <w:t>Required Skills and Knowledge</w:t>
      </w:r>
    </w:p>
    <w:tbl>
      <w:tblPr>
        <w:tblW w:w="0" w:type="auto"/>
        <w:tblLayout w:type="fixed"/>
        <w:tblCellMar>
          <w:left w:w="62" w:type="dxa"/>
          <w:right w:w="62" w:type="dxa"/>
        </w:tblCellMar>
        <w:tblLook w:val="0000"/>
      </w:tblPr>
      <w:tblGrid>
        <w:gridCol w:w="8460"/>
      </w:tblGrid>
      <w:tr w:rsidTr="008363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REQUIRED SKILLS AND KNOWLEDGE</w:t>
            </w:r>
          </w:p>
        </w:tc>
      </w:tr>
      <w:tr w:rsidTr="0083633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8)</w:t>
            </w:r>
            <w:r w:rsidRPr="00C24656">
              <w:t xml:space="preserve"> Essential Knowledge and Associated Skills (EKAS): This describes the essential skills and knowledge and their level, required for this unit.</w:t>
            </w:r>
          </w:p>
          <w:p w:rsidR="00000000" w:rsidRPr="00C24656" w:rsidP="00C24656">
            <w:pPr>
              <w:pStyle w:val="BodyText"/>
            </w:pPr>
            <w:r w:rsidRPr="00C24656">
              <w:t>Evidence shall show that knowledge has been acquired of performing substation swi</w:t>
            </w:r>
            <w:r w:rsidRPr="00C24656">
              <w:t>tching to a given schedule.</w:t>
            </w:r>
          </w:p>
          <w:p w:rsidR="00000000" w:rsidRPr="00C24656" w:rsidP="00C24656">
            <w:pPr>
              <w:pStyle w:val="BodyText"/>
            </w:pPr>
            <w:r w:rsidRPr="00C24656">
              <w:t>All knowledge and skills detailed in this unit should be contextualised to current industry practices and technologies.</w:t>
            </w:r>
          </w:p>
          <w:p w:rsidR="00000000" w:rsidRPr="00C24656" w:rsidP="00C24656">
            <w:pPr>
              <w:pStyle w:val="BodyText"/>
            </w:pPr>
            <w:r w:rsidRPr="00C24656">
              <w:t xml:space="preserve">KS01-TSB39A </w:t>
            </w:r>
            <w:r w:rsidRPr="00C24656">
              <w:tab/>
              <w:t>Power system substation switching operation</w:t>
            </w:r>
          </w:p>
          <w:p w:rsidR="00000000" w:rsidRPr="00C24656" w:rsidP="00C24656">
            <w:pPr>
              <w:pStyle w:val="BodyText"/>
            </w:pPr>
            <w:r w:rsidRPr="00C24656">
              <w:t>Evidence shall show an understanding of power syste</w:t>
            </w:r>
            <w:r w:rsidRPr="00C24656">
              <w:t xml:space="preserve">m substation switching operation to an extent indicated by the following aspects: </w:t>
            </w:r>
          </w:p>
          <w:p w:rsidR="00000000" w:rsidRPr="00C24656" w:rsidP="00C24656">
            <w:pPr>
              <w:pStyle w:val="BodyText"/>
            </w:pPr>
            <w:r w:rsidRPr="00C24656">
              <w:t>T1</w:t>
            </w:r>
            <w:r w:rsidRPr="00C24656">
              <w:tab/>
              <w:t>Installation of switchgear and associated equipment encompassing:</w:t>
            </w:r>
          </w:p>
          <w:p w:rsidR="00000000" w:rsidRPr="00C24656" w:rsidP="00C24656">
            <w:pPr>
              <w:pStyle w:val="ListBullet"/>
            </w:pPr>
            <w:r w:rsidRPr="00C24656">
              <w:t>Types and function of various switchgear - isolators, air-break switches, gas-filled switches, vacuum type, links, fuses, oil disconnectors, fuse switches, circuit breakers, operating characteristics, advantages and disadvantages of different types switchg</w:t>
            </w:r>
            <w:r w:rsidRPr="00C24656">
              <w:t>ear, installation procedures, earthing, requirements and techniques</w:t>
            </w:r>
          </w:p>
          <w:p w:rsidR="00000000" w:rsidRPr="00C24656" w:rsidP="00C24656">
            <w:pPr>
              <w:pStyle w:val="ListBullet"/>
            </w:pPr>
            <w:r w:rsidRPr="00C24656">
              <w:t>Types of equipment - transformers, reactors, regulators, capacitors, relays, surge arrestors, fault indicators and mobile generators</w:t>
            </w:r>
          </w:p>
          <w:p w:rsidR="00000000" w:rsidRPr="00C24656" w:rsidP="00C24656">
            <w:pPr>
              <w:pStyle w:val="ListBullet"/>
            </w:pPr>
            <w:r w:rsidRPr="00C24656">
              <w:t xml:space="preserve">Installation procedures for switchgear and equipment - </w:t>
            </w:r>
            <w:r w:rsidRPr="00C24656">
              <w:t>standards, codes, legislation, supply authority regulations and or enterprise requirements, assembly and erecting procedures, earthing requirements and techniques, pole mounted locations</w:t>
            </w:r>
          </w:p>
          <w:p w:rsidR="00000000" w:rsidRPr="00C24656" w:rsidP="00C24656">
            <w:pPr>
              <w:pStyle w:val="ListBullet"/>
            </w:pPr>
            <w:r w:rsidRPr="00C24656">
              <w:t xml:space="preserve">Maintenance procedures for switchgear and equipment - diagnosing and </w:t>
            </w:r>
            <w:r w:rsidRPr="00C24656">
              <w:t xml:space="preserve">rectifying faults according to electricity supply industry standards and procedures, </w:t>
            </w:r>
          </w:p>
          <w:p w:rsidR="00000000" w:rsidRPr="00C24656" w:rsidP="00C24656">
            <w:pPr>
              <w:pStyle w:val="ListBullet"/>
            </w:pPr>
            <w:r w:rsidRPr="00C24656">
              <w:t>Testing and commissioning - electricity supply industry standards and procedures.</w:t>
            </w:r>
          </w:p>
          <w:p w:rsidR="00000000" w:rsidRPr="00C24656" w:rsidP="00C24656">
            <w:pPr>
              <w:pStyle w:val="BodyText"/>
            </w:pPr>
            <w:r w:rsidRPr="00C24656">
              <w:t>T2</w:t>
            </w:r>
            <w:r w:rsidRPr="00C24656">
              <w:tab/>
              <w:t>Low voltage switching principles encompassing:</w:t>
            </w:r>
          </w:p>
          <w:p w:rsidR="00000000" w:rsidRPr="00C24656" w:rsidP="00C24656">
            <w:pPr>
              <w:pStyle w:val="ListBullet"/>
            </w:pPr>
            <w:r w:rsidRPr="00C24656">
              <w:t xml:space="preserve">Standards, codes, legislation, supply </w:t>
            </w:r>
            <w:r w:rsidRPr="00C24656">
              <w:t>authority regulations and or enterprise requirements applicable to switching of low voltage to a given schedule</w:t>
            </w:r>
          </w:p>
          <w:p w:rsidR="00000000" w:rsidRPr="00C24656" w:rsidP="00C24656">
            <w:pPr>
              <w:pStyle w:val="ListBullet"/>
            </w:pPr>
            <w:r w:rsidRPr="00C24656">
              <w:t xml:space="preserve">Requirements for the use of manuals, system diagrams/plans and drawings - types, characteristics and capabilities of electrical apparatus, use, </w:t>
            </w:r>
            <w:r w:rsidRPr="00C24656">
              <w:t>characteristics and capabilities of specialised tools and testing equipment, LV network interconnectors source of possible backfeed</w:t>
            </w:r>
          </w:p>
          <w:p w:rsidR="00000000" w:rsidRPr="00C24656" w:rsidP="00C24656">
            <w:pPr>
              <w:pStyle w:val="ListBullet"/>
            </w:pPr>
            <w:r w:rsidRPr="00C24656">
              <w:t>Low voltage switching techniques - identifying hazards, assessing and controlling risks associated with LV switching operati</w:t>
            </w:r>
            <w:r w:rsidRPr="00C24656">
              <w:t>ons, electrical access permit(s), operational procedures, earthing procedures</w:t>
            </w:r>
          </w:p>
          <w:p w:rsidR="00000000" w:rsidRPr="00C24656" w:rsidP="00C24656">
            <w:pPr>
              <w:pStyle w:val="ListBullet"/>
            </w:pPr>
            <w:r w:rsidRPr="00C24656">
              <w:t>Personnel protective equipment (PPE) for LV switching</w:t>
            </w:r>
          </w:p>
          <w:p w:rsidR="00000000" w:rsidRPr="00C24656" w:rsidP="00C24656">
            <w:pPr>
              <w:pStyle w:val="BodyText"/>
            </w:pPr>
            <w:r w:rsidRPr="00C24656">
              <w:t>T3</w:t>
            </w:r>
            <w:r w:rsidRPr="00C24656">
              <w:tab/>
              <w:t>High voltage switching principles encompassing:</w:t>
            </w:r>
          </w:p>
          <w:p w:rsidR="00000000" w:rsidRPr="00C24656" w:rsidP="00C24656">
            <w:pPr>
              <w:pStyle w:val="ListBullet"/>
            </w:pPr>
            <w:r w:rsidRPr="00C24656">
              <w:t>Standards, codes, legislation, supply authority regulations and or enterp</w:t>
            </w:r>
            <w:r w:rsidRPr="00C24656">
              <w:t>rise requirements applicable to switching of high voltage to a given schedule</w:t>
            </w:r>
          </w:p>
          <w:p w:rsidR="00000000" w:rsidRPr="00C24656" w:rsidP="00C24656">
            <w:pPr>
              <w:pStyle w:val="ListBullet"/>
            </w:pPr>
            <w:r w:rsidRPr="00C24656">
              <w:t>Requirements for the use of manuals, system diagrams/plans and drawings - types, characteristics and capabilities of electrical apparatus, use, characteristics and capabilities o</w:t>
            </w:r>
            <w:r w:rsidRPr="00C24656">
              <w:t>f specialised tools and testing equipment, network interconnectors source of possible backfeed</w:t>
            </w:r>
          </w:p>
          <w:p w:rsidR="00000000" w:rsidRPr="00C24656" w:rsidP="00C24656">
            <w:pPr>
              <w:pStyle w:val="ListBullet"/>
            </w:pPr>
            <w:r w:rsidRPr="00C24656">
              <w:t>Role of the HV switching operator</w:t>
            </w:r>
          </w:p>
          <w:p w:rsidR="00000000" w:rsidRPr="00C24656" w:rsidP="00C24656">
            <w:pPr>
              <w:pStyle w:val="ListBullet"/>
            </w:pPr>
            <w:r w:rsidRPr="00C24656">
              <w:t>Operational forms, access authorities and permits associated with HV switching - types of operational forms, access authorities</w:t>
            </w:r>
            <w:r w:rsidRPr="00C24656">
              <w:t xml:space="preserve"> and permits, purpose and procedure for operational forms, access authorities and permits.</w:t>
            </w:r>
          </w:p>
          <w:p w:rsidR="00000000" w:rsidRPr="00C24656" w:rsidP="00C24656">
            <w:pPr>
              <w:pStyle w:val="ListBullet"/>
            </w:pPr>
            <w:r w:rsidRPr="00C24656">
              <w:t xml:space="preserve">Use and operation of equipment associated with HV overhead and substation equipment - test instruments, sticks, interrupters, arc stranglers. </w:t>
            </w:r>
          </w:p>
          <w:p w:rsidR="00000000" w:rsidRPr="00C24656" w:rsidP="00C24656">
            <w:pPr>
              <w:pStyle w:val="ListBullet"/>
            </w:pPr>
            <w:r w:rsidRPr="00C24656">
              <w:t>Types and categories o</w:t>
            </w:r>
            <w:r w:rsidRPr="00C24656">
              <w:t>f HV switchgear</w:t>
            </w:r>
          </w:p>
          <w:p w:rsidR="00000000" w:rsidRPr="00C24656" w:rsidP="00C24656">
            <w:pPr>
              <w:pStyle w:val="ListBullet"/>
            </w:pPr>
            <w:r w:rsidRPr="00C24656">
              <w:t>Application, function and operating capabilities of switchgear</w:t>
            </w:r>
          </w:p>
          <w:p w:rsidR="00000000" w:rsidRPr="00C24656" w:rsidP="00C24656">
            <w:pPr>
              <w:pStyle w:val="ListBullet"/>
            </w:pPr>
            <w:r w:rsidRPr="00C24656">
              <w:t>Restrictions pertaining to HV switching equipment</w:t>
            </w:r>
          </w:p>
          <w:p w:rsidR="00000000" w:rsidRPr="00C24656" w:rsidP="00C24656">
            <w:pPr>
              <w:pStyle w:val="ListBullet"/>
            </w:pPr>
            <w:r w:rsidRPr="00C24656">
              <w:t>Procedures for the isolation of HV transmission main and working earths</w:t>
            </w:r>
          </w:p>
          <w:p w:rsidR="00000000" w:rsidRPr="00C24656" w:rsidP="00C24656">
            <w:pPr>
              <w:pStyle w:val="ListBullet"/>
            </w:pPr>
            <w:r w:rsidRPr="00C24656">
              <w:t>Earthing HV electrical apparatus practices and procedur</w:t>
            </w:r>
            <w:r w:rsidRPr="00C24656">
              <w:t>es for access - purposes of “Operational” and additional work part “on-site” earths, factors determining the location and effectiveness of “Operational” earthing, acceptable industry procedures, personal protective equipment, high voltage switching techniq</w:t>
            </w:r>
            <w:r w:rsidRPr="00C24656">
              <w:t>ues.</w:t>
            </w:r>
          </w:p>
          <w:p w:rsidR="00000000" w:rsidRPr="00C24656" w:rsidP="00C24656">
            <w:pPr>
              <w:pStyle w:val="ListBullet"/>
            </w:pPr>
            <w:r w:rsidRPr="00C24656">
              <w:t>Operate switching apparatus - identifying hazards, assessing and controlling risks associated with HV switchgear operation, systematic and defensive techniques, mobile radio procedures, double isolation procedures.</w:t>
            </w:r>
          </w:p>
          <w:p w:rsidR="00000000" w:rsidRPr="00C24656" w:rsidP="00C24656">
            <w:pPr>
              <w:pStyle w:val="BodyText"/>
            </w:pPr>
            <w:r w:rsidRPr="00C24656">
              <w:t>T4</w:t>
            </w:r>
            <w:r w:rsidRPr="00C24656">
              <w:tab/>
              <w:t>High voltage fault switching prin</w:t>
            </w:r>
            <w:r w:rsidRPr="00C24656">
              <w:t>ciples encompassing:</w:t>
            </w:r>
          </w:p>
          <w:p w:rsidR="00000000" w:rsidRPr="00C24656" w:rsidP="00C24656">
            <w:pPr>
              <w:pStyle w:val="ListBullet"/>
            </w:pPr>
            <w:r w:rsidRPr="00C24656">
              <w:t>Primary causes, effects and types of HV electrical faults</w:t>
            </w:r>
          </w:p>
          <w:p w:rsidR="00000000" w:rsidRPr="00C24656" w:rsidP="00C24656">
            <w:pPr>
              <w:pStyle w:val="ListBullet"/>
            </w:pPr>
            <w:r w:rsidRPr="00C24656">
              <w:t>HV protection devices - main components, types, categories, applications, functions.</w:t>
            </w:r>
          </w:p>
          <w:p w:rsidR="00000000" w:rsidRPr="00C24656" w:rsidP="00C24656">
            <w:pPr>
              <w:pStyle w:val="ListBullet"/>
            </w:pPr>
            <w:r w:rsidRPr="00C24656">
              <w:t>Basic principle of operation of HV system protection devices</w:t>
            </w:r>
          </w:p>
          <w:p w:rsidR="00000000" w:rsidRPr="00C24656" w:rsidP="00C24656">
            <w:pPr>
              <w:pStyle w:val="ListBullet"/>
            </w:pPr>
            <w:r w:rsidRPr="00C24656">
              <w:t>Protection co-ordination and protection “zoning”</w:t>
            </w:r>
          </w:p>
          <w:p w:rsidR="00000000" w:rsidRPr="00C24656" w:rsidP="00C24656">
            <w:pPr>
              <w:pStyle w:val="ListBullet"/>
            </w:pPr>
            <w:r w:rsidRPr="00C24656">
              <w:t>HV feeder auto-reclosing suppression – function, application</w:t>
            </w:r>
          </w:p>
          <w:p w:rsidR="00000000" w:rsidRPr="00C24656" w:rsidP="00C24656">
            <w:pPr>
              <w:pStyle w:val="ListBullet"/>
            </w:pPr>
            <w:r w:rsidRPr="00C24656">
              <w:t>Circuit condition requirements and switching considerations when paralleling and separating HV feeders.</w:t>
            </w:r>
          </w:p>
          <w:p w:rsidR="00000000" w:rsidRPr="00C24656" w:rsidP="00C24656">
            <w:pPr>
              <w:pStyle w:val="BodyText"/>
            </w:pPr>
            <w:r w:rsidRPr="00C24656">
              <w:t>T5</w:t>
            </w:r>
            <w:r w:rsidRPr="00C24656">
              <w:tab/>
              <w:t>High voltage distribution transformer p</w:t>
            </w:r>
            <w:r w:rsidRPr="00C24656">
              <w:t>rinciples encompassing:</w:t>
            </w:r>
          </w:p>
          <w:p w:rsidR="00000000" w:rsidRPr="00C24656" w:rsidP="00C24656">
            <w:pPr>
              <w:pStyle w:val="ListBullet"/>
            </w:pPr>
            <w:r w:rsidRPr="00C24656">
              <w:t>Operation of HV distribution transformers - principle governing factors for transformer ratings, protection and alarms, operating limitations and the relationship between transformer and HV fuse rating, purpose and principle operati</w:t>
            </w:r>
            <w:r w:rsidRPr="00C24656">
              <w:t>on of HV distribution transformer tap changers, HV distribution transformer and transformer — cable combination switching practices, paralleling requirements, isolation and earthing procedures for access, common distribution transformer and associated elec</w:t>
            </w:r>
            <w:r w:rsidRPr="00C24656">
              <w:t>trical apparatus faults.</w:t>
            </w:r>
          </w:p>
          <w:p w:rsidR="00000000" w:rsidRPr="00C24656" w:rsidP="00C24656">
            <w:pPr>
              <w:pStyle w:val="ListBullet"/>
            </w:pPr>
            <w:r w:rsidRPr="00C24656">
              <w:t>HV underground switching equipment - arc stranglers, switch operation, load break elbows, switching cubicles, canister fuses, bayonet fuses, F and G switching cubicles, voltage indicators and phasing testers</w:t>
            </w:r>
          </w:p>
          <w:p w:rsidR="00000000" w:rsidRPr="00C24656" w:rsidP="00C24656">
            <w:pPr>
              <w:pStyle w:val="BodyText"/>
            </w:pPr>
            <w:r w:rsidRPr="00C24656">
              <w:t>T6</w:t>
            </w:r>
            <w:r w:rsidRPr="00C24656">
              <w:tab/>
              <w:t>High voltage SWER sy</w:t>
            </w:r>
            <w:r w:rsidRPr="00C24656">
              <w:t>stem encompassing:</w:t>
            </w:r>
          </w:p>
          <w:p w:rsidR="00000000" w:rsidRPr="00C24656" w:rsidP="00C24656">
            <w:pPr>
              <w:pStyle w:val="ListBullet"/>
            </w:pPr>
            <w:r w:rsidRPr="00C24656">
              <w:t>Application and function of SWER system components</w:t>
            </w:r>
          </w:p>
          <w:p w:rsidR="00000000" w:rsidRPr="00C24656" w:rsidP="00C24656">
            <w:pPr>
              <w:pStyle w:val="ListBullet"/>
            </w:pPr>
            <w:r w:rsidRPr="00C24656">
              <w:t>Circuit arrangement</w:t>
            </w:r>
          </w:p>
          <w:p w:rsidR="00000000" w:rsidRPr="00C24656" w:rsidP="00C24656">
            <w:pPr>
              <w:pStyle w:val="ListBullet"/>
            </w:pPr>
            <w:r w:rsidRPr="00C24656">
              <w:t>Principle of operation</w:t>
            </w:r>
          </w:p>
          <w:p w:rsidR="00000000" w:rsidRPr="00C24656" w:rsidP="00C24656">
            <w:pPr>
              <w:pStyle w:val="ListBullet"/>
            </w:pPr>
            <w:r w:rsidRPr="00C24656">
              <w:t>Hazards and procedures associated with faulty SWER earth systems</w:t>
            </w:r>
          </w:p>
          <w:p w:rsidR="00000000" w:rsidRPr="00C24656" w:rsidP="00C24656">
            <w:pPr>
              <w:pStyle w:val="ListBullet"/>
            </w:pPr>
            <w:r w:rsidRPr="00C24656">
              <w:t>Procedure to isolate, energise and commission SWER substations</w:t>
            </w:r>
          </w:p>
          <w:p w:rsidR="00000000" w:rsidRPr="00C24656" w:rsidP="00C24656">
            <w:pPr>
              <w:pStyle w:val="BodyText"/>
            </w:pPr>
            <w:r w:rsidRPr="00C24656">
              <w:t>T7</w:t>
            </w:r>
            <w:r w:rsidRPr="00C24656">
              <w:tab/>
              <w:t>Feeder autom</w:t>
            </w:r>
            <w:r w:rsidRPr="00C24656">
              <w:t>ation system encompassing:</w:t>
            </w:r>
          </w:p>
          <w:p w:rsidR="00000000" w:rsidRPr="00C24656" w:rsidP="00C24656">
            <w:pPr>
              <w:pStyle w:val="ListBullet"/>
            </w:pPr>
            <w:r w:rsidRPr="00C24656">
              <w:t>Function of feeder automation system and the main components</w:t>
            </w:r>
          </w:p>
          <w:p w:rsidR="00000000" w:rsidRPr="00C24656" w:rsidP="00C24656">
            <w:pPr>
              <w:pStyle w:val="ListBullet"/>
            </w:pPr>
            <w:r w:rsidRPr="00C24656">
              <w:t>Operation procedure for a remote field device from a local control station</w:t>
            </w:r>
          </w:p>
          <w:p w:rsidR="00000000" w:rsidRPr="00C24656" w:rsidP="00C24656">
            <w:pPr>
              <w:pStyle w:val="ListBullet"/>
            </w:pPr>
            <w:r w:rsidRPr="00C24656">
              <w:t>Functions of “System Control and Date Acquisition” (SCADA) (or any other relevant Data Acquis</w:t>
            </w:r>
            <w:r w:rsidRPr="00C24656">
              <w:t>ition and Control) systems and its main components</w:t>
            </w:r>
          </w:p>
          <w:p w:rsidR="00000000" w:rsidRPr="00C24656" w:rsidP="00C24656">
            <w:pPr>
              <w:pStyle w:val="ListBullet"/>
            </w:pPr>
            <w:r w:rsidRPr="00C24656">
              <w:t>SCADA system security interlocks and access restrictions</w:t>
            </w:r>
          </w:p>
          <w:p w:rsidR="00000000" w:rsidRPr="00C24656" w:rsidP="00C24656">
            <w:pPr>
              <w:pStyle w:val="ListBullet"/>
            </w:pPr>
            <w:r w:rsidRPr="00C24656">
              <w:t>SCADA system operation when switching apparatus or retrieving data via a remote access device such as; Remote Access Terminal (RAT), Dial Up Voice A</w:t>
            </w:r>
            <w:r w:rsidRPr="00C24656">
              <w:t>nnunciated System and Local Control Station</w:t>
            </w:r>
          </w:p>
          <w:p w:rsidR="00000000" w:rsidRPr="00C24656" w:rsidP="00C24656">
            <w:pPr>
              <w:pStyle w:val="ListBullet"/>
            </w:pPr>
            <w:r w:rsidRPr="00C24656">
              <w:t>Function of the main components of a local/remote control system</w:t>
            </w:r>
          </w:p>
          <w:p w:rsidR="00000000" w:rsidRPr="00C24656" w:rsidP="00C24656">
            <w:pPr>
              <w:pStyle w:val="ListBullet"/>
            </w:pPr>
            <w:r w:rsidRPr="00C24656">
              <w:t>Operation of a field devices using SCADA systems via a Remote Access Terminal (RAT), Dial Up Annunciated System and Local Control Station.</w:t>
            </w:r>
          </w:p>
          <w:p w:rsidR="00000000" w:rsidRPr="00C24656" w:rsidP="00C24656">
            <w:pPr>
              <w:pStyle w:val="BodyText"/>
            </w:pPr>
            <w:r w:rsidRPr="00C24656">
              <w:t>T8</w:t>
            </w:r>
            <w:r w:rsidRPr="00C24656">
              <w:tab/>
              <w:t>HV ov</w:t>
            </w:r>
            <w:r w:rsidRPr="00C24656">
              <w:t>erhead and substation switching principles encompassing:</w:t>
            </w:r>
          </w:p>
          <w:p w:rsidR="00000000" w:rsidRPr="00C24656" w:rsidP="00C24656">
            <w:pPr>
              <w:pStyle w:val="ListBullet"/>
            </w:pPr>
            <w:r w:rsidRPr="00C24656">
              <w:t>Legislation, Standards, codes, legislation, supply authority regulations and or enterprise requirements applicable to HV overhead and substation switching</w:t>
            </w:r>
          </w:p>
          <w:p w:rsidR="00000000" w:rsidRPr="00C24656" w:rsidP="00C24656">
            <w:pPr>
              <w:pStyle w:val="ListBullet"/>
            </w:pPr>
            <w:r w:rsidRPr="00C24656">
              <w:t xml:space="preserve">Requirements for the use of manuals, system </w:t>
            </w:r>
            <w:r w:rsidRPr="00C24656">
              <w:t>diagrams/plans and drawings - types, characteristics and capabilities of HV electrical equipment to be switched, use, characteristics and capabilities of specialised tools and testing equipment.</w:t>
            </w:r>
          </w:p>
          <w:p w:rsidR="00000000" w:rsidRPr="00C24656" w:rsidP="00C24656">
            <w:pPr>
              <w:pStyle w:val="ListBullet"/>
            </w:pPr>
            <w:r w:rsidRPr="00C24656">
              <w:t>Role and responsibilities of the HV switching operator</w:t>
            </w:r>
          </w:p>
          <w:p w:rsidR="00000000" w:rsidRPr="00C24656" w:rsidP="00C24656">
            <w:pPr>
              <w:pStyle w:val="ListBullet"/>
            </w:pPr>
            <w:r w:rsidRPr="00C24656">
              <w:t>Operational forms, access authorities and permits hazard/risk assessments associated with HV switching - types of operational forms, access authorities and permits hazard/risk assessments, purpose and procedure for operational forms, access authorities and</w:t>
            </w:r>
            <w:r w:rsidRPr="00C24656">
              <w:t xml:space="preserve"> hazard/risk assessments.</w:t>
            </w:r>
          </w:p>
          <w:p w:rsidR="00000000" w:rsidRPr="00C24656" w:rsidP="00C24656">
            <w:pPr>
              <w:pStyle w:val="ListBullet"/>
            </w:pPr>
            <w:r w:rsidRPr="00C24656">
              <w:t xml:space="preserve">Use and operation of equipment associated with HV overhead and substation equipment - test instruments, sticks, interrupters, arc stranglers. </w:t>
            </w:r>
          </w:p>
          <w:p w:rsidR="00000000" w:rsidRPr="00C24656" w:rsidP="00C24656">
            <w:pPr>
              <w:pStyle w:val="ListBullet"/>
            </w:pPr>
            <w:r w:rsidRPr="00C24656">
              <w:t>HV switchgear – types, categories, application, operating capabilities.</w:t>
            </w:r>
          </w:p>
          <w:p w:rsidR="00000000" w:rsidRPr="00C24656" w:rsidP="00C24656">
            <w:pPr>
              <w:pStyle w:val="ListBullet"/>
            </w:pPr>
            <w:r w:rsidRPr="00C24656">
              <w:t>Operation of HV</w:t>
            </w:r>
            <w:r w:rsidRPr="00C24656">
              <w:t xml:space="preserve"> overhead switching or indicating devices - fuses; disconnect fuses; load switching; live line indicators; capacitors; reclosers; sectionalisers, underslung links, airbreaks; switches, disconnects; live line clamps; phasing sticks; phasing tester</w:t>
            </w:r>
          </w:p>
          <w:p w:rsidR="00000000" w:rsidRPr="00C24656" w:rsidP="00C24656">
            <w:pPr>
              <w:pStyle w:val="ListBullet"/>
            </w:pPr>
            <w:r w:rsidRPr="00C24656">
              <w:t>Operation</w:t>
            </w:r>
            <w:r w:rsidRPr="00C24656">
              <w:t xml:space="preserve"> of protection systems and substation equipment - fault levels and settings; types and applications; protection systems and substation equipment fault levels and settings; types and applications.</w:t>
            </w:r>
          </w:p>
          <w:p w:rsidR="00000000" w:rsidRPr="00C24656" w:rsidP="00C24656">
            <w:pPr>
              <w:pStyle w:val="ListBullet"/>
            </w:pPr>
            <w:r w:rsidRPr="00C24656">
              <w:t>Restrictions pertaining to HV switching equipment</w:t>
            </w:r>
          </w:p>
          <w:p w:rsidR="00000000" w:rsidRPr="00C24656" w:rsidP="00C24656">
            <w:pPr>
              <w:pStyle w:val="ListBullet"/>
            </w:pPr>
            <w:r w:rsidRPr="00C24656">
              <w:t>Procedures</w:t>
            </w:r>
            <w:r w:rsidRPr="00C24656">
              <w:t xml:space="preserve"> for the isolation of HV mains and working earths - earthing HV electrical apparatus practices and procedures for access authority issuing; HV switching techniques.</w:t>
            </w:r>
          </w:p>
          <w:p w:rsidR="00000000" w:rsidRPr="00C24656" w:rsidP="00C24656">
            <w:pPr>
              <w:pStyle w:val="ListBullet"/>
            </w:pPr>
            <w:r w:rsidRPr="00C24656">
              <w:t>Operate switching apparatus - identifying hazards, assessing and controlling risks associat</w:t>
            </w:r>
            <w:r w:rsidRPr="00C24656">
              <w:t>ed with HV switchgear operation, systematic and defensive techniques, mobile radio procedures, double isolation procedures.</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10" w:name="O_459961"/>
      <w:bookmarkEnd w:id="10"/>
      <w:r w:rsidRPr="00C24656">
        <w:t>Evidence Guide</w:t>
      </w:r>
    </w:p>
    <w:tbl>
      <w:tblPr>
        <w:tblW w:w="0" w:type="auto"/>
        <w:tblLayout w:type="fixed"/>
        <w:tblCellMar>
          <w:left w:w="62" w:type="dxa"/>
          <w:right w:w="62" w:type="dxa"/>
        </w:tblCellMar>
        <w:tblLook w:val="0000"/>
      </w:tblPr>
      <w:tblGrid>
        <w:gridCol w:w="8460"/>
      </w:tblGrid>
      <w:tr w:rsidTr="008363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EVIDENCE GUIDE</w:t>
            </w:r>
          </w:p>
        </w:tc>
      </w:tr>
      <w:tr w:rsidTr="008363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9)</w:t>
            </w:r>
            <w:r w:rsidRPr="00C24656">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C24656" w:rsidP="00C24656">
            <w:pPr>
              <w:pStyle w:val="BodyText"/>
            </w:pPr>
            <w:r w:rsidRPr="00C24656">
              <w:t>The Evidence Guide form</w:t>
            </w:r>
            <w:r w:rsidRPr="00C24656">
              <w:t>s an integral part of this Competency Standard Unit and shall be used in conjunction with all component parts of this unit and, performed in accordance with the Assessment Guidelines of this Training Package.</w:t>
            </w:r>
          </w:p>
        </w:tc>
      </w:tr>
    </w:tbl>
    <w:p w:rsidR="00000000" w:rsidRPr="00C24656" w:rsidP="00C24656">
      <w:pPr>
        <w:pStyle w:val="BodyText"/>
      </w:pPr>
    </w:p>
    <w:tbl>
      <w:tblPr>
        <w:tblW w:w="0" w:type="auto"/>
        <w:tblLayout w:type="fixed"/>
        <w:tblCellMar>
          <w:left w:w="62" w:type="dxa"/>
          <w:right w:w="62" w:type="dxa"/>
        </w:tblCellMar>
        <w:tblLook w:val="0000"/>
      </w:tblPr>
      <w:tblGrid>
        <w:gridCol w:w="1890"/>
        <w:gridCol w:w="6570"/>
      </w:tblGrid>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9.1)</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Longitudinal co</w:t>
            </w:r>
            <w:r w:rsidRPr="00C24656">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C24656">
              <w:t>It is the Industry’s preferred model for apprenticeships. However, where summative (or final) assessment is used it is to include the application of the competency in the normal work environment or, at a minimum, the application of the competency in a real</w:t>
            </w:r>
            <w:r w:rsidRPr="00C24656">
              <w:t>istically simulated work environment. It is recognised that, in some circumstances, assessment in part or full can occur outside the workplace. However, it must be in accord with Industry and, Regulatory policy in this regard.</w:t>
            </w:r>
          </w:p>
          <w:p w:rsidR="00000000" w:rsidRPr="00C24656" w:rsidP="00C24656">
            <w:pPr>
              <w:pStyle w:val="BodyText"/>
            </w:pPr>
            <w:r w:rsidRPr="00C24656">
              <w:t>Methods chosen for a particul</w:t>
            </w:r>
            <w:r w:rsidRPr="00C24656">
              <w:t>ar assessment will be influenced by various factors. These include the extent of the assessment, the most effective locations for the assessment activities to take place, access to physical resources, additional safety measures that may be required and the</w:t>
            </w:r>
            <w:r w:rsidRPr="00C24656">
              <w:t xml:space="preserve"> critical nature of the competencies being assessed.</w:t>
            </w:r>
          </w:p>
          <w:p w:rsidR="00000000" w:rsidRPr="00C24656" w:rsidP="00C24656">
            <w:pPr>
              <w:pStyle w:val="BodyText"/>
            </w:pPr>
            <w:r w:rsidRPr="00C24656">
              <w:t xml:space="preserve">The critical safety nature of working with electricity, electrical equipment, gas or any other hazardous substance/material carries risk in deeming a person competent. Hence, sources of evidence need to </w:t>
            </w:r>
            <w:r w:rsidRPr="00C24656">
              <w:t>be ‘rich’ in nature so as to minimise error in judgment.</w:t>
            </w:r>
          </w:p>
          <w:p w:rsidR="00000000" w:rsidRPr="00C24656" w:rsidP="00C24656">
            <w:pPr>
              <w:pStyle w:val="BodyText"/>
            </w:pPr>
            <w:r w:rsidRPr="00C24656">
              <w:t>Activities associated with normal every day work have a bearing on the decision as to how much and how detailed the data gathered will contribute to its ‘richness’</w:t>
            </w:r>
            <w:r w:rsidRPr="00C24656">
              <w:t>. Some skills are more critical to safety and operational requirements while the same skills may be more or less frequently practiced. These points are raised for the assessors to consider when choosing an assessment method and developing assessment instru</w:t>
            </w:r>
            <w:r w:rsidRPr="00C24656">
              <w:t>ments. Sample assessment instruments are included for Assessors in the Assessment Guidelines of this Training Package.</w:t>
            </w:r>
          </w:p>
        </w:tc>
      </w:tr>
    </w:tbl>
    <w:p w:rsidR="00000000" w:rsidRPr="00C24656" w:rsidP="00C2465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9.2)</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Before the critical aspects of evidence are cons</w:t>
            </w:r>
            <w:r w:rsidRPr="00C24656">
              <w:t>idered all prerequisites shall be met.</w:t>
            </w:r>
          </w:p>
          <w:p w:rsidR="00000000" w:rsidRPr="00C24656" w:rsidP="00C24656">
            <w:pPr>
              <w:pStyle w:val="BodyText"/>
            </w:pPr>
            <w:r w:rsidRPr="00C24656">
              <w:t>Evidence for competence in this unit shall be considered holistically. Each element and associated Performance Criteria shall be demonstrated on at least two occasions in accordance with the “Assessment Guidelines – U</w:t>
            </w:r>
            <w:r w:rsidRPr="00C24656">
              <w:t>ET12”. Evidence shall also comprise:</w:t>
            </w:r>
          </w:p>
          <w:p w:rsidR="00000000" w:rsidRPr="00C24656" w:rsidP="00C24656">
            <w:pPr>
              <w:pStyle w:val="ListBullet"/>
            </w:pPr>
            <w:r w:rsidRPr="00C24656">
              <w:t>A representative body of Performance Criteria demonstrated within the timeframes typically expected of the discipline, work function and industrial environment. In particular this shall incorporate evidence that shows a</w:t>
            </w:r>
            <w:r w:rsidRPr="00C24656">
              <w:t xml:space="preserve"> candidate is able to:</w:t>
            </w:r>
          </w:p>
          <w:p w:rsidR="00000000" w:rsidRPr="00C24656" w:rsidP="00C24656">
            <w:pPr>
              <w:pStyle w:val="ListBullet2"/>
            </w:pPr>
            <w:r w:rsidRPr="00C24656">
              <w:t>Implement Occupational Health and Safety workplace procedures and practices including the use of risk control measures as specified in the Performance Criteria and range; and</w:t>
            </w:r>
          </w:p>
          <w:p w:rsidR="00000000" w:rsidRPr="00C24656" w:rsidP="00C24656">
            <w:pPr>
              <w:pStyle w:val="ListBullet2"/>
            </w:pPr>
            <w:r w:rsidRPr="00C24656">
              <w:t>Apply sustainable energy principles and practices as specified in the Performance Criteria and range; and</w:t>
            </w:r>
          </w:p>
          <w:p w:rsidR="00000000" w:rsidRPr="00C24656" w:rsidP="00C24656">
            <w:pPr>
              <w:pStyle w:val="ListBullet2"/>
            </w:pPr>
            <w:r w:rsidRPr="00C24656">
              <w:t>Demonstrate an understanding of the essential knowledge and associated skills as described in this unit to such an extent that the learner’s performan</w:t>
            </w:r>
            <w:r w:rsidRPr="00C24656">
              <w:t>ce outcome is reported in accordance with the preferred approach; namely a percentile graded result, where required by the regulated environment; and</w:t>
            </w:r>
          </w:p>
          <w:p w:rsidR="00000000" w:rsidRPr="00C24656" w:rsidP="00C24656">
            <w:pPr>
              <w:pStyle w:val="ListBullet2"/>
            </w:pPr>
            <w:r w:rsidRPr="00C24656">
              <w:t>Demonstrate an appropriate level of employability skills; and</w:t>
            </w:r>
          </w:p>
          <w:p w:rsidR="00000000" w:rsidRPr="00C24656" w:rsidP="00C24656">
            <w:pPr>
              <w:pStyle w:val="ListBullet"/>
            </w:pPr>
            <w:r w:rsidRPr="00C24656">
              <w:t>Conduct work observing the relevant Anti Dis</w:t>
            </w:r>
            <w:r w:rsidRPr="00C24656">
              <w:t>crimination legislation, regulations, policies and workplace procedures; and</w:t>
            </w:r>
          </w:p>
          <w:p w:rsidR="00000000" w:rsidP="00C24656">
            <w:pPr>
              <w:pStyle w:val="ListBullet2"/>
              <w:rPr>
                <w:lang w:val="en-NZ"/>
              </w:rPr>
            </w:pPr>
            <w:r w:rsidRPr="00C24656">
              <w:t>Demonstrated performance across a representative range of contexts from the prescribed items below:</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2465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rPr>
                <w:rStyle w:val="SpecialBold"/>
              </w:rPr>
              <w:t>Range of tools/equipment/materials/procedures/workplaces/other variables</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2465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56" w:rsidP="00C24656">
            <w:pPr>
              <w:pStyle w:val="BodyText"/>
            </w:pPr>
            <w:r w:rsidRPr="00C2465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56" w:rsidP="00C24656">
            <w:pPr>
              <w:pStyle w:val="BodyText"/>
            </w:pPr>
            <w:r w:rsidRPr="00C2465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rPr>
                <w:rStyle w:val="SpecialBold"/>
              </w:rPr>
              <w:t>Item List</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56" w:rsidP="00C24656">
            <w:pPr>
              <w:pStyle w:val="BodyText"/>
            </w:pPr>
            <w:r w:rsidRPr="00C24656">
              <w:t>Approvals/clearances</w:t>
            </w:r>
          </w:p>
          <w:p w:rsidR="00000000" w:rsidP="00C24656">
            <w:pPr>
              <w:pStyle w:val="BodyText"/>
              <w:rPr>
                <w:lang w:val="en-NZ"/>
              </w:rPr>
            </w:pPr>
            <w:r w:rsidRPr="00C24656">
              <w:t>Access permits</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56" w:rsidP="00C24656">
            <w:pPr>
              <w:pStyle w:val="BodyText"/>
            </w:pPr>
            <w:r w:rsidRPr="00C24656">
              <w:t>Operating sticks</w:t>
            </w:r>
          </w:p>
          <w:p w:rsidR="00000000" w:rsidRPr="00C24656" w:rsidP="00C24656">
            <w:pPr>
              <w:pStyle w:val="BodyText"/>
            </w:pPr>
            <w:r w:rsidRPr="00C24656">
              <w:t>Operating earths</w:t>
            </w:r>
          </w:p>
          <w:p w:rsidR="00000000" w:rsidP="00C24656">
            <w:pPr>
              <w:pStyle w:val="BodyText"/>
              <w:rPr>
                <w:lang w:val="en-NZ"/>
              </w:rPr>
            </w:pPr>
            <w:r w:rsidRPr="00C24656">
              <w:t>Voltage detectors</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56" w:rsidP="00C24656">
            <w:pPr>
              <w:pStyle w:val="BodyText"/>
            </w:pPr>
            <w:r w:rsidRPr="00C24656">
              <w:t>Phasing equipment</w:t>
            </w:r>
          </w:p>
          <w:p w:rsidR="00000000" w:rsidP="00C24656">
            <w:pPr>
              <w:pStyle w:val="BodyText"/>
              <w:rPr>
                <w:lang w:val="en-NZ"/>
              </w:rPr>
            </w:pPr>
            <w:r w:rsidRPr="00C24656">
              <w:t>Ground equipment isolating handles and earths</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56" w:rsidP="00C24656">
            <w:pPr>
              <w:pStyle w:val="BodyText"/>
            </w:pPr>
            <w:r w:rsidRPr="00C24656">
              <w:t>Links</w:t>
            </w:r>
          </w:p>
          <w:p w:rsidR="00000000" w:rsidRPr="00C24656" w:rsidP="00C24656">
            <w:pPr>
              <w:pStyle w:val="BodyText"/>
            </w:pPr>
            <w:r w:rsidRPr="00C24656">
              <w:t>Air break switches</w:t>
            </w:r>
          </w:p>
          <w:p w:rsidR="00000000" w:rsidP="00C24656">
            <w:pPr>
              <w:pStyle w:val="BodyText"/>
              <w:rPr>
                <w:lang w:val="en-NZ"/>
              </w:rPr>
            </w:pPr>
            <w:r w:rsidRPr="00C24656">
              <w:t>Fuses</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Any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56" w:rsidP="00C24656">
            <w:pPr>
              <w:pStyle w:val="BodyText"/>
            </w:pPr>
            <w:r w:rsidRPr="00C24656">
              <w:t>Reclosers</w:t>
            </w:r>
          </w:p>
          <w:p w:rsidR="00000000" w:rsidRPr="00C24656" w:rsidP="00C24656">
            <w:pPr>
              <w:pStyle w:val="BodyText"/>
            </w:pPr>
            <w:r w:rsidRPr="00C24656">
              <w:t>Ring main units</w:t>
            </w:r>
          </w:p>
          <w:p w:rsidR="00000000" w:rsidP="00C24656">
            <w:pPr>
              <w:pStyle w:val="BodyText"/>
              <w:rPr>
                <w:lang w:val="en-NZ"/>
              </w:rPr>
            </w:pPr>
            <w:r w:rsidRPr="00C24656">
              <w:t>Circuit breakers</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656">
            <w:pPr>
              <w:pStyle w:val="BodyText"/>
              <w:rPr>
                <w:lang w:val="en-NZ"/>
              </w:rPr>
            </w:pPr>
            <w:r w:rsidRPr="00C24656">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656" w:rsidP="00C24656">
            <w:pPr>
              <w:pStyle w:val="BodyText"/>
            </w:pPr>
            <w:r w:rsidRPr="00C24656">
              <w:t>Dealing with an unplanned event by drawing on essential knowledge and associated skills to provide appropriate solutions incorporated in the holistic assessment with the above listed items.</w:t>
            </w:r>
          </w:p>
        </w:tc>
      </w:tr>
    </w:tbl>
    <w:p w:rsidR="00000000" w:rsidRPr="00C24656" w:rsidP="00C24656">
      <w:pPr>
        <w:pStyle w:val="BodyText"/>
      </w:pPr>
    </w:p>
    <w:tbl>
      <w:tblPr>
        <w:tblW w:w="0" w:type="auto"/>
        <w:tblLayout w:type="fixed"/>
        <w:tblCellMar>
          <w:left w:w="62" w:type="dxa"/>
          <w:right w:w="62" w:type="dxa"/>
        </w:tblCellMar>
        <w:tblLook w:val="0000"/>
      </w:tblPr>
      <w:tblGrid>
        <w:gridCol w:w="1890"/>
        <w:gridCol w:w="6570"/>
      </w:tblGrid>
      <w:tr w:rsidTr="0083633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9.3)</w:t>
            </w:r>
          </w:p>
        </w:tc>
      </w:tr>
      <w:tr w:rsidTr="0083633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This uni</w:t>
            </w:r>
            <w:r w:rsidRPr="00C24656">
              <w:t>t should be assessed as it relates to normal work practice using procedures, information and resources typical of a workplace. This should include:</w:t>
            </w:r>
          </w:p>
          <w:p w:rsidR="00000000" w:rsidRPr="00C24656" w:rsidP="00C24656">
            <w:pPr>
              <w:pStyle w:val="ListBullet"/>
            </w:pPr>
            <w:r w:rsidRPr="00C24656">
              <w:t>OHS policy and work procedures and instructions.</w:t>
            </w:r>
          </w:p>
          <w:p w:rsidR="00000000" w:rsidRPr="00C24656" w:rsidP="00C24656">
            <w:pPr>
              <w:pStyle w:val="ListBullet"/>
            </w:pPr>
            <w:r w:rsidRPr="00C24656">
              <w:t xml:space="preserve">Suitable work environment, facilities, equipment and materials to undertake actual substation switching to a given schedule. </w:t>
            </w:r>
          </w:p>
          <w:p w:rsidR="00000000" w:rsidRPr="00C24656" w:rsidP="00C24656">
            <w:pPr>
              <w:pStyle w:val="BodyText"/>
            </w:pPr>
            <w:r w:rsidRPr="00C24656">
              <w:t xml:space="preserve">In addition to the resources listed above, in Context of and specific resources for assessment, evidence should show demonstrated </w:t>
            </w:r>
            <w:r w:rsidRPr="00C24656">
              <w:t>competency working below ground, in limited spaces, with different structural/construction types and method and in a variety of environments.</w:t>
            </w:r>
          </w:p>
        </w:tc>
      </w:tr>
    </w:tbl>
    <w:p w:rsidR="00000000" w:rsidRPr="00C24656" w:rsidP="00C24656">
      <w:pPr>
        <w:pStyle w:val="BodyText"/>
      </w:pPr>
    </w:p>
    <w:tbl>
      <w:tblPr>
        <w:tblW w:w="0" w:type="auto"/>
        <w:tblLayout w:type="fixed"/>
        <w:tblCellMar>
          <w:left w:w="62" w:type="dxa"/>
          <w:right w:w="62" w:type="dxa"/>
        </w:tblCellMar>
        <w:tblLook w:val="0000"/>
      </w:tblPr>
      <w:tblGrid>
        <w:gridCol w:w="1890"/>
        <w:gridCol w:w="6570"/>
      </w:tblGrid>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9.4)</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This Competency Standard Unit shall be assessed by methods given in Volume 1, Part 3</w:t>
            </w:r>
            <w:r w:rsidRPr="00C24656">
              <w:t xml:space="preserve"> “Assessment Guidelines”.</w:t>
            </w:r>
          </w:p>
          <w:p w:rsidR="00000000" w:rsidRPr="00C24656" w:rsidP="00C24656">
            <w:pPr>
              <w:pStyle w:val="BodyText"/>
            </w:pPr>
            <w:r w:rsidRPr="00C24656">
              <w:t>Note:</w:t>
            </w:r>
          </w:p>
          <w:p w:rsidR="00000000" w:rsidRPr="00C24656" w:rsidP="00C24656">
            <w:pPr>
              <w:pStyle w:val="BodyText"/>
            </w:pPr>
            <w:r w:rsidRPr="00C24656">
              <w:t>Competent performance with inherent safe working practices is expected in the Industry to which this Competency Standard Unit applies. This requires that the specified essential knowledge and associated skills are assessed i</w:t>
            </w:r>
            <w:r w:rsidRPr="00C24656">
              <w:t>n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C24656" w:rsidP="00C24656">
      <w:pPr>
        <w:pStyle w:val="BodyText"/>
      </w:pPr>
    </w:p>
    <w:tbl>
      <w:tblPr>
        <w:tblW w:w="0" w:type="auto"/>
        <w:tblLayout w:type="fixed"/>
        <w:tblCellMar>
          <w:left w:w="62" w:type="dxa"/>
          <w:right w:w="62" w:type="dxa"/>
        </w:tblCellMar>
        <w:tblLook w:val="0000"/>
      </w:tblPr>
      <w:tblGrid>
        <w:gridCol w:w="1890"/>
        <w:gridCol w:w="6570"/>
      </w:tblGrid>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9.5)</w:t>
            </w:r>
          </w:p>
        </w:tc>
      </w:tr>
      <w:tr w:rsidTr="008363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There are no concurrent assessment recommendations for this unit.</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11" w:name="O_459965"/>
      <w:bookmarkEnd w:id="11"/>
      <w:r w:rsidRPr="00C24656">
        <w:t>Range Statement</w:t>
      </w:r>
    </w:p>
    <w:tbl>
      <w:tblPr>
        <w:tblW w:w="0" w:type="auto"/>
        <w:tblLayout w:type="fixed"/>
        <w:tblCellMar>
          <w:left w:w="62" w:type="dxa"/>
          <w:right w:w="62" w:type="dxa"/>
        </w:tblCellMar>
        <w:tblLook w:val="0000"/>
      </w:tblPr>
      <w:tblGrid>
        <w:gridCol w:w="8460"/>
      </w:tblGrid>
      <w:tr w:rsidTr="008363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RANGE STATEMENT</w:t>
            </w:r>
          </w:p>
        </w:tc>
      </w:tr>
      <w:tr w:rsidTr="008363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10)</w:t>
            </w:r>
            <w:r w:rsidRPr="00C24656">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24656" w:rsidP="00C24656">
            <w:pPr>
              <w:pStyle w:val="BodyText"/>
            </w:pPr>
            <w:r w:rsidRPr="00C24656">
              <w:t xml:space="preserve">This Competency Standard Unit </w:t>
            </w:r>
            <w:r w:rsidRPr="00C24656">
              <w:t>shall be demonstrated in relation to the carrying out of switching operations in a substation in accordance to a given instructions and switching schedule.</w:t>
            </w:r>
          </w:p>
          <w:p w:rsidR="00000000" w:rsidRPr="00C24656" w:rsidP="00C24656">
            <w:pPr>
              <w:pStyle w:val="BodyText"/>
            </w:pPr>
            <w:r w:rsidRPr="00C24656">
              <w:t>Switchgear includes ring main units, circuit breakers, isolators, earth switches, HV links, air brea</w:t>
            </w:r>
            <w:r w:rsidRPr="00C24656">
              <w:t>k switches, capacitor banks, reactor banks, line/wave traps and fuses. (Refer to Definition 25)</w:t>
            </w:r>
          </w:p>
          <w:p w:rsidR="00000000" w:rsidRPr="00C24656" w:rsidP="00C24656">
            <w:pPr>
              <w:pStyle w:val="BodyText"/>
            </w:pPr>
            <w:r w:rsidRPr="00C24656">
              <w:t xml:space="preserve">Specialist tools include HV phasing sticks, HV link sticks, HV live-line clamp operating sticks, HV ground transformer isolating handles and associated earths, </w:t>
            </w:r>
            <w:r w:rsidRPr="00C24656">
              <w:t>HV overhead operating earths and HV detectors.</w:t>
            </w:r>
          </w:p>
          <w:p w:rsidR="00000000" w:rsidRPr="00C24656" w:rsidP="00C24656">
            <w:pPr>
              <w:pStyle w:val="BodyText"/>
            </w:pPr>
            <w:r w:rsidRPr="00C24656">
              <w:t>Switching program/schedule including necessary detail, e.g. structure, switch or equipment number; locations; HV feeder; outage times; works plan/order.</w:t>
            </w:r>
          </w:p>
          <w:p w:rsidR="00000000" w:rsidRPr="00C24656" w:rsidP="00C24656">
            <w:pPr>
              <w:pStyle w:val="BodyText"/>
            </w:pPr>
            <w:r w:rsidRPr="00C24656">
              <w:t>The following constants and variables included in the element/Performance Criteria in this unit are fully described in the Definitions Section 1 of this volume and form an integral part of the Range Statement of this unit:</w:t>
            </w:r>
          </w:p>
          <w:p w:rsidR="00000000" w:rsidRPr="00C24656" w:rsidP="00C24656">
            <w:pPr>
              <w:pStyle w:val="ListBullet3"/>
            </w:pPr>
            <w:r w:rsidRPr="00C24656">
              <w:t>Appropriate and relevant persons</w:t>
            </w:r>
            <w:r w:rsidRPr="00C24656">
              <w:t xml:space="preserve"> (see Personnel)</w:t>
            </w:r>
          </w:p>
          <w:p w:rsidR="00000000" w:rsidRPr="00C24656" w:rsidP="00C24656">
            <w:pPr>
              <w:pStyle w:val="ListBullet3"/>
            </w:pPr>
            <w:r w:rsidRPr="00C24656">
              <w:t>Appropriate authorities</w:t>
            </w:r>
          </w:p>
          <w:p w:rsidR="00000000" w:rsidRPr="00C24656" w:rsidP="00C24656">
            <w:pPr>
              <w:pStyle w:val="ListBullet3"/>
            </w:pPr>
            <w:r w:rsidRPr="00C24656">
              <w:t>Appropriate work platform</w:t>
            </w:r>
          </w:p>
          <w:p w:rsidR="00000000" w:rsidRPr="00C24656" w:rsidP="00C24656">
            <w:pPr>
              <w:pStyle w:val="ListBullet3"/>
            </w:pPr>
            <w:r w:rsidRPr="00C24656">
              <w:t>Assessing risk</w:t>
            </w:r>
          </w:p>
          <w:p w:rsidR="00000000" w:rsidRPr="00C24656" w:rsidP="00C24656">
            <w:pPr>
              <w:pStyle w:val="ListBullet3"/>
            </w:pPr>
            <w:r w:rsidRPr="00C24656">
              <w:t>Assessment</w:t>
            </w:r>
          </w:p>
          <w:p w:rsidR="00000000" w:rsidRPr="00C24656" w:rsidP="00C24656">
            <w:pPr>
              <w:pStyle w:val="ListBullet3"/>
            </w:pPr>
            <w:r w:rsidRPr="00C24656">
              <w:t>Authorisation</w:t>
            </w:r>
          </w:p>
          <w:p w:rsidR="00000000" w:rsidRPr="00C24656" w:rsidP="00C24656">
            <w:pPr>
              <w:pStyle w:val="ListBullet3"/>
            </w:pPr>
            <w:r w:rsidRPr="00C24656">
              <w:t>Confined space</w:t>
            </w:r>
          </w:p>
          <w:p w:rsidR="00000000" w:rsidRPr="00C24656" w:rsidP="00C24656">
            <w:pPr>
              <w:pStyle w:val="ListBullet3"/>
            </w:pPr>
            <w:r w:rsidRPr="00C24656">
              <w:t>Diagnostic, testing and restoration</w:t>
            </w:r>
          </w:p>
          <w:p w:rsidR="00000000" w:rsidRPr="00C24656" w:rsidP="00C24656">
            <w:pPr>
              <w:pStyle w:val="ListBullet3"/>
            </w:pPr>
            <w:r w:rsidRPr="00C24656">
              <w:t>Documenting detail work events, record keeping and or storage of information</w:t>
            </w:r>
          </w:p>
          <w:p w:rsidR="00000000" w:rsidRPr="00C24656" w:rsidP="00C24656">
            <w:pPr>
              <w:pStyle w:val="ListBullet3"/>
            </w:pPr>
            <w:r w:rsidRPr="00C24656">
              <w:t>Drawings and specific</w:t>
            </w:r>
            <w:r w:rsidRPr="00C24656">
              <w:t>ations</w:t>
            </w:r>
          </w:p>
          <w:p w:rsidR="00000000" w:rsidRPr="00C24656" w:rsidP="00C24656">
            <w:pPr>
              <w:pStyle w:val="ListBullet3"/>
            </w:pPr>
            <w:r w:rsidRPr="00C24656">
              <w:t>Emergency</w:t>
            </w:r>
          </w:p>
          <w:p w:rsidR="00000000" w:rsidRPr="00C24656" w:rsidP="00C24656">
            <w:pPr>
              <w:pStyle w:val="ListBullet3"/>
            </w:pPr>
            <w:r w:rsidRPr="00C24656">
              <w:t>Environmental and sustainable energy procedures</w:t>
            </w:r>
          </w:p>
          <w:p w:rsidR="00000000" w:rsidRPr="00C24656" w:rsidP="00C24656">
            <w:pPr>
              <w:pStyle w:val="ListBullet3"/>
            </w:pPr>
            <w:r w:rsidRPr="00C24656">
              <w:t>Environmental legislation</w:t>
            </w:r>
          </w:p>
          <w:p w:rsidR="00000000" w:rsidRPr="00C24656" w:rsidP="00C24656">
            <w:pPr>
              <w:pStyle w:val="ListBullet3"/>
            </w:pPr>
            <w:r w:rsidRPr="00C24656">
              <w:t>Environmental management documentation</w:t>
            </w:r>
          </w:p>
          <w:p w:rsidR="00000000" w:rsidRPr="00C24656" w:rsidP="00C24656">
            <w:pPr>
              <w:pStyle w:val="ListBullet3"/>
            </w:pPr>
            <w:r w:rsidRPr="00C24656">
              <w:t>Established procedures</w:t>
            </w:r>
          </w:p>
          <w:p w:rsidR="00000000" w:rsidRPr="00C24656" w:rsidP="00C24656">
            <w:pPr>
              <w:pStyle w:val="ListBullet3"/>
            </w:pPr>
            <w:r w:rsidRPr="00C24656">
              <w:t>Fall prevention</w:t>
            </w:r>
          </w:p>
          <w:p w:rsidR="00000000" w:rsidRPr="00C24656" w:rsidP="00C24656">
            <w:pPr>
              <w:pStyle w:val="ListBullet3"/>
            </w:pPr>
            <w:r w:rsidRPr="00C24656">
              <w:t>Hazards</w:t>
            </w:r>
          </w:p>
          <w:p w:rsidR="00000000" w:rsidRPr="00C24656" w:rsidP="00C24656">
            <w:pPr>
              <w:pStyle w:val="ListBullet3"/>
            </w:pPr>
            <w:r w:rsidRPr="00C24656">
              <w:t>Identifying hazards</w:t>
            </w:r>
          </w:p>
          <w:p w:rsidR="00000000" w:rsidRPr="00C24656" w:rsidP="00C24656">
            <w:pPr>
              <w:pStyle w:val="ListBullet3"/>
            </w:pPr>
            <w:r w:rsidRPr="00C24656">
              <w:t>Inspect</w:t>
            </w:r>
          </w:p>
          <w:p w:rsidR="00000000" w:rsidRPr="00C24656" w:rsidP="00C24656">
            <w:pPr>
              <w:pStyle w:val="ListBullet3"/>
            </w:pPr>
            <w:r w:rsidRPr="00C24656">
              <w:t>Legislation</w:t>
            </w:r>
          </w:p>
          <w:p w:rsidR="00000000" w:rsidRPr="00C24656" w:rsidP="00C24656">
            <w:pPr>
              <w:pStyle w:val="ListBullet3"/>
            </w:pPr>
            <w:r w:rsidRPr="00C24656">
              <w:t>MSDS</w:t>
            </w:r>
          </w:p>
          <w:p w:rsidR="00000000" w:rsidRPr="00C24656" w:rsidP="00C24656">
            <w:pPr>
              <w:pStyle w:val="ListBullet3"/>
            </w:pPr>
            <w:r w:rsidRPr="00C24656">
              <w:t>Notification</w:t>
            </w:r>
          </w:p>
          <w:p w:rsidR="00000000" w:rsidRPr="00C24656" w:rsidP="00C24656">
            <w:pPr>
              <w:pStyle w:val="ListBullet3"/>
            </w:pPr>
            <w:r w:rsidRPr="00C24656">
              <w:t>OHS practices</w:t>
            </w:r>
          </w:p>
          <w:p w:rsidR="00000000" w:rsidRPr="00C24656" w:rsidP="00C24656">
            <w:pPr>
              <w:pStyle w:val="ListBullet3"/>
            </w:pPr>
            <w:r w:rsidRPr="00C24656">
              <w:t>OHS issues</w:t>
            </w:r>
          </w:p>
          <w:p w:rsidR="00000000" w:rsidRPr="00C24656" w:rsidP="00C24656">
            <w:pPr>
              <w:pStyle w:val="ListBullet3"/>
            </w:pPr>
            <w:r w:rsidRPr="00C24656">
              <w:t>Permits and/or permits to work</w:t>
            </w:r>
          </w:p>
          <w:p w:rsidR="00000000" w:rsidRPr="00C24656" w:rsidP="00C24656">
            <w:pPr>
              <w:pStyle w:val="ListBullet3"/>
            </w:pPr>
            <w:r w:rsidRPr="00C24656">
              <w:t>Personnel</w:t>
            </w:r>
          </w:p>
          <w:p w:rsidR="00000000" w:rsidRPr="00C24656" w:rsidP="00C24656">
            <w:pPr>
              <w:pStyle w:val="ListBullet3"/>
            </w:pPr>
            <w:r w:rsidRPr="00C24656">
              <w:t>Quality assurance systems</w:t>
            </w:r>
          </w:p>
          <w:p w:rsidR="00000000" w:rsidRPr="00C24656" w:rsidP="00C24656">
            <w:pPr>
              <w:pStyle w:val="ListBullet3"/>
            </w:pPr>
            <w:r w:rsidRPr="00C24656">
              <w:t>Requirements</w:t>
            </w:r>
          </w:p>
          <w:p w:rsidR="00000000" w:rsidRPr="00C24656" w:rsidP="00C24656">
            <w:pPr>
              <w:pStyle w:val="ListBullet3"/>
            </w:pPr>
            <w:r w:rsidRPr="00C24656">
              <w:t>Testing procedures</w:t>
            </w:r>
          </w:p>
          <w:p w:rsidR="00000000" w:rsidRPr="00C24656" w:rsidP="00C24656">
            <w:pPr>
              <w:pStyle w:val="ListBullet3"/>
            </w:pPr>
            <w:r w:rsidRPr="00C24656">
              <w:t>Work clearance systems</w:t>
            </w:r>
          </w:p>
        </w:tc>
      </w:tr>
    </w:tbl>
    <w:p w:rsidR="00000000" w:rsidRPr="00C24656" w:rsidP="00C24656">
      <w:pPr>
        <w:pStyle w:val="BodyText"/>
      </w:pPr>
    </w:p>
    <w:p w:rsidR="00000000" w:rsidRPr="00C24656" w:rsidP="00C24656">
      <w:pPr>
        <w:pStyle w:val="AllowPageBreak"/>
      </w:pPr>
    </w:p>
    <w:p w:rsidR="00000000" w:rsidRPr="00C24656" w:rsidP="00C24656">
      <w:pPr>
        <w:pStyle w:val="Heading1"/>
      </w:pPr>
      <w:bookmarkStart w:id="12" w:name="O_459968"/>
      <w:bookmarkEnd w:id="12"/>
      <w:r w:rsidRPr="00C24656">
        <w:t>Unit Sector(s)</w:t>
      </w:r>
    </w:p>
    <w:p w:rsidR="00000000" w:rsidRPr="00C24656" w:rsidP="00C24656">
      <w:pPr>
        <w:pStyle w:val="BodyText"/>
      </w:pPr>
      <w:r w:rsidRPr="00C24656">
        <w:t>Not applicable.</w:t>
      </w:r>
    </w:p>
    <w:p w:rsidR="00000000" w:rsidRPr="00C24656" w:rsidP="00C24656">
      <w:pPr>
        <w:pStyle w:val="AllowPageBreak"/>
      </w:pPr>
    </w:p>
    <w:p w:rsidR="00000000" w:rsidRPr="00C24656" w:rsidP="00C24656">
      <w:pPr>
        <w:pStyle w:val="Heading1"/>
      </w:pPr>
      <w:bookmarkStart w:id="13" w:name="O_459957"/>
      <w:bookmarkEnd w:id="13"/>
      <w:r w:rsidRPr="00C24656">
        <w:t>Competency Field</w:t>
      </w:r>
    </w:p>
    <w:tbl>
      <w:tblPr>
        <w:tblW w:w="0" w:type="auto"/>
        <w:tblLayout w:type="fixed"/>
        <w:tblCellMar>
          <w:left w:w="62" w:type="dxa"/>
          <w:right w:w="62" w:type="dxa"/>
        </w:tblCellMar>
        <w:tblLook w:val="0000"/>
      </w:tblPr>
      <w:tblGrid>
        <w:gridCol w:w="2700"/>
        <w:gridCol w:w="5760"/>
      </w:tblGrid>
      <w:tr w:rsidTr="008363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4656">
            <w:pPr>
              <w:pStyle w:val="BodyText"/>
              <w:rPr>
                <w:lang w:val="en-NZ"/>
              </w:rPr>
            </w:pPr>
            <w:r w:rsidRPr="00C24656">
              <w:rPr>
                <w:rStyle w:val="SpecialBold"/>
              </w:rPr>
              <w:t xml:space="preserve">11) </w:t>
            </w:r>
          </w:p>
        </w:tc>
      </w:tr>
      <w:tr w:rsidTr="008363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4656" w:rsidP="00C24656">
            <w:pPr>
              <w:pStyle w:val="BodyText"/>
            </w:pPr>
            <w:r w:rsidRPr="00C24656">
              <w:t>Industry Specific Cross-Discipline Units</w:t>
            </w:r>
          </w:p>
        </w:tc>
      </w:tr>
    </w:tbl>
    <w:p w:rsidR="00000000" w:rsidRPr="00C24656" w:rsidP="00C24656">
      <w:pPr>
        <w:pStyle w:val="BodyText"/>
      </w:pPr>
    </w:p>
    <w:p w:rsidR="00000000" w:rsidRPr="00C24656" w:rsidP="00C24656"/>
    <w:sectPr w:rsidSect="00C246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33D" w:rsidP="008363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3D" w:rsidP="00C246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3633D" w:rsidP="00C246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3633D" w:rsidP="00C246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56" w:rsidRPr="0083633D" w:rsidP="008363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3D" w:rsidRPr="002D2AF8" w:rsidP="00C24656">
    <w:pPr>
      <w:pStyle w:val="Header"/>
      <w:framePr w:wrap="around"/>
    </w:pPr>
    <w:r>
      <w:fldChar w:fldCharType="begin"/>
    </w:r>
    <w:r>
      <w:instrText xml:space="preserve"> TITLE   \* MERGEFORMAT </w:instrText>
    </w:r>
    <w:r>
      <w:fldChar w:fldCharType="separate"/>
    </w:r>
    <w:r>
      <w:t>UETTDRSB39A Perform power system substation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83633D" w:rsidP="00C246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4CC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E23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48A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6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656"/>
    <w:pPr>
      <w:spacing w:before="360" w:after="60"/>
      <w:outlineLvl w:val="0"/>
    </w:pPr>
    <w:rPr>
      <w:sz w:val="32"/>
    </w:rPr>
  </w:style>
  <w:style w:type="paragraph" w:styleId="Heading2">
    <w:name w:val="heading 2"/>
    <w:basedOn w:val="HeadingBase"/>
    <w:next w:val="BodyText"/>
    <w:link w:val="Heading2Char"/>
    <w:qFormat/>
    <w:rsid w:val="00C24656"/>
    <w:pPr>
      <w:keepLines/>
      <w:spacing w:before="240" w:after="120"/>
      <w:outlineLvl w:val="1"/>
    </w:pPr>
    <w:rPr>
      <w:sz w:val="28"/>
      <w:szCs w:val="40"/>
    </w:rPr>
  </w:style>
  <w:style w:type="paragraph" w:styleId="Heading3">
    <w:name w:val="heading 3"/>
    <w:basedOn w:val="HeadingBase"/>
    <w:next w:val="BodyText"/>
    <w:link w:val="Heading3Char"/>
    <w:qFormat/>
    <w:rsid w:val="00C24656"/>
    <w:pPr>
      <w:spacing w:before="180" w:after="120"/>
      <w:outlineLvl w:val="2"/>
    </w:pPr>
    <w:rPr>
      <w:spacing w:val="-10"/>
      <w:kern w:val="32"/>
    </w:rPr>
  </w:style>
  <w:style w:type="paragraph" w:styleId="Heading4">
    <w:name w:val="heading 4"/>
    <w:basedOn w:val="HeadingBase"/>
    <w:next w:val="BodyText"/>
    <w:link w:val="Heading4Char"/>
    <w:qFormat/>
    <w:rsid w:val="00C24656"/>
    <w:pPr>
      <w:spacing w:before="160" w:after="120"/>
      <w:outlineLvl w:val="3"/>
    </w:pPr>
    <w:rPr>
      <w:sz w:val="22"/>
    </w:rPr>
  </w:style>
  <w:style w:type="paragraph" w:styleId="Heading5">
    <w:name w:val="heading 5"/>
    <w:basedOn w:val="HeadingBase"/>
    <w:next w:val="Normal"/>
    <w:link w:val="Heading5Char"/>
    <w:qFormat/>
    <w:rsid w:val="00C24656"/>
    <w:pPr>
      <w:spacing w:before="80"/>
      <w:outlineLvl w:val="4"/>
    </w:pPr>
    <w:rPr>
      <w:color w:val="918585"/>
      <w:sz w:val="20"/>
    </w:rPr>
  </w:style>
  <w:style w:type="paragraph" w:styleId="Heading6">
    <w:name w:val="heading 6"/>
    <w:basedOn w:val="HeadingBase"/>
    <w:next w:val="Normal"/>
    <w:link w:val="Heading6Char"/>
    <w:qFormat/>
    <w:rsid w:val="00C24656"/>
    <w:pPr>
      <w:spacing w:before="60"/>
      <w:outlineLvl w:val="5"/>
    </w:pPr>
    <w:rPr>
      <w:color w:val="918585"/>
      <w:sz w:val="20"/>
    </w:rPr>
  </w:style>
  <w:style w:type="paragraph" w:styleId="Heading7">
    <w:name w:val="heading 7"/>
    <w:basedOn w:val="Normal"/>
    <w:next w:val="Normal"/>
    <w:link w:val="Heading7Char"/>
    <w:qFormat/>
    <w:rsid w:val="00C24656"/>
    <w:pPr>
      <w:ind w:left="720"/>
      <w:outlineLvl w:val="6"/>
    </w:pPr>
    <w:rPr>
      <w:i/>
    </w:rPr>
  </w:style>
  <w:style w:type="paragraph" w:styleId="Heading8">
    <w:name w:val="heading 8"/>
    <w:basedOn w:val="Normal"/>
    <w:next w:val="Normal"/>
    <w:link w:val="Heading8Char"/>
    <w:qFormat/>
    <w:rsid w:val="00C24656"/>
    <w:pPr>
      <w:ind w:left="720"/>
      <w:outlineLvl w:val="7"/>
    </w:pPr>
    <w:rPr>
      <w:i/>
    </w:rPr>
  </w:style>
  <w:style w:type="paragraph" w:styleId="Heading9">
    <w:name w:val="heading 9"/>
    <w:basedOn w:val="Normal"/>
    <w:next w:val="Normal"/>
    <w:link w:val="Heading9Char"/>
    <w:qFormat/>
    <w:rsid w:val="00C24656"/>
    <w:pPr>
      <w:ind w:left="720"/>
      <w:outlineLvl w:val="8"/>
    </w:pPr>
    <w:rPr>
      <w:i/>
    </w:rPr>
  </w:style>
  <w:style w:type="character" w:default="1" w:styleId="DefaultParagraphFont">
    <w:name w:val="Default Paragraph Font"/>
    <w:uiPriority w:val="1"/>
    <w:unhideWhenUsed/>
    <w:rsid w:val="00C24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656"/>
  </w:style>
  <w:style w:type="character" w:customStyle="1" w:styleId="Heading1Char">
    <w:name w:val="Heading 1 Char"/>
    <w:basedOn w:val="DefaultParagraphFont"/>
    <w:link w:val="Heading1"/>
    <w:rsid w:val="00C24656"/>
    <w:rPr>
      <w:rFonts w:ascii="Times New Roman" w:eastAsia="Times New Roman" w:hAnsi="Times New Roman" w:cs="Times New Roman"/>
      <w:b/>
      <w:sz w:val="32"/>
      <w:szCs w:val="20"/>
      <w:lang w:eastAsia="en-US"/>
    </w:rPr>
  </w:style>
  <w:style w:type="paragraph" w:styleId="BodyText">
    <w:name w:val="Body Text"/>
    <w:basedOn w:val="Normal"/>
    <w:link w:val="BodyTextChar"/>
    <w:rsid w:val="00C246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656"/>
    <w:rPr>
      <w:rFonts w:ascii="Times New Roman" w:eastAsia="Times New Roman" w:hAnsi="Times New Roman" w:cs="Times New Roman"/>
      <w:sz w:val="24"/>
      <w:lang w:eastAsia="en-US"/>
    </w:rPr>
  </w:style>
  <w:style w:type="paragraph" w:styleId="Footer">
    <w:name w:val="footer"/>
    <w:basedOn w:val="Normal"/>
    <w:link w:val="FooterChar"/>
    <w:rsid w:val="00C24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656"/>
    <w:rPr>
      <w:rFonts w:ascii="Times New Roman" w:eastAsia="Times New Roman" w:hAnsi="Times New Roman" w:cs="Times New Roman"/>
      <w:sz w:val="16"/>
      <w:lang w:eastAsia="en-US"/>
    </w:rPr>
  </w:style>
  <w:style w:type="paragraph" w:styleId="ListBullet">
    <w:name w:val="List Bullet"/>
    <w:basedOn w:val="List"/>
    <w:rsid w:val="00C24656"/>
    <w:pPr>
      <w:numPr>
        <w:numId w:val="14"/>
      </w:numPr>
      <w:tabs>
        <w:tab w:val="clear" w:pos="340"/>
      </w:tabs>
      <w:spacing w:before="40" w:after="40"/>
    </w:pPr>
  </w:style>
  <w:style w:type="character" w:customStyle="1" w:styleId="SpecialBold">
    <w:name w:val="Special Bold"/>
    <w:basedOn w:val="DefaultParagraphFont"/>
    <w:rsid w:val="00C24656"/>
    <w:rPr>
      <w:b/>
      <w:spacing w:val="0"/>
    </w:rPr>
  </w:style>
  <w:style w:type="paragraph" w:styleId="ListBullet2">
    <w:name w:val="List Bullet 2"/>
    <w:basedOn w:val="List2"/>
    <w:rsid w:val="00C24656"/>
    <w:pPr>
      <w:numPr>
        <w:numId w:val="15"/>
      </w:numPr>
      <w:tabs>
        <w:tab w:val="clear" w:pos="680"/>
      </w:tabs>
    </w:pPr>
  </w:style>
  <w:style w:type="paragraph" w:customStyle="1" w:styleId="SuperHeading">
    <w:name w:val="SuperHeading"/>
    <w:basedOn w:val="Normal"/>
    <w:rsid w:val="00C24656"/>
    <w:pPr>
      <w:spacing w:before="240" w:after="120"/>
      <w:outlineLvl w:val="0"/>
    </w:pPr>
    <w:rPr>
      <w:rFonts w:ascii="Times New Roman" w:hAnsi="Times New Roman"/>
      <w:b/>
      <w:sz w:val="28"/>
    </w:rPr>
  </w:style>
  <w:style w:type="paragraph" w:customStyle="1" w:styleId="AllowPageBreak">
    <w:name w:val="AllowPageBreak"/>
    <w:rsid w:val="00C246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4656"/>
    <w:pPr>
      <w:numPr>
        <w:numId w:val="3"/>
      </w:numPr>
      <w:tabs>
        <w:tab w:val="clear" w:pos="1021"/>
      </w:tabs>
      <w:ind w:left="1037" w:hanging="357"/>
    </w:pPr>
  </w:style>
  <w:style w:type="character" w:customStyle="1" w:styleId="Heading2Char">
    <w:name w:val="Heading 2 Char"/>
    <w:basedOn w:val="DefaultParagraphFont"/>
    <w:link w:val="Heading2"/>
    <w:rsid w:val="00C24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6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6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6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6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656"/>
    <w:rPr>
      <w:rFonts w:ascii="Courier New" w:eastAsia="Times New Roman" w:hAnsi="Courier New" w:cs="Times New Roman"/>
      <w:i/>
      <w:szCs w:val="20"/>
      <w:lang w:eastAsia="en-US"/>
    </w:rPr>
  </w:style>
  <w:style w:type="paragraph" w:customStyle="1" w:styleId="HeadingBase">
    <w:name w:val="Heading Base"/>
    <w:rsid w:val="00C24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656"/>
    <w:pPr>
      <w:tabs>
        <w:tab w:val="right" w:leader="dot" w:pos="9072"/>
      </w:tabs>
      <w:ind w:left="567"/>
    </w:pPr>
    <w:rPr>
      <w:szCs w:val="22"/>
    </w:rPr>
  </w:style>
  <w:style w:type="paragraph" w:customStyle="1" w:styleId="TOCBase">
    <w:name w:val="TOC Base"/>
    <w:rsid w:val="00C24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656"/>
    <w:pPr>
      <w:tabs>
        <w:tab w:val="right" w:leader="dot" w:pos="9072"/>
      </w:tabs>
      <w:spacing w:before="40" w:after="40"/>
      <w:ind w:left="284"/>
    </w:pPr>
    <w:rPr>
      <w:rFonts w:ascii="Times New Roman" w:hAnsi="Times New Roman"/>
    </w:rPr>
  </w:style>
  <w:style w:type="paragraph" w:styleId="TOC1">
    <w:name w:val="toc 1"/>
    <w:basedOn w:val="TOCBase"/>
    <w:next w:val="Normal"/>
    <w:rsid w:val="00C246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656"/>
    <w:pPr>
      <w:spacing w:before="5040"/>
      <w:jc w:val="center"/>
    </w:pPr>
    <w:rPr>
      <w:sz w:val="48"/>
      <w:szCs w:val="72"/>
      <w:lang w:val="en-US"/>
    </w:rPr>
  </w:style>
  <w:style w:type="character" w:customStyle="1" w:styleId="TitleChar">
    <w:name w:val="Title Char"/>
    <w:basedOn w:val="DefaultParagraphFont"/>
    <w:link w:val="Title"/>
    <w:rsid w:val="00C24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656"/>
    <w:pPr>
      <w:tabs>
        <w:tab w:val="left" w:pos="3600"/>
        <w:tab w:val="left" w:pos="3958"/>
      </w:tabs>
    </w:pPr>
  </w:style>
  <w:style w:type="paragraph" w:styleId="List">
    <w:name w:val="List"/>
    <w:basedOn w:val="BodyText"/>
    <w:next w:val="BodyText"/>
    <w:rsid w:val="00C24656"/>
    <w:pPr>
      <w:tabs>
        <w:tab w:val="left" w:pos="340"/>
      </w:tabs>
      <w:spacing w:before="60" w:after="60"/>
      <w:ind w:left="340" w:hanging="340"/>
    </w:pPr>
  </w:style>
  <w:style w:type="paragraph" w:customStyle="1" w:styleId="Note">
    <w:name w:val="Note"/>
    <w:basedOn w:val="BodyText"/>
    <w:rsid w:val="00C246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656"/>
    <w:pPr>
      <w:framePr w:wrap="auto" w:hAnchor="text" w:y="6049"/>
    </w:pPr>
    <w:rPr>
      <w:color w:val="000000"/>
      <w:sz w:val="40"/>
    </w:rPr>
  </w:style>
  <w:style w:type="paragraph" w:customStyle="1" w:styleId="TOCTitle">
    <w:name w:val="TOCTitle"/>
    <w:basedOn w:val="Heading1"/>
    <w:rsid w:val="00C24656"/>
    <w:pPr>
      <w:spacing w:after="240"/>
      <w:jc w:val="center"/>
      <w:outlineLvl w:val="9"/>
    </w:pPr>
    <w:rPr>
      <w:caps/>
    </w:rPr>
  </w:style>
  <w:style w:type="paragraph" w:customStyle="1" w:styleId="Version">
    <w:name w:val="Version"/>
    <w:rsid w:val="00C246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4656"/>
    <w:pPr>
      <w:keepNext w:val="0"/>
      <w:tabs>
        <w:tab w:val="right" w:pos="4176"/>
      </w:tabs>
      <w:ind w:left="198" w:hanging="198"/>
    </w:pPr>
    <w:rPr>
      <w:rFonts w:ascii="Garamond" w:hAnsi="Garamond"/>
    </w:rPr>
  </w:style>
  <w:style w:type="paragraph" w:styleId="IndexHeading">
    <w:name w:val="index heading"/>
    <w:basedOn w:val="Normal"/>
    <w:next w:val="Index1"/>
    <w:semiHidden/>
    <w:rsid w:val="00C24656"/>
    <w:pPr>
      <w:spacing w:before="120" w:after="120"/>
    </w:pPr>
    <w:rPr>
      <w:rFonts w:ascii="Arial" w:hAnsi="Arial"/>
      <w:b/>
      <w:color w:val="918585"/>
      <w:sz w:val="24"/>
    </w:rPr>
  </w:style>
  <w:style w:type="paragraph" w:styleId="Header">
    <w:name w:val="header"/>
    <w:basedOn w:val="Normal"/>
    <w:link w:val="HeaderChar"/>
    <w:rsid w:val="00C24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656"/>
    <w:rPr>
      <w:rFonts w:ascii="Times New Roman" w:eastAsia="Times New Roman" w:hAnsi="Times New Roman" w:cs="Times New Roman"/>
      <w:sz w:val="16"/>
      <w:szCs w:val="20"/>
      <w:lang w:val="en-GB" w:eastAsia="en-US"/>
    </w:rPr>
  </w:style>
  <w:style w:type="paragraph" w:customStyle="1" w:styleId="Chapter">
    <w:name w:val="Chapter"/>
    <w:basedOn w:val="Normal"/>
    <w:rsid w:val="00C24656"/>
    <w:pPr>
      <w:spacing w:before="240"/>
    </w:pPr>
    <w:rPr>
      <w:rFonts w:ascii="Times New Roman" w:hAnsi="Times New Roman"/>
      <w:smallCaps/>
      <w:spacing w:val="80"/>
      <w:sz w:val="28"/>
    </w:rPr>
  </w:style>
  <w:style w:type="paragraph" w:customStyle="1" w:styleId="InChapter">
    <w:name w:val="InChapter"/>
    <w:basedOn w:val="Heading3"/>
    <w:rsid w:val="00C24656"/>
    <w:pPr>
      <w:spacing w:after="240"/>
      <w:outlineLvl w:val="9"/>
    </w:pPr>
    <w:rPr>
      <w:noProof/>
    </w:rPr>
  </w:style>
  <w:style w:type="paragraph" w:styleId="Index2">
    <w:name w:val="index 2"/>
    <w:basedOn w:val="Normal"/>
    <w:next w:val="Normal"/>
    <w:semiHidden/>
    <w:rsid w:val="00C24656"/>
    <w:pPr>
      <w:tabs>
        <w:tab w:val="right" w:pos="4176"/>
      </w:tabs>
      <w:ind w:left="568" w:hanging="284"/>
    </w:pPr>
    <w:rPr>
      <w:rFonts w:ascii="Garamond" w:hAnsi="Garamond"/>
    </w:rPr>
  </w:style>
  <w:style w:type="paragraph" w:customStyle="1" w:styleId="Byline">
    <w:name w:val="Byline"/>
    <w:rsid w:val="00C24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656"/>
    <w:pPr>
      <w:tabs>
        <w:tab w:val="clear" w:pos="3600"/>
        <w:tab w:val="clear" w:pos="3958"/>
      </w:tabs>
      <w:jc w:val="right"/>
    </w:pPr>
  </w:style>
  <w:style w:type="character" w:styleId="Emphasis">
    <w:name w:val="Emphasis"/>
    <w:basedOn w:val="DefaultParagraphFont"/>
    <w:qFormat/>
    <w:rsid w:val="00C24656"/>
    <w:rPr>
      <w:i/>
    </w:rPr>
  </w:style>
  <w:style w:type="paragraph" w:styleId="Caption">
    <w:name w:val="caption"/>
    <w:basedOn w:val="BodyText"/>
    <w:next w:val="Normal"/>
    <w:qFormat/>
    <w:rsid w:val="00C24656"/>
    <w:pPr>
      <w:framePr w:w="2268" w:hSpace="181" w:vSpace="181" w:wrap="around" w:vAnchor="text" w:hAnchor="page" w:x="1135" w:y="285" w:anchorLock="1"/>
    </w:pPr>
    <w:rPr>
      <w:i/>
    </w:rPr>
  </w:style>
  <w:style w:type="paragraph" w:customStyle="1" w:styleId="MiniTOCTitle">
    <w:name w:val="MiniTOCTitle"/>
    <w:basedOn w:val="Heading4"/>
    <w:rsid w:val="00C24656"/>
    <w:pPr>
      <w:spacing w:before="240"/>
      <w:outlineLvl w:val="9"/>
    </w:pPr>
    <w:rPr>
      <w:noProof/>
      <w:sz w:val="24"/>
    </w:rPr>
  </w:style>
  <w:style w:type="paragraph" w:customStyle="1" w:styleId="MiniTOCItem">
    <w:name w:val="MiniTOCItem"/>
    <w:basedOn w:val="ListBullet"/>
    <w:rsid w:val="00C24656"/>
    <w:pPr>
      <w:numPr>
        <w:numId w:val="0"/>
      </w:numPr>
      <w:tabs>
        <w:tab w:val="right" w:leader="dot" w:pos="6521"/>
      </w:tabs>
      <w:spacing w:before="0" w:after="0"/>
    </w:pPr>
  </w:style>
  <w:style w:type="paragraph" w:customStyle="1" w:styleId="TOFTitle">
    <w:name w:val="TOFTitle"/>
    <w:basedOn w:val="TOCTitle"/>
    <w:rsid w:val="00C24656"/>
  </w:style>
  <w:style w:type="paragraph" w:styleId="TableofFigures">
    <w:name w:val="table of figures"/>
    <w:basedOn w:val="Normal"/>
    <w:next w:val="Normal"/>
    <w:semiHidden/>
    <w:rsid w:val="00C24656"/>
    <w:pPr>
      <w:tabs>
        <w:tab w:val="right" w:leader="dot" w:pos="9072"/>
      </w:tabs>
      <w:ind w:left="970" w:hanging="403"/>
    </w:pPr>
    <w:rPr>
      <w:rFonts w:ascii="Times New Roman" w:hAnsi="Times New Roman"/>
      <w:b/>
    </w:rPr>
  </w:style>
  <w:style w:type="paragraph" w:styleId="ListNumber">
    <w:name w:val="List Number"/>
    <w:basedOn w:val="List"/>
    <w:rsid w:val="00C24656"/>
    <w:pPr>
      <w:numPr>
        <w:numId w:val="12"/>
      </w:numPr>
    </w:pPr>
  </w:style>
  <w:style w:type="character" w:customStyle="1" w:styleId="WingdingSymbols">
    <w:name w:val="Wingding Symbols"/>
    <w:rsid w:val="00C24656"/>
    <w:rPr>
      <w:rFonts w:ascii="Wingdings" w:hAnsi="Wingdings"/>
    </w:rPr>
  </w:style>
  <w:style w:type="paragraph" w:customStyle="1" w:styleId="TableHeading">
    <w:name w:val="Table Heading"/>
    <w:basedOn w:val="HeadingBase"/>
    <w:rsid w:val="00C24656"/>
    <w:pPr>
      <w:keepLines/>
      <w:pBdr>
        <w:bottom w:val="single" w:sz="6" w:space="1" w:color="918585"/>
      </w:pBdr>
      <w:spacing w:before="240"/>
    </w:pPr>
  </w:style>
  <w:style w:type="character" w:customStyle="1" w:styleId="HotSpot">
    <w:name w:val="HotSpot"/>
    <w:rsid w:val="00C24656"/>
    <w:rPr>
      <w:color w:val="0033CC"/>
      <w:u w:val="none"/>
    </w:rPr>
  </w:style>
  <w:style w:type="paragraph" w:customStyle="1" w:styleId="BodyTextRight">
    <w:name w:val="Body Text Right"/>
    <w:basedOn w:val="BodyText"/>
    <w:rsid w:val="00C24656"/>
    <w:pPr>
      <w:spacing w:before="0" w:after="0"/>
      <w:jc w:val="right"/>
    </w:pPr>
  </w:style>
  <w:style w:type="paragraph" w:styleId="Index3">
    <w:name w:val="index 3"/>
    <w:basedOn w:val="ListNumber2"/>
    <w:next w:val="Normal"/>
    <w:semiHidden/>
    <w:rsid w:val="00C24656"/>
    <w:pPr>
      <w:numPr>
        <w:numId w:val="0"/>
      </w:numPr>
      <w:tabs>
        <w:tab w:val="right" w:leader="dot" w:pos="4176"/>
      </w:tabs>
    </w:pPr>
  </w:style>
  <w:style w:type="paragraph" w:styleId="ListNumber2">
    <w:name w:val="List Number 2"/>
    <w:basedOn w:val="List2"/>
    <w:rsid w:val="00C24656"/>
    <w:pPr>
      <w:numPr>
        <w:numId w:val="11"/>
      </w:numPr>
      <w:tabs>
        <w:tab w:val="clear" w:pos="1060"/>
      </w:tabs>
    </w:pPr>
  </w:style>
  <w:style w:type="paragraph" w:customStyle="1" w:styleId="MarginNote">
    <w:name w:val="Margin Note"/>
    <w:basedOn w:val="BodyText"/>
    <w:rsid w:val="00C24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6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656"/>
    <w:rPr>
      <w:sz w:val="32"/>
    </w:rPr>
  </w:style>
  <w:style w:type="paragraph" w:customStyle="1" w:styleId="HeadingProcedure">
    <w:name w:val="Heading Procedure"/>
    <w:basedOn w:val="HeadingBase"/>
    <w:next w:val="Normal"/>
    <w:rsid w:val="00C24656"/>
    <w:pPr>
      <w:tabs>
        <w:tab w:val="left" w:pos="0"/>
      </w:tabs>
      <w:spacing w:before="120" w:after="60"/>
    </w:pPr>
    <w:rPr>
      <w:i/>
      <w:color w:val="918585"/>
      <w:sz w:val="22"/>
    </w:rPr>
  </w:style>
  <w:style w:type="paragraph" w:customStyle="1" w:styleId="TableBodyText">
    <w:name w:val="Table Body Text"/>
    <w:basedOn w:val="BodyText"/>
    <w:rsid w:val="00C24656"/>
    <w:pPr>
      <w:spacing w:before="60" w:after="60"/>
    </w:pPr>
  </w:style>
  <w:style w:type="paragraph" w:styleId="ListContinue">
    <w:name w:val="List Continue"/>
    <w:basedOn w:val="List"/>
    <w:rsid w:val="00C24656"/>
    <w:pPr>
      <w:ind w:firstLine="0"/>
    </w:pPr>
  </w:style>
  <w:style w:type="paragraph" w:customStyle="1" w:styleId="ListNote">
    <w:name w:val="List Note"/>
    <w:basedOn w:val="List"/>
    <w:rsid w:val="00C24656"/>
    <w:pPr>
      <w:pBdr>
        <w:top w:val="single" w:sz="6" w:space="2" w:color="918585"/>
        <w:bottom w:val="single" w:sz="6" w:space="2" w:color="918585"/>
      </w:pBdr>
      <w:tabs>
        <w:tab w:val="left" w:pos="1021"/>
      </w:tabs>
      <w:ind w:firstLine="0"/>
    </w:pPr>
  </w:style>
  <w:style w:type="paragraph" w:customStyle="1" w:styleId="Warning">
    <w:name w:val="Warning"/>
    <w:basedOn w:val="BodyText"/>
    <w:rsid w:val="00C24656"/>
    <w:pPr>
      <w:shd w:val="clear" w:color="auto" w:fill="D9D9D9"/>
      <w:tabs>
        <w:tab w:val="left" w:pos="992"/>
      </w:tabs>
      <w:ind w:left="119" w:right="119"/>
    </w:pPr>
    <w:rPr>
      <w:sz w:val="20"/>
    </w:rPr>
  </w:style>
  <w:style w:type="paragraph" w:customStyle="1" w:styleId="MarginIcons">
    <w:name w:val="Margin Icons"/>
    <w:basedOn w:val="BodyText"/>
    <w:rsid w:val="00C24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656"/>
    <w:rPr>
      <w:rFonts w:ascii="Courier New" w:hAnsi="Courier New"/>
    </w:rPr>
  </w:style>
  <w:style w:type="paragraph" w:customStyle="1" w:styleId="NoteBullet">
    <w:name w:val="Note Bullet"/>
    <w:basedOn w:val="Note"/>
    <w:rsid w:val="00C24656"/>
    <w:pPr>
      <w:tabs>
        <w:tab w:val="clear" w:pos="680"/>
      </w:tabs>
      <w:spacing w:before="60" w:after="60"/>
    </w:pPr>
  </w:style>
  <w:style w:type="paragraph" w:customStyle="1" w:styleId="SubHeading2">
    <w:name w:val="SubHeading2"/>
    <w:basedOn w:val="HeadingBase"/>
    <w:rsid w:val="00C24656"/>
    <w:pPr>
      <w:spacing w:before="240" w:after="60"/>
    </w:pPr>
    <w:rPr>
      <w:sz w:val="20"/>
    </w:rPr>
  </w:style>
  <w:style w:type="paragraph" w:customStyle="1" w:styleId="SubHeading1">
    <w:name w:val="SubHeading1"/>
    <w:basedOn w:val="HeadingBase"/>
    <w:rsid w:val="00C24656"/>
    <w:pPr>
      <w:spacing w:before="240" w:after="60"/>
    </w:pPr>
    <w:rPr>
      <w:color w:val="918585"/>
      <w:sz w:val="22"/>
    </w:rPr>
  </w:style>
  <w:style w:type="paragraph" w:customStyle="1" w:styleId="SideHeading">
    <w:name w:val="Side Heading"/>
    <w:basedOn w:val="HeadingBase"/>
    <w:rsid w:val="00C24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656"/>
    <w:pPr>
      <w:numPr>
        <w:numId w:val="13"/>
      </w:numPr>
    </w:pPr>
  </w:style>
  <w:style w:type="paragraph" w:styleId="PlainText">
    <w:name w:val="Plain Text"/>
    <w:basedOn w:val="Normal"/>
    <w:link w:val="PlainTextChar"/>
    <w:rsid w:val="00C24656"/>
    <w:rPr>
      <w:sz w:val="20"/>
    </w:rPr>
  </w:style>
  <w:style w:type="character" w:customStyle="1" w:styleId="PlainTextChar">
    <w:name w:val="Plain Text Char"/>
    <w:basedOn w:val="DefaultParagraphFont"/>
    <w:link w:val="PlainText"/>
    <w:rsid w:val="00C24656"/>
    <w:rPr>
      <w:rFonts w:ascii="Courier New" w:eastAsia="Times New Roman" w:hAnsi="Courier New" w:cs="Times New Roman"/>
      <w:sz w:val="20"/>
      <w:szCs w:val="20"/>
      <w:lang w:eastAsia="en-US"/>
    </w:rPr>
  </w:style>
  <w:style w:type="character" w:customStyle="1" w:styleId="MenuOption">
    <w:name w:val="Menu Option"/>
    <w:basedOn w:val="DefaultParagraphFont"/>
    <w:rsid w:val="00C24656"/>
    <w:rPr>
      <w:b/>
      <w:smallCaps/>
    </w:rPr>
  </w:style>
  <w:style w:type="paragraph" w:customStyle="1" w:styleId="TableListNumber">
    <w:name w:val="Table List Number"/>
    <w:basedOn w:val="ListNumber"/>
    <w:rsid w:val="00C24656"/>
    <w:pPr>
      <w:numPr>
        <w:numId w:val="0"/>
      </w:numPr>
    </w:pPr>
  </w:style>
  <w:style w:type="paragraph" w:styleId="TOC4">
    <w:name w:val="toc 4"/>
    <w:basedOn w:val="TOCBase"/>
    <w:next w:val="Normal"/>
    <w:semiHidden/>
    <w:rsid w:val="00C24656"/>
    <w:pPr>
      <w:tabs>
        <w:tab w:val="right" w:leader="dot" w:pos="9071"/>
      </w:tabs>
      <w:ind w:left="1701"/>
    </w:pPr>
  </w:style>
  <w:style w:type="paragraph" w:customStyle="1" w:styleId="ListAlpha">
    <w:name w:val="List Alpha"/>
    <w:basedOn w:val="List"/>
    <w:rsid w:val="00C24656"/>
    <w:pPr>
      <w:numPr>
        <w:numId w:val="10"/>
      </w:numPr>
    </w:pPr>
  </w:style>
  <w:style w:type="paragraph" w:customStyle="1" w:styleId="ListAlpha2">
    <w:name w:val="List Alpha 2"/>
    <w:basedOn w:val="List2"/>
    <w:rsid w:val="00C24656"/>
    <w:pPr>
      <w:numPr>
        <w:numId w:val="9"/>
      </w:numPr>
    </w:pPr>
  </w:style>
  <w:style w:type="paragraph" w:styleId="List2">
    <w:name w:val="List 2"/>
    <w:basedOn w:val="BodyText"/>
    <w:rsid w:val="00C24656"/>
    <w:pPr>
      <w:tabs>
        <w:tab w:val="left" w:pos="680"/>
      </w:tabs>
      <w:spacing w:before="60" w:after="60"/>
      <w:ind w:left="680" w:hanging="340"/>
    </w:pPr>
  </w:style>
  <w:style w:type="paragraph" w:styleId="List3">
    <w:name w:val="List 3"/>
    <w:basedOn w:val="BodyText"/>
    <w:rsid w:val="00C24656"/>
    <w:pPr>
      <w:tabs>
        <w:tab w:val="left" w:pos="1021"/>
      </w:tabs>
      <w:spacing w:before="60" w:after="60"/>
      <w:ind w:left="1020" w:hanging="340"/>
    </w:pPr>
  </w:style>
  <w:style w:type="paragraph" w:styleId="List4">
    <w:name w:val="List 4"/>
    <w:basedOn w:val="BodyText"/>
    <w:rsid w:val="00C24656"/>
    <w:pPr>
      <w:tabs>
        <w:tab w:val="left" w:pos="1361"/>
      </w:tabs>
      <w:spacing w:before="60" w:after="60"/>
      <w:ind w:left="1361" w:hanging="340"/>
    </w:pPr>
  </w:style>
  <w:style w:type="paragraph" w:styleId="List5">
    <w:name w:val="List 5"/>
    <w:basedOn w:val="BodyText"/>
    <w:rsid w:val="00C24656"/>
    <w:pPr>
      <w:tabs>
        <w:tab w:val="left" w:pos="1701"/>
      </w:tabs>
      <w:spacing w:before="60" w:after="60"/>
      <w:ind w:left="1701" w:hanging="340"/>
    </w:pPr>
  </w:style>
  <w:style w:type="paragraph" w:styleId="ListBullet4">
    <w:name w:val="List Bullet 4"/>
    <w:basedOn w:val="List4"/>
    <w:rsid w:val="00C24656"/>
    <w:pPr>
      <w:numPr>
        <w:numId w:val="4"/>
      </w:numPr>
    </w:pPr>
  </w:style>
  <w:style w:type="paragraph" w:styleId="ListBullet5">
    <w:name w:val="List Bullet 5"/>
    <w:basedOn w:val="List5"/>
    <w:rsid w:val="00C24656"/>
    <w:pPr>
      <w:numPr>
        <w:numId w:val="5"/>
      </w:numPr>
    </w:pPr>
  </w:style>
  <w:style w:type="paragraph" w:styleId="ListContinue2">
    <w:name w:val="List Continue 2"/>
    <w:basedOn w:val="List2"/>
    <w:rsid w:val="00C24656"/>
    <w:pPr>
      <w:ind w:firstLine="0"/>
    </w:pPr>
  </w:style>
  <w:style w:type="paragraph" w:styleId="ListContinue3">
    <w:name w:val="List Continue 3"/>
    <w:basedOn w:val="List3"/>
    <w:rsid w:val="00C24656"/>
    <w:pPr>
      <w:ind w:left="1021" w:firstLine="0"/>
    </w:pPr>
  </w:style>
  <w:style w:type="paragraph" w:styleId="ListContinue4">
    <w:name w:val="List Continue 4"/>
    <w:basedOn w:val="List4"/>
    <w:rsid w:val="00C24656"/>
    <w:pPr>
      <w:ind w:firstLine="0"/>
    </w:pPr>
  </w:style>
  <w:style w:type="paragraph" w:styleId="ListContinue5">
    <w:name w:val="List Continue 5"/>
    <w:basedOn w:val="List5"/>
    <w:rsid w:val="00C24656"/>
    <w:pPr>
      <w:ind w:firstLine="0"/>
    </w:pPr>
  </w:style>
  <w:style w:type="paragraph" w:styleId="ListNumber3">
    <w:name w:val="List Number 3"/>
    <w:basedOn w:val="List3"/>
    <w:rsid w:val="00C24656"/>
    <w:pPr>
      <w:numPr>
        <w:numId w:val="6"/>
      </w:numPr>
    </w:pPr>
  </w:style>
  <w:style w:type="paragraph" w:styleId="ListNumber4">
    <w:name w:val="List Number 4"/>
    <w:basedOn w:val="List4"/>
    <w:rsid w:val="00C24656"/>
    <w:pPr>
      <w:numPr>
        <w:numId w:val="7"/>
      </w:numPr>
    </w:pPr>
  </w:style>
  <w:style w:type="paragraph" w:styleId="ListNumber5">
    <w:name w:val="List Number 5"/>
    <w:basedOn w:val="List5"/>
    <w:rsid w:val="00C24656"/>
    <w:pPr>
      <w:numPr>
        <w:numId w:val="8"/>
      </w:numPr>
    </w:pPr>
  </w:style>
  <w:style w:type="paragraph" w:styleId="BlockText">
    <w:name w:val="Block Text"/>
    <w:basedOn w:val="Normal"/>
    <w:rsid w:val="00C24656"/>
    <w:pPr>
      <w:spacing w:after="120"/>
      <w:ind w:left="1440" w:right="1440"/>
    </w:pPr>
  </w:style>
  <w:style w:type="character" w:customStyle="1" w:styleId="Subscript">
    <w:name w:val="Subscript"/>
    <w:basedOn w:val="DefaultParagraphFont"/>
    <w:rsid w:val="00C24656"/>
    <w:rPr>
      <w:sz w:val="16"/>
      <w:vertAlign w:val="subscript"/>
    </w:rPr>
  </w:style>
  <w:style w:type="character" w:customStyle="1" w:styleId="Superscript">
    <w:name w:val="Superscript"/>
    <w:basedOn w:val="DefaultParagraphFont"/>
    <w:rsid w:val="00C24656"/>
    <w:rPr>
      <w:sz w:val="16"/>
      <w:vertAlign w:val="superscript"/>
    </w:rPr>
  </w:style>
  <w:style w:type="character" w:customStyle="1" w:styleId="Symbols">
    <w:name w:val="Symbols"/>
    <w:basedOn w:val="DefaultParagraphFont"/>
    <w:rsid w:val="00C24656"/>
    <w:rPr>
      <w:rFonts w:ascii="Symbol" w:hAnsi="Symbol"/>
    </w:rPr>
  </w:style>
  <w:style w:type="character" w:customStyle="1" w:styleId="MenuOptions">
    <w:name w:val="Menu Options"/>
    <w:basedOn w:val="DefaultParagraphFont"/>
    <w:rsid w:val="00C24656"/>
    <w:rPr>
      <w:rFonts w:ascii="Arial Narrow" w:hAnsi="Arial Narrow"/>
      <w:smallCaps/>
    </w:rPr>
  </w:style>
  <w:style w:type="character" w:customStyle="1" w:styleId="Buttons">
    <w:name w:val="Buttons"/>
    <w:basedOn w:val="DefaultParagraphFont"/>
    <w:rsid w:val="00C24656"/>
    <w:rPr>
      <w:b/>
    </w:rPr>
  </w:style>
  <w:style w:type="character" w:customStyle="1" w:styleId="Underlined">
    <w:name w:val="Underlined"/>
    <w:basedOn w:val="DefaultParagraphFont"/>
    <w:rsid w:val="00C24656"/>
    <w:rPr>
      <w:u w:val="single"/>
    </w:rPr>
  </w:style>
  <w:style w:type="paragraph" w:customStyle="1" w:styleId="TableBodyTextRight">
    <w:name w:val="Table Body Text Right"/>
    <w:basedOn w:val="TableBodyText"/>
    <w:rsid w:val="00C24656"/>
    <w:pPr>
      <w:widowControl w:val="0"/>
      <w:autoSpaceDE w:val="0"/>
      <w:autoSpaceDN w:val="0"/>
      <w:adjustRightInd w:val="0"/>
      <w:jc w:val="right"/>
    </w:pPr>
    <w:rPr>
      <w:rFonts w:cs="Arial"/>
      <w:szCs w:val="18"/>
    </w:rPr>
  </w:style>
  <w:style w:type="paragraph" w:customStyle="1" w:styleId="CopyrightText">
    <w:name w:val="Copyright Text"/>
    <w:basedOn w:val="BodyText"/>
    <w:rsid w:val="00C24656"/>
    <w:rPr>
      <w:sz w:val="18"/>
    </w:rPr>
  </w:style>
  <w:style w:type="paragraph" w:customStyle="1" w:styleId="BodySmallRight">
    <w:name w:val="Body Small Right"/>
    <w:basedOn w:val="BodyTextRight"/>
    <w:rsid w:val="00C24656"/>
    <w:rPr>
      <w:sz w:val="18"/>
      <w:szCs w:val="18"/>
    </w:rPr>
  </w:style>
  <w:style w:type="paragraph" w:customStyle="1" w:styleId="MarginEdition">
    <w:name w:val="Margin Edition"/>
    <w:basedOn w:val="MarginNote"/>
    <w:rsid w:val="00C24656"/>
    <w:pPr>
      <w:spacing w:before="0" w:after="0"/>
    </w:pPr>
    <w:rPr>
      <w:rFonts w:ascii="Times New Roman" w:hAnsi="Times New Roman"/>
      <w:color w:val="999999"/>
    </w:rPr>
  </w:style>
  <w:style w:type="paragraph" w:customStyle="1" w:styleId="Spacer">
    <w:name w:val="Spacer"/>
    <w:basedOn w:val="Normal"/>
    <w:rsid w:val="00C24656"/>
    <w:rPr>
      <w:sz w:val="2"/>
      <w:szCs w:val="2"/>
    </w:rPr>
  </w:style>
  <w:style w:type="character" w:customStyle="1" w:styleId="Small">
    <w:name w:val="Small"/>
    <w:basedOn w:val="DefaultParagraphFont"/>
    <w:rsid w:val="00C24656"/>
    <w:rPr>
      <w:sz w:val="16"/>
    </w:rPr>
  </w:style>
  <w:style w:type="paragraph" w:customStyle="1" w:styleId="WideTable">
    <w:name w:val="Wide Table"/>
    <w:basedOn w:val="Normal"/>
    <w:rsid w:val="00C24656"/>
    <w:pPr>
      <w:ind w:left="-1418"/>
    </w:pPr>
    <w:rPr>
      <w:sz w:val="2"/>
      <w:szCs w:val="2"/>
    </w:rPr>
  </w:style>
  <w:style w:type="character" w:styleId="PageNumber">
    <w:name w:val="page number"/>
    <w:basedOn w:val="DefaultParagraphFont"/>
    <w:rsid w:val="00C24656"/>
  </w:style>
  <w:style w:type="paragraph" w:styleId="Quote">
    <w:name w:val="Quote"/>
    <w:basedOn w:val="Heading1"/>
    <w:link w:val="QuoteChar"/>
    <w:qFormat/>
    <w:rsid w:val="00C24656"/>
    <w:rPr>
      <w:b w:val="0"/>
      <w:sz w:val="72"/>
      <w:szCs w:val="72"/>
      <w:lang w:val="en-NZ"/>
    </w:rPr>
  </w:style>
  <w:style w:type="character" w:customStyle="1" w:styleId="QuoteChar">
    <w:name w:val="Quote Char"/>
    <w:basedOn w:val="DefaultParagraphFont"/>
    <w:link w:val="Quote"/>
    <w:rsid w:val="00C24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656"/>
    <w:pPr>
      <w:pageBreakBefore/>
    </w:pPr>
  </w:style>
  <w:style w:type="paragraph" w:customStyle="1" w:styleId="Border">
    <w:name w:val="Border"/>
    <w:basedOn w:val="Normal"/>
    <w:qFormat/>
    <w:rsid w:val="00C24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656"/>
    <w:rPr>
      <w:b/>
      <w:bCs/>
      <w:i/>
      <w:iCs/>
      <w:color w:val="auto"/>
    </w:rPr>
  </w:style>
  <w:style w:type="paragraph" w:styleId="IntenseQuote">
    <w:name w:val="Intense Quote"/>
    <w:basedOn w:val="Normal"/>
    <w:next w:val="Normal"/>
    <w:link w:val="IntenseQuoteChar"/>
    <w:uiPriority w:val="30"/>
    <w:qFormat/>
    <w:rsid w:val="00C24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6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656"/>
    <w:rPr>
      <w:smallCaps/>
      <w:color w:val="auto"/>
      <w:u w:val="single"/>
    </w:rPr>
  </w:style>
  <w:style w:type="character" w:styleId="IntenseReference">
    <w:name w:val="Intense Reference"/>
    <w:basedOn w:val="DefaultParagraphFont"/>
    <w:uiPriority w:val="32"/>
    <w:qFormat/>
    <w:rsid w:val="00C24656"/>
    <w:rPr>
      <w:b/>
      <w:bCs/>
      <w:smallCaps/>
      <w:color w:val="auto"/>
      <w:spacing w:val="5"/>
      <w:u w:val="single"/>
    </w:rPr>
  </w:style>
  <w:style w:type="paragraph" w:customStyle="1" w:styleId="2ColumnHeading">
    <w:name w:val="2Column Heading"/>
    <w:basedOn w:val="BodyText"/>
    <w:qFormat/>
    <w:rsid w:val="00C24656"/>
    <w:pPr>
      <w:spacing w:after="60"/>
      <w:ind w:left="-2268"/>
    </w:pPr>
    <w:rPr>
      <w:b/>
    </w:rPr>
  </w:style>
  <w:style w:type="paragraph" w:customStyle="1" w:styleId="Heading1TOC">
    <w:name w:val="Heading1 TOC"/>
    <w:basedOn w:val="Normal"/>
    <w:qFormat/>
    <w:rsid w:val="00C24656"/>
    <w:pPr>
      <w:spacing w:before="240" w:after="120"/>
    </w:pPr>
    <w:rPr>
      <w:rFonts w:ascii="Times New Roman" w:hAnsi="Times New Roman"/>
      <w:b/>
      <w:sz w:val="32"/>
    </w:rPr>
  </w:style>
  <w:style w:type="paragraph" w:customStyle="1" w:styleId="Heading2TOC">
    <w:name w:val="Heading2 TOC"/>
    <w:basedOn w:val="Normal"/>
    <w:qFormat/>
    <w:rsid w:val="00C24656"/>
    <w:pPr>
      <w:spacing w:before="240" w:after="60"/>
    </w:pPr>
    <w:rPr>
      <w:rFonts w:ascii="Times New Roman" w:hAnsi="Times New Roman"/>
      <w:b/>
      <w:sz w:val="28"/>
    </w:rPr>
  </w:style>
  <w:style w:type="character" w:customStyle="1" w:styleId="Underline">
    <w:name w:val="Underline"/>
    <w:basedOn w:val="DefaultParagraphFont"/>
    <w:qFormat/>
    <w:rsid w:val="00C24656"/>
    <w:rPr>
      <w:u w:val="single"/>
    </w:rPr>
  </w:style>
  <w:style w:type="character" w:customStyle="1" w:styleId="BoldandItalics">
    <w:name w:val="Bold and Italics"/>
    <w:qFormat/>
    <w:rsid w:val="00C24656"/>
    <w:rPr>
      <w:b/>
      <w:i/>
      <w:u w:val="none"/>
    </w:rPr>
  </w:style>
  <w:style w:type="paragraph" w:styleId="BalloonText">
    <w:name w:val="Balloon Text"/>
    <w:basedOn w:val="Normal"/>
    <w:link w:val="BalloonTextChar"/>
    <w:rsid w:val="00C24656"/>
    <w:rPr>
      <w:rFonts w:ascii="Tahoma" w:hAnsi="Tahoma" w:cs="Tahoma"/>
      <w:sz w:val="16"/>
      <w:szCs w:val="16"/>
    </w:rPr>
  </w:style>
  <w:style w:type="character" w:customStyle="1" w:styleId="BalloonTextChar">
    <w:name w:val="Balloon Text Char"/>
    <w:basedOn w:val="DefaultParagraphFont"/>
    <w:link w:val="BalloonText"/>
    <w:rsid w:val="00C246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6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6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656"/>
    <w:rPr>
      <w:b/>
      <w:color w:val="660033"/>
      <w:spacing w:val="0"/>
    </w:rPr>
  </w:style>
  <w:style w:type="paragraph" w:customStyle="1" w:styleId="Nameditemlist">
    <w:name w:val="Named item list"/>
    <w:basedOn w:val="BodyText"/>
    <w:qFormat/>
    <w:rsid w:val="00C246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3691</Words>
  <Characters>24073</Characters>
  <Application>Microsoft Office Word</Application>
  <DocSecurity>0</DocSecurity>
  <Lines>918</Lines>
  <Paragraphs>392</Paragraphs>
  <ScaleCrop>false</ScaleCrop>
  <Company>Author-it Software Corporation Ltd.</Company>
  <LinksUpToDate>false</LinksUpToDate>
  <CharactersWithSpaces>27509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UETTDRSB39A Perform power system substation switching operation to a given schedule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2012-10-18T08:26:00Z</dcterms:created>
  <dcterms:modified xsi:type="dcterms:W3CDTF">2012-10-18T08:26:00Z</dcterms:modified>
</cp:coreProperties>
</file>