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7E68" w:rsidP="009C7E68">
      <w:pPr>
        <w:pStyle w:val="Title"/>
      </w:pPr>
      <w:r>
        <w:fldChar w:fldCharType="begin"/>
      </w:r>
      <w:r>
        <w:instrText xml:space="preserve"> TITLE   \* MERGEFORMAT </w:instrText>
      </w:r>
      <w:r>
        <w:fldChar w:fldCharType="separate"/>
      </w:r>
      <w:r>
        <w:t>UETTDRSB38A Commission power system distribution field devices</w:t>
      </w:r>
      <w:r>
        <w:fldChar w:fldCharType="end"/>
      </w:r>
    </w:p>
    <w:p w:rsidR="009C7E68" w:rsidP="009C7E68">
      <w:pPr>
        <w:pStyle w:val="Version"/>
        <w:sectPr w:rsidSect="002B51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517F" w:rsidP="002B517F">
      <w:pPr>
        <w:pStyle w:val="SuperHeading"/>
      </w:pPr>
      <w:r w:rsidRPr="002B517F">
        <w:t>UETTDRSB38A Commission power system distribution field devices</w:t>
      </w:r>
    </w:p>
    <w:p w:rsidR="00000000" w:rsidRPr="002B517F" w:rsidP="002B517F">
      <w:pPr>
        <w:pStyle w:val="Heading1"/>
      </w:pPr>
      <w:bookmarkStart w:id="1" w:name="O_459924"/>
      <w:bookmarkEnd w:id="1"/>
      <w:r w:rsidRPr="002B517F">
        <w:t>Modification History</w:t>
      </w:r>
    </w:p>
    <w:p w:rsidR="00000000" w:rsidRPr="002B517F" w:rsidP="002B517F">
      <w:pPr>
        <w:pStyle w:val="BodyText"/>
      </w:pPr>
      <w:r w:rsidRPr="002B517F">
        <w:t>Not applicable.</w:t>
      </w:r>
    </w:p>
    <w:p w:rsidR="00000000" w:rsidRPr="002B517F" w:rsidP="002B517F">
      <w:pPr>
        <w:pStyle w:val="AllowPageBreak"/>
      </w:pPr>
    </w:p>
    <w:p w:rsidR="00000000" w:rsidRPr="002B517F" w:rsidP="002B517F">
      <w:pPr>
        <w:pStyle w:val="Heading1"/>
      </w:pPr>
      <w:bookmarkStart w:id="2" w:name="O_459922"/>
      <w:bookmarkEnd w:id="2"/>
      <w:r w:rsidRPr="002B517F">
        <w:t>Unit Descriptor</w:t>
      </w:r>
    </w:p>
    <w:tbl>
      <w:tblPr>
        <w:tblW w:w="0" w:type="auto"/>
        <w:tblLayout w:type="fixed"/>
        <w:tblCellMar>
          <w:left w:w="62" w:type="dxa"/>
          <w:right w:w="62" w:type="dxa"/>
        </w:tblCellMar>
        <w:tblLook w:val="0000"/>
      </w:tblPr>
      <w:tblGrid>
        <w:gridCol w:w="2700"/>
        <w:gridCol w:w="5760"/>
      </w:tblGrid>
      <w:tr w:rsidTr="009C7E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517F" w:rsidP="002B517F">
            <w:pPr>
              <w:pStyle w:val="BodyText"/>
            </w:pPr>
            <w:r w:rsidRPr="002B517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rPr>
                <w:rStyle w:val="SpecialBold"/>
              </w:rPr>
              <w:t>1)</w:t>
            </w:r>
            <w:r w:rsidRPr="002B517F">
              <w:t xml:space="preserve"> </w:t>
            </w:r>
            <w:r w:rsidRPr="002B517F">
              <w:rPr>
                <w:rStyle w:val="SpecialBold"/>
              </w:rPr>
              <w:t>Scope:</w:t>
            </w:r>
          </w:p>
        </w:tc>
      </w:tr>
      <w:tr w:rsidTr="009C7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B517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rPr>
                <w:rStyle w:val="SpecialBold"/>
              </w:rPr>
              <w:t>1.1) Descriptor</w:t>
            </w:r>
          </w:p>
        </w:tc>
      </w:tr>
      <w:tr w:rsidTr="009C7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517F" w:rsidP="002B517F">
            <w:pPr>
              <w:pStyle w:val="BodyText"/>
            </w:pPr>
            <w:r w:rsidRPr="002B517F">
              <w:t xml:space="preserve">This Competency Standard Unit covers the commissioning of ACRs, gas switches, regulators and line capacitors, communication systems including mobile phones and TMR radio. It also includes communication with the Operating Authority, testing, clearing after </w:t>
            </w:r>
            <w:r w:rsidRPr="002B517F">
              <w:t>test and energising using techniques that are acceptable to the Operating Authority.</w:t>
            </w:r>
          </w:p>
        </w:tc>
      </w:tr>
    </w:tbl>
    <w:p w:rsidR="00000000" w:rsidRPr="002B517F" w:rsidP="002B517F">
      <w:pPr>
        <w:pStyle w:val="BodyText"/>
      </w:pPr>
    </w:p>
    <w:p w:rsidR="00000000" w:rsidRPr="002B517F" w:rsidP="002B517F">
      <w:pPr>
        <w:pStyle w:val="AllowPageBreak"/>
      </w:pPr>
    </w:p>
    <w:p w:rsidR="00000000" w:rsidRPr="002B517F" w:rsidP="002B517F">
      <w:pPr>
        <w:pStyle w:val="Heading1"/>
      </w:pPr>
      <w:bookmarkStart w:id="3" w:name="O_459911"/>
      <w:bookmarkEnd w:id="3"/>
      <w:r w:rsidRPr="002B517F">
        <w:t>Application of the Unit</w:t>
      </w:r>
    </w:p>
    <w:tbl>
      <w:tblPr>
        <w:tblW w:w="0" w:type="auto"/>
        <w:tblLayout w:type="fixed"/>
        <w:tblCellMar>
          <w:left w:w="62" w:type="dxa"/>
          <w:right w:w="62" w:type="dxa"/>
        </w:tblCellMar>
        <w:tblLook w:val="0000"/>
      </w:tblPr>
      <w:tblGrid>
        <w:gridCol w:w="2672"/>
        <w:gridCol w:w="5699"/>
      </w:tblGrid>
      <w:tr w:rsidTr="009C7E6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B517F" w:rsidP="002B517F">
            <w:pPr>
              <w:pStyle w:val="BodyText"/>
            </w:pPr>
            <w:r w:rsidRPr="002B517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rPr>
                <w:rStyle w:val="SpecialBold"/>
              </w:rPr>
              <w:t>2)</w:t>
            </w:r>
          </w:p>
        </w:tc>
      </w:tr>
      <w:tr w:rsidTr="009C7E6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B517F" w:rsidP="002B517F">
            <w:pPr>
              <w:pStyle w:val="BodyText"/>
            </w:pPr>
            <w:r w:rsidRPr="002B517F">
              <w:t>This Competency Standard Unit is intended to augment formally acquired competencies. It is suitable for employment-based programs under an approved contract of training.</w:t>
            </w:r>
          </w:p>
        </w:tc>
      </w:tr>
    </w:tbl>
    <w:p w:rsidR="00000000" w:rsidRPr="002B517F" w:rsidP="002B517F">
      <w:pPr>
        <w:pStyle w:val="BodyText"/>
      </w:pPr>
    </w:p>
    <w:p w:rsidR="00000000" w:rsidRPr="002B517F" w:rsidP="002B517F">
      <w:pPr>
        <w:pStyle w:val="AllowPageBreak"/>
      </w:pPr>
    </w:p>
    <w:p w:rsidR="00000000" w:rsidRPr="002B517F" w:rsidP="002B517F">
      <w:pPr>
        <w:pStyle w:val="Heading1"/>
      </w:pPr>
      <w:bookmarkStart w:id="4" w:name="O_459918"/>
      <w:bookmarkEnd w:id="4"/>
      <w:r w:rsidRPr="002B517F">
        <w:t>Licensing/Regulatory Information</w:t>
      </w:r>
    </w:p>
    <w:tbl>
      <w:tblPr>
        <w:tblW w:w="0" w:type="auto"/>
        <w:tblLayout w:type="fixed"/>
        <w:tblCellMar>
          <w:left w:w="62" w:type="dxa"/>
          <w:right w:w="62" w:type="dxa"/>
        </w:tblCellMar>
        <w:tblLook w:val="0000"/>
      </w:tblPr>
      <w:tblGrid>
        <w:gridCol w:w="2700"/>
        <w:gridCol w:w="5760"/>
      </w:tblGrid>
      <w:tr w:rsidTr="009C7E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517F" w:rsidP="002B517F">
            <w:pPr>
              <w:pStyle w:val="BodyText"/>
            </w:pPr>
            <w:r w:rsidRPr="002B517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rPr>
                <w:rStyle w:val="SpecialBold"/>
              </w:rPr>
              <w:t xml:space="preserve">3) </w:t>
            </w:r>
          </w:p>
        </w:tc>
      </w:tr>
      <w:tr w:rsidTr="009C7E68">
        <w:tblPrEx>
          <w:tblW w:w="0" w:type="auto"/>
          <w:tblLayout w:type="fixed"/>
          <w:tblCellMar>
            <w:left w:w="62" w:type="dxa"/>
            <w:right w:w="62" w:type="dxa"/>
          </w:tblCellMar>
          <w:tblLook w:val="0000"/>
        </w:tblPrEx>
        <w:trPr>
          <w:trHeight w:val="31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517F" w:rsidP="002B517F">
            <w:pPr>
              <w:pStyle w:val="BodyText"/>
            </w:pPr>
            <w:r w:rsidRPr="002B517F">
              <w:t>The skil</w:t>
            </w:r>
            <w:r w:rsidRPr="002B517F">
              <w:t>ls and knowledge described in this unit requires a licence/registration to practice in the work place subject to regulations for undertaking of electrical work. Practice in workplace and during training is also subject to regulations directly related to Oc</w:t>
            </w:r>
            <w:r w:rsidRPr="002B517F">
              <w:t xml:space="preserve">cupational Health and Safety, electricity/telecommunications/gas/water industry safety and compliance, industrial relations, environmental protection, anti discrimination and training. </w:t>
            </w:r>
            <w:r w:rsidRPr="002B517F">
              <w:t>Commonwealth, State/Territory or Local Government legislation and regul</w:t>
            </w:r>
            <w:r w:rsidRPr="002B517F">
              <w:t>ations may exist that limits the age of operating certain equipment.</w:t>
            </w:r>
          </w:p>
        </w:tc>
      </w:tr>
    </w:tbl>
    <w:p w:rsidR="00000000" w:rsidRPr="002B517F" w:rsidP="002B517F">
      <w:pPr>
        <w:pStyle w:val="BodyText"/>
      </w:pPr>
    </w:p>
    <w:p w:rsidR="00000000" w:rsidRPr="002B517F" w:rsidP="002B517F">
      <w:pPr>
        <w:pStyle w:val="AllowPageBreak"/>
      </w:pPr>
    </w:p>
    <w:p w:rsidR="00000000" w:rsidRPr="002B517F" w:rsidP="002B517F">
      <w:pPr>
        <w:pStyle w:val="Heading1"/>
      </w:pPr>
      <w:bookmarkStart w:id="5" w:name="O_459919"/>
      <w:bookmarkEnd w:id="5"/>
      <w:r w:rsidRPr="002B517F">
        <w:t>Pre-Requisites</w:t>
      </w:r>
    </w:p>
    <w:tbl>
      <w:tblPr>
        <w:tblW w:w="0" w:type="auto"/>
        <w:tblLayout w:type="fixed"/>
        <w:tblCellMar>
          <w:left w:w="62" w:type="dxa"/>
          <w:right w:w="62" w:type="dxa"/>
        </w:tblCellMar>
        <w:tblLook w:val="0000"/>
      </w:tblPr>
      <w:tblGrid>
        <w:gridCol w:w="2700"/>
        <w:gridCol w:w="1980"/>
        <w:gridCol w:w="3780"/>
      </w:tblGrid>
      <w:tr w:rsidTr="009C7E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517F" w:rsidP="002B517F">
            <w:pPr>
              <w:pStyle w:val="BodyText"/>
            </w:pPr>
            <w:r w:rsidRPr="002B517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rPr>
                <w:rStyle w:val="SpecialBold"/>
              </w:rPr>
              <w:t xml:space="preserve">4) </w:t>
            </w:r>
          </w:p>
        </w:tc>
      </w:tr>
      <w:tr w:rsidTr="009C7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B517F" w:rsidP="002B517F">
            <w:pPr>
              <w:pStyle w:val="BodyText"/>
            </w:pPr>
            <w:r w:rsidRPr="002B517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rPr>
                <w:rStyle w:val="SpecialBold"/>
              </w:rPr>
              <w:t>4.1)</w:t>
            </w:r>
          </w:p>
        </w:tc>
      </w:tr>
      <w:tr w:rsidTr="009C7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2B517F" w:rsidP="002B517F">
            <w:pPr>
              <w:pStyle w:val="BodyText"/>
            </w:pPr>
            <w:r w:rsidRPr="002B517F">
              <w:t>Granting of competency in this unit shall be made only after competency in the following unit(s) has/have been confirmed.</w:t>
            </w:r>
          </w:p>
          <w:p w:rsidR="00000000" w:rsidRPr="002B517F" w:rsidP="002B517F">
            <w:pPr>
              <w:pStyle w:val="BodyText"/>
            </w:pPr>
            <w:r w:rsidRPr="002B517F">
              <w:t xml:space="preserve">Where pre-requisite pathways have been identified. All competencies in the Common Unit Group must be have been completed plus all the </w:t>
            </w:r>
            <w:r w:rsidRPr="002B517F">
              <w:t>competencies in one (1) of the identified Pathway Unit Group(s):</w:t>
            </w:r>
          </w:p>
          <w:p w:rsidR="00000000" w:rsidP="002B517F">
            <w:pPr>
              <w:pStyle w:val="BodyText"/>
              <w:rPr>
                <w:lang w:val="en-NZ"/>
              </w:rPr>
            </w:pPr>
            <w:r w:rsidRPr="002B517F">
              <w:t>Common Unit Group</w:t>
            </w:r>
          </w:p>
        </w:tc>
      </w:tr>
      <w:tr w:rsidTr="009C7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Unit Code</w:t>
            </w:r>
            <w:r w:rsidRPr="002B517F">
              <w:tab/>
            </w:r>
          </w:p>
        </w:tc>
        <w:tc>
          <w:tcPr>
            <w:tcW w:w="37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Unit Title</w:t>
            </w:r>
          </w:p>
        </w:tc>
      </w:tr>
      <w:tr w:rsidTr="009C7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UEENEEE101A</w:t>
            </w:r>
          </w:p>
        </w:tc>
        <w:tc>
          <w:tcPr>
            <w:tcW w:w="37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Apply Occupational Health and Safety regulations, codes and practices in the workplace</w:t>
            </w:r>
          </w:p>
        </w:tc>
      </w:tr>
      <w:tr w:rsidTr="009C7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UEENEEE102A</w:t>
            </w:r>
          </w:p>
        </w:tc>
        <w:tc>
          <w:tcPr>
            <w:tcW w:w="37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Fabricate, asse</w:t>
            </w:r>
            <w:r w:rsidRPr="002B517F">
              <w:t>mble and dismantle utilities industry components</w:t>
            </w:r>
          </w:p>
        </w:tc>
      </w:tr>
      <w:tr w:rsidTr="009C7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UEENEEE104A</w:t>
            </w:r>
          </w:p>
        </w:tc>
        <w:tc>
          <w:tcPr>
            <w:tcW w:w="37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Solve problems in d.c. Circuits</w:t>
            </w:r>
          </w:p>
        </w:tc>
      </w:tr>
      <w:tr w:rsidTr="009C7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UEENEEE105A</w:t>
            </w:r>
          </w:p>
        </w:tc>
        <w:tc>
          <w:tcPr>
            <w:tcW w:w="37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Fix and secure electrotechnology equipment</w:t>
            </w:r>
          </w:p>
        </w:tc>
      </w:tr>
      <w:tr w:rsidTr="009C7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UEENEEE107A</w:t>
            </w:r>
          </w:p>
        </w:tc>
        <w:tc>
          <w:tcPr>
            <w:tcW w:w="37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Use drawings, diagrams, schedules, standards, codes and specifications</w:t>
            </w:r>
          </w:p>
        </w:tc>
      </w:tr>
      <w:tr w:rsidTr="009C7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UEENEEE137A</w:t>
            </w:r>
          </w:p>
        </w:tc>
        <w:tc>
          <w:tcPr>
            <w:tcW w:w="37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Document and apply measures to control OHS risks associated with electrotechnology work</w:t>
            </w:r>
          </w:p>
        </w:tc>
      </w:tr>
      <w:tr w:rsidTr="009C7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UEENEEG006A</w:t>
            </w:r>
          </w:p>
        </w:tc>
        <w:tc>
          <w:tcPr>
            <w:tcW w:w="37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Solve problems in single and three phase low voltage machines</w:t>
            </w:r>
          </w:p>
        </w:tc>
      </w:tr>
      <w:tr w:rsidTr="009C7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UEENEEG033A</w:t>
            </w:r>
          </w:p>
        </w:tc>
        <w:tc>
          <w:tcPr>
            <w:tcW w:w="37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 xml:space="preserve">Solve problems in single and three </w:t>
            </w:r>
            <w:r w:rsidRPr="002B517F">
              <w:t>phase electrical apparatus and circuits</w:t>
            </w:r>
          </w:p>
        </w:tc>
      </w:tr>
      <w:tr w:rsidTr="009C7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U</w:t>
            </w:r>
            <w:r w:rsidRPr="002B517F">
              <w:t>EENEEG063A</w:t>
            </w:r>
          </w:p>
        </w:tc>
        <w:tc>
          <w:tcPr>
            <w:tcW w:w="37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Arrange circuits, control and protection for general electrical installations</w:t>
            </w:r>
          </w:p>
        </w:tc>
      </w:tr>
      <w:tr w:rsidTr="009C7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UEENEEG101A</w:t>
            </w:r>
          </w:p>
        </w:tc>
        <w:tc>
          <w:tcPr>
            <w:tcW w:w="37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Solve problems in electromagnetic devices and related circuits</w:t>
            </w:r>
          </w:p>
        </w:tc>
      </w:tr>
      <w:tr w:rsidTr="009C7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UEENEEG102A</w:t>
            </w:r>
          </w:p>
        </w:tc>
        <w:tc>
          <w:tcPr>
            <w:tcW w:w="37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Solve problems in electromagnetic devices and related circuits</w:t>
            </w:r>
          </w:p>
        </w:tc>
      </w:tr>
      <w:tr w:rsidTr="009C7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UEENEEG106A</w:t>
            </w:r>
          </w:p>
        </w:tc>
        <w:tc>
          <w:tcPr>
            <w:tcW w:w="37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Terminate cables, cords and accessories for low voltage circuits</w:t>
            </w:r>
          </w:p>
        </w:tc>
      </w:tr>
      <w:tr w:rsidTr="009C7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UEENEEG108A</w:t>
            </w:r>
          </w:p>
        </w:tc>
        <w:tc>
          <w:tcPr>
            <w:tcW w:w="37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Trouble-shoot and repair faults in low voltage electrical apparatus and circuits</w:t>
            </w:r>
          </w:p>
        </w:tc>
      </w:tr>
      <w:tr w:rsidTr="009C7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UEENEEG109A</w:t>
            </w:r>
          </w:p>
        </w:tc>
        <w:tc>
          <w:tcPr>
            <w:tcW w:w="37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Develop and connect electrical control circuits</w:t>
            </w:r>
          </w:p>
        </w:tc>
      </w:tr>
      <w:tr w:rsidTr="009C7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UEENEEK142A</w:t>
            </w:r>
          </w:p>
        </w:tc>
        <w:tc>
          <w:tcPr>
            <w:tcW w:w="37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Apply environmental</w:t>
            </w:r>
            <w:r w:rsidRPr="002B517F">
              <w:t>ly and sustainable energy procedures in the energy sector</w:t>
            </w:r>
          </w:p>
        </w:tc>
      </w:tr>
      <w:tr w:rsidTr="009C7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2B517F">
            <w:pPr>
              <w:pStyle w:val="BodyText"/>
              <w:rPr>
                <w:lang w:val="en-NZ"/>
              </w:rPr>
            </w:pPr>
            <w:r w:rsidRPr="002B517F">
              <w:t xml:space="preserve">UETTDRSB37 </w:t>
            </w:r>
          </w:p>
        </w:tc>
        <w:tc>
          <w:tcPr>
            <w:tcW w:w="3780" w:type="dxa"/>
            <w:tcBorders>
              <w:top w:val="nil"/>
              <w:left w:val="nil"/>
              <w:bottom w:val="nil"/>
              <w:right w:val="nil"/>
            </w:tcBorders>
            <w:tcMar>
              <w:top w:w="0" w:type="dxa"/>
              <w:left w:w="62" w:type="dxa"/>
              <w:bottom w:w="0" w:type="dxa"/>
              <w:right w:w="62" w:type="dxa"/>
            </w:tcMar>
            <w:vAlign w:val="center"/>
          </w:tcPr>
          <w:p w:rsidR="00000000" w:rsidP="002B517F">
            <w:pPr>
              <w:pStyle w:val="BodyText"/>
              <w:rPr>
                <w:lang w:val="en-NZ"/>
              </w:rPr>
            </w:pPr>
            <w:r w:rsidRPr="002B517F">
              <w:t>Maintain power system distribution field devices</w:t>
            </w:r>
          </w:p>
        </w:tc>
      </w:tr>
      <w:tr w:rsidTr="009C7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Pathway 1 - Electrician</w:t>
            </w:r>
          </w:p>
        </w:tc>
      </w:tr>
      <w:tr w:rsidTr="009C7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UEENEEG103A</w:t>
            </w:r>
          </w:p>
        </w:tc>
        <w:tc>
          <w:tcPr>
            <w:tcW w:w="37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Install low voltage wiring and accessories</w:t>
            </w:r>
          </w:p>
        </w:tc>
      </w:tr>
      <w:tr w:rsidTr="009C7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UEENEEG104A</w:t>
            </w:r>
          </w:p>
        </w:tc>
        <w:tc>
          <w:tcPr>
            <w:tcW w:w="37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Install appliances, switchgear and associated accessories for low voltage electrical installations</w:t>
            </w:r>
          </w:p>
        </w:tc>
      </w:tr>
      <w:tr w:rsidTr="009C7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UEENEEG105A</w:t>
            </w:r>
          </w:p>
        </w:tc>
        <w:tc>
          <w:tcPr>
            <w:tcW w:w="37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Verify compliance and functionality of low voltage general electrical installations</w:t>
            </w:r>
          </w:p>
        </w:tc>
      </w:tr>
      <w:tr w:rsidTr="009C7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UEENEEG107A</w:t>
            </w:r>
          </w:p>
        </w:tc>
        <w:tc>
          <w:tcPr>
            <w:tcW w:w="37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Select wiring systems and cables for low volt</w:t>
            </w:r>
            <w:r w:rsidRPr="002B517F">
              <w:t>age general electrical installations</w:t>
            </w:r>
          </w:p>
        </w:tc>
      </w:tr>
      <w:tr w:rsidTr="009C7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Pathway 2 – Electrical Fitter</w:t>
            </w:r>
          </w:p>
        </w:tc>
      </w:tr>
      <w:tr w:rsidTr="009C7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bottom"/>
          </w:tcPr>
          <w:p w:rsidR="00000000" w:rsidP="002B517F">
            <w:pPr>
              <w:pStyle w:val="BodyText"/>
              <w:rPr>
                <w:lang w:val="en-NZ"/>
              </w:rPr>
            </w:pPr>
            <w:r w:rsidRPr="002B517F">
              <w:t>UEENEEG199A</w:t>
            </w:r>
          </w:p>
        </w:tc>
        <w:tc>
          <w:tcPr>
            <w:tcW w:w="3780" w:type="dxa"/>
            <w:tcBorders>
              <w:top w:val="nil"/>
              <w:left w:val="nil"/>
              <w:bottom w:val="nil"/>
              <w:right w:val="nil"/>
            </w:tcBorders>
            <w:tcMar>
              <w:top w:w="0" w:type="dxa"/>
              <w:left w:w="62" w:type="dxa"/>
              <w:bottom w:w="0" w:type="dxa"/>
              <w:right w:w="62" w:type="dxa"/>
            </w:tcMar>
            <w:vAlign w:val="bottom"/>
          </w:tcPr>
          <w:p w:rsidR="00000000" w:rsidRPr="002B517F" w:rsidP="002B517F">
            <w:pPr>
              <w:pStyle w:val="BodyText"/>
            </w:pPr>
            <w:r w:rsidRPr="002B517F">
              <w:t>Conduct compliance and functional verification of electrical apparatus and existing circuits</w:t>
            </w:r>
          </w:p>
        </w:tc>
      </w:tr>
    </w:tbl>
    <w:p w:rsidR="00000000" w:rsidRPr="002B517F" w:rsidP="002B517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C7E6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B517F" w:rsidP="002B517F">
            <w:pPr>
              <w:pStyle w:val="BodyText"/>
            </w:pPr>
            <w:r w:rsidRPr="002B517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rPr>
                <w:rStyle w:val="SpecialBold"/>
              </w:rPr>
              <w:t xml:space="preserve">4.2) </w:t>
            </w:r>
          </w:p>
        </w:tc>
      </w:tr>
      <w:tr w:rsidTr="009C7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Participants are best equipped to achieve this unit if they have reading, writing and numeracy skills indicated by the following scales. Description of each scale is given in Volume 2, Part 3 “Literacy and Numeracy”</w:t>
            </w:r>
          </w:p>
        </w:tc>
      </w:tr>
      <w:tr w:rsidTr="009C7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Reading</w:t>
            </w:r>
          </w:p>
        </w:tc>
        <w:tc>
          <w:tcPr>
            <w:tcW w:w="810"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4</w:t>
            </w:r>
          </w:p>
        </w:tc>
        <w:tc>
          <w:tcPr>
            <w:tcW w:w="990"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Writing</w:t>
            </w:r>
          </w:p>
        </w:tc>
        <w:tc>
          <w:tcPr>
            <w:tcW w:w="900"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4</w:t>
            </w:r>
          </w:p>
        </w:tc>
        <w:tc>
          <w:tcPr>
            <w:tcW w:w="1260"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Numeracy</w:t>
            </w:r>
          </w:p>
        </w:tc>
        <w:tc>
          <w:tcPr>
            <w:tcW w:w="720" w:type="dxa"/>
            <w:tcBorders>
              <w:top w:val="nil"/>
              <w:left w:val="nil"/>
              <w:bottom w:val="nil"/>
              <w:right w:val="nil"/>
            </w:tcBorders>
            <w:tcMar>
              <w:top w:w="0" w:type="dxa"/>
              <w:left w:w="62" w:type="dxa"/>
              <w:bottom w:w="0" w:type="dxa"/>
              <w:right w:w="62" w:type="dxa"/>
            </w:tcMar>
          </w:tcPr>
          <w:p w:rsidR="00000000" w:rsidRPr="002B517F" w:rsidP="002B517F">
            <w:pPr>
              <w:pStyle w:val="BodyText"/>
            </w:pPr>
            <w:r w:rsidRPr="002B517F">
              <w:t>4</w:t>
            </w:r>
          </w:p>
        </w:tc>
      </w:tr>
    </w:tbl>
    <w:p w:rsidR="00000000" w:rsidRPr="002B517F" w:rsidP="002B517F">
      <w:pPr>
        <w:pStyle w:val="BodyText"/>
      </w:pPr>
    </w:p>
    <w:p w:rsidR="00000000" w:rsidRPr="002B517F" w:rsidP="002B517F">
      <w:pPr>
        <w:pStyle w:val="AllowPageBreak"/>
      </w:pPr>
    </w:p>
    <w:p w:rsidR="00000000" w:rsidRPr="002B517F" w:rsidP="002B517F">
      <w:pPr>
        <w:pStyle w:val="Heading1"/>
      </w:pPr>
      <w:bookmarkStart w:id="6" w:name="O_459915"/>
      <w:bookmarkEnd w:id="6"/>
      <w:r w:rsidRPr="002B517F">
        <w:t>Employability Skills Information</w:t>
      </w:r>
    </w:p>
    <w:tbl>
      <w:tblPr>
        <w:tblW w:w="0" w:type="auto"/>
        <w:tblLayout w:type="fixed"/>
        <w:tblCellMar>
          <w:left w:w="62" w:type="dxa"/>
          <w:right w:w="62" w:type="dxa"/>
        </w:tblCellMar>
        <w:tblLook w:val="0000"/>
      </w:tblPr>
      <w:tblGrid>
        <w:gridCol w:w="2700"/>
        <w:gridCol w:w="5760"/>
      </w:tblGrid>
      <w:tr w:rsidTr="009C7E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517F" w:rsidP="002B517F">
            <w:pPr>
              <w:pStyle w:val="BodyText"/>
            </w:pPr>
            <w:r w:rsidRPr="002B517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rPr>
                <w:rStyle w:val="SpecialBold"/>
              </w:rPr>
              <w:t xml:space="preserve">5) </w:t>
            </w:r>
          </w:p>
        </w:tc>
      </w:tr>
      <w:tr w:rsidTr="009C7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517F" w:rsidP="002B517F">
            <w:pPr>
              <w:pStyle w:val="BodyText"/>
            </w:pPr>
            <w:r w:rsidRPr="002B517F">
              <w:t xml:space="preserve">The required outcomes described in this unit of competency contain applicable facets of Employability Skills. The Employability Skills Summary </w:t>
            </w:r>
            <w:r w:rsidRPr="002B517F">
              <w:t>of the qualification in which this unit of competency is packaged will assist in identifying Employability Skill requirements.</w:t>
            </w:r>
          </w:p>
        </w:tc>
      </w:tr>
    </w:tbl>
    <w:p w:rsidR="00000000" w:rsidRPr="002B517F" w:rsidP="002B517F">
      <w:pPr>
        <w:pStyle w:val="BodyText"/>
      </w:pPr>
    </w:p>
    <w:p w:rsidR="00000000" w:rsidRPr="002B517F" w:rsidP="002B517F">
      <w:pPr>
        <w:pStyle w:val="AllowPageBreak"/>
      </w:pPr>
    </w:p>
    <w:p w:rsidR="00000000" w:rsidRPr="002B517F" w:rsidP="002B517F">
      <w:pPr>
        <w:pStyle w:val="Heading1"/>
      </w:pPr>
      <w:bookmarkStart w:id="7" w:name="O_459914"/>
      <w:bookmarkEnd w:id="7"/>
      <w:r w:rsidRPr="002B517F">
        <w:t>Elements and Performance Criteria Pre-Content</w:t>
      </w:r>
    </w:p>
    <w:tbl>
      <w:tblPr>
        <w:tblW w:w="0" w:type="auto"/>
        <w:tblLayout w:type="fixed"/>
        <w:tblCellMar>
          <w:left w:w="62" w:type="dxa"/>
          <w:right w:w="62" w:type="dxa"/>
        </w:tblCellMar>
        <w:tblLook w:val="0000"/>
      </w:tblPr>
      <w:tblGrid>
        <w:gridCol w:w="2700"/>
        <w:gridCol w:w="5760"/>
      </w:tblGrid>
      <w:tr w:rsidTr="009C7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rPr>
                <w:rStyle w:val="SpecialBold"/>
              </w:rPr>
              <w:t>6)</w:t>
            </w:r>
            <w:r w:rsidRPr="002B517F">
              <w:t xml:space="preserve"> Elements describe the essential outcomes of a competency stan</w:t>
            </w:r>
            <w:r w:rsidRPr="002B517F">
              <w:t>dard unit</w:t>
            </w:r>
          </w:p>
        </w:tc>
        <w:tc>
          <w:tcPr>
            <w:tcW w:w="5760" w:type="dxa"/>
            <w:tcBorders>
              <w:top w:val="nil"/>
              <w:left w:val="nil"/>
              <w:bottom w:val="nil"/>
              <w:right w:val="nil"/>
            </w:tcBorders>
            <w:tcMar>
              <w:top w:w="0" w:type="dxa"/>
              <w:left w:w="62" w:type="dxa"/>
              <w:bottom w:w="0" w:type="dxa"/>
              <w:right w:w="62" w:type="dxa"/>
            </w:tcMar>
          </w:tcPr>
          <w:p w:rsidR="00000000" w:rsidRPr="002B517F" w:rsidP="002B517F">
            <w:pPr>
              <w:pStyle w:val="BodyText"/>
            </w:pPr>
            <w:r w:rsidRPr="002B517F">
              <w:t>Performance Criteria describe the required performance needed to demonstrate achievement of the element. Assessment of performance is to be consistent with the Evidence Guide.</w:t>
            </w:r>
          </w:p>
        </w:tc>
      </w:tr>
    </w:tbl>
    <w:p w:rsidR="00000000" w:rsidRPr="002B517F" w:rsidP="002B517F">
      <w:pPr>
        <w:pStyle w:val="BodyText"/>
      </w:pPr>
    </w:p>
    <w:p w:rsidR="00000000" w:rsidRPr="002B517F" w:rsidP="002B517F">
      <w:pPr>
        <w:pStyle w:val="AllowPageBreak"/>
      </w:pPr>
    </w:p>
    <w:p w:rsidR="00000000" w:rsidRPr="002B517F" w:rsidP="002B517F">
      <w:pPr>
        <w:pStyle w:val="Heading1"/>
      </w:pPr>
      <w:bookmarkStart w:id="8" w:name="O_459913"/>
      <w:bookmarkEnd w:id="8"/>
      <w:r w:rsidRPr="002B517F">
        <w:t>Elements and Performance Criteria</w:t>
      </w:r>
    </w:p>
    <w:tbl>
      <w:tblPr>
        <w:tblW w:w="0" w:type="auto"/>
        <w:tblLayout w:type="fixed"/>
        <w:tblCellMar>
          <w:left w:w="62" w:type="dxa"/>
          <w:right w:w="62" w:type="dxa"/>
        </w:tblCellMar>
        <w:tblLook w:val="0000"/>
      </w:tblPr>
      <w:tblGrid>
        <w:gridCol w:w="408"/>
        <w:gridCol w:w="2255"/>
        <w:gridCol w:w="37"/>
        <w:gridCol w:w="851"/>
        <w:gridCol w:w="4789"/>
        <w:gridCol w:w="120"/>
      </w:tblGrid>
      <w:tr w:rsidTr="009C7E68">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2B517F" w:rsidP="002B517F">
            <w:pPr>
              <w:pStyle w:val="BodyText"/>
            </w:pPr>
            <w:r w:rsidRPr="002B517F">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rPr>
                <w:rStyle w:val="SpecialBold"/>
              </w:rPr>
              <w:t>PERFORMANCE CRITERIA</w:t>
            </w:r>
          </w:p>
        </w:tc>
      </w:tr>
      <w:tr w:rsidTr="009C7E68">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1</w:t>
            </w:r>
          </w:p>
        </w:tc>
        <w:tc>
          <w:tcPr>
            <w:tcW w:w="2255"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Plan for the commissioning of distribution field devices</w:t>
            </w:r>
          </w:p>
        </w:tc>
        <w:tc>
          <w:tcPr>
            <w:tcW w:w="888" w:type="dxa"/>
            <w:gridSpan w:val="2"/>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1.1</w:t>
            </w:r>
          </w:p>
        </w:tc>
        <w:tc>
          <w:tcPr>
            <w:tcW w:w="4789"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Work schedules including drawings, plans, requirements procedures and material lists are acquired, analysed and the extent of work determined.</w:t>
            </w:r>
          </w:p>
        </w:tc>
      </w:tr>
      <w:tr w:rsidTr="009C7E68">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1.2</w:t>
            </w:r>
          </w:p>
        </w:tc>
        <w:tc>
          <w:tcPr>
            <w:tcW w:w="4789"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Relevant requirements and established procedures for the work are communicated to all personnel and identified for all work sites.</w:t>
            </w:r>
          </w:p>
        </w:tc>
      </w:tr>
      <w:tr w:rsidTr="009C7E68">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1.3</w:t>
            </w:r>
          </w:p>
        </w:tc>
        <w:tc>
          <w:tcPr>
            <w:tcW w:w="4789"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Hazards are identified, OHS risks assessed and control measures are prioritised, implemented and monitored including e</w:t>
            </w:r>
            <w:r w:rsidRPr="002B517F">
              <w:t>mergency exits kept clear, to ensure safe systems of work are followed and according to established procedures.</w:t>
            </w:r>
          </w:p>
        </w:tc>
      </w:tr>
      <w:tr w:rsidTr="009C7E68">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1.4</w:t>
            </w:r>
          </w:p>
        </w:tc>
        <w:tc>
          <w:tcPr>
            <w:tcW w:w="4789"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Work is prioritised and sequenced for the most efficient and effective outcome following consultation with others for completion within a</w:t>
            </w:r>
            <w:r w:rsidRPr="002B517F">
              <w:t>cceptable timeframes, to agreed quality standards and in accordance with established policies and procedures.</w:t>
            </w:r>
          </w:p>
        </w:tc>
      </w:tr>
      <w:tr w:rsidTr="009C7E68">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1.5</w:t>
            </w:r>
          </w:p>
        </w:tc>
        <w:tc>
          <w:tcPr>
            <w:tcW w:w="4789"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Resources including personnel, equipment, tools and personal protective equipment required for the job are identified, acquired and confirm</w:t>
            </w:r>
            <w:r w:rsidRPr="002B517F">
              <w:t>ed in safe/technical working order.</w:t>
            </w:r>
          </w:p>
        </w:tc>
      </w:tr>
      <w:tr w:rsidTr="009C7E68">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1.6</w:t>
            </w:r>
          </w:p>
        </w:tc>
        <w:tc>
          <w:tcPr>
            <w:tcW w:w="4789"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Liaison issues with other personnel and/or authorities are resolved and activities coordinated to facilitate the work.</w:t>
            </w:r>
          </w:p>
        </w:tc>
      </w:tr>
      <w:tr w:rsidTr="009C7E68">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1.7</w:t>
            </w:r>
          </w:p>
        </w:tc>
        <w:tc>
          <w:tcPr>
            <w:tcW w:w="4789"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Personnel participating in the work inc</w:t>
            </w:r>
            <w:r w:rsidRPr="002B517F">
              <w:t>luding plant operators and contractors are fully briefed, their respective responsibilities explained and coordinated and appropriate authorisation checked in accordance with established procedures.</w:t>
            </w:r>
          </w:p>
        </w:tc>
      </w:tr>
      <w:tr w:rsidTr="009C7E68">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1.8</w:t>
            </w:r>
          </w:p>
        </w:tc>
        <w:tc>
          <w:tcPr>
            <w:tcW w:w="4789"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Work site is prepared according to the work schedu</w:t>
            </w:r>
            <w:r w:rsidRPr="002B517F">
              <w:t>le and to minimise risk and damage to property and personnel in accordance with established procedures.</w:t>
            </w:r>
          </w:p>
        </w:tc>
      </w:tr>
      <w:tr w:rsidTr="009C7E68">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2</w:t>
            </w:r>
          </w:p>
        </w:tc>
        <w:tc>
          <w:tcPr>
            <w:tcW w:w="2255"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Carry out the commissioning of distribution network field devices</w:t>
            </w:r>
          </w:p>
        </w:tc>
        <w:tc>
          <w:tcPr>
            <w:tcW w:w="888" w:type="dxa"/>
            <w:gridSpan w:val="2"/>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2.1</w:t>
            </w:r>
          </w:p>
        </w:tc>
        <w:tc>
          <w:tcPr>
            <w:tcW w:w="4789"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 xml:space="preserve">OHS and sustainable energy principles and practices to reduce the incidence of </w:t>
            </w:r>
            <w:r w:rsidRPr="002B517F">
              <w:t>accidents and minimise waste are implemented and monitored in accordance with established procedures.</w:t>
            </w:r>
          </w:p>
        </w:tc>
      </w:tr>
      <w:tr w:rsidTr="009C7E68">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2.2</w:t>
            </w:r>
          </w:p>
        </w:tc>
        <w:tc>
          <w:tcPr>
            <w:tcW w:w="4789"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CPR, Rescue from live electrical apparatus and other related safety procedures are in place according to requirements and established procedures.</w:t>
            </w:r>
          </w:p>
        </w:tc>
      </w:tr>
      <w:tr w:rsidTr="009C7E68">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2.3</w:t>
            </w:r>
          </w:p>
        </w:tc>
        <w:tc>
          <w:tcPr>
            <w:tcW w:w="4789"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Safe working documentation is acquired and requirements completed in accordance with established procedures.</w:t>
            </w:r>
          </w:p>
        </w:tc>
      </w:tr>
      <w:tr w:rsidTr="009C7E68">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2.4</w:t>
            </w:r>
          </w:p>
        </w:tc>
        <w:tc>
          <w:tcPr>
            <w:tcW w:w="4789"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Lifting, use of power tools/equipment techniques and practices are safely exercised in accordance with established procedures.</w:t>
            </w:r>
          </w:p>
        </w:tc>
      </w:tr>
      <w:tr w:rsidTr="009C7E68">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2.5</w:t>
            </w:r>
          </w:p>
        </w:tc>
        <w:tc>
          <w:tcPr>
            <w:tcW w:w="4789"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Hazard warnings and safety signs are recognised and hazards and assessed OHS risks are monitored and preventive action taken and/or appropriate authorities consulted where necessary in accordance with established procedures.</w:t>
            </w:r>
          </w:p>
        </w:tc>
      </w:tr>
      <w:tr w:rsidTr="009C7E68">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2.6</w:t>
            </w:r>
          </w:p>
        </w:tc>
        <w:tc>
          <w:tcPr>
            <w:tcW w:w="4789"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Commissioning, including</w:t>
            </w:r>
            <w:r w:rsidRPr="002B517F">
              <w:t xml:space="preserve"> testing of distribution field devices is undertaken according to requirements and established procedures.</w:t>
            </w:r>
          </w:p>
        </w:tc>
      </w:tr>
      <w:tr w:rsidTr="009C7E68">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2.7</w:t>
            </w:r>
          </w:p>
        </w:tc>
        <w:tc>
          <w:tcPr>
            <w:tcW w:w="4789"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 xml:space="preserve">Data is analysed and compared with compliance specifications to ensure completion of the maintenance work is within an agreed timeframe and </w:t>
            </w:r>
            <w:r w:rsidRPr="002B517F">
              <w:t>according to requirements.</w:t>
            </w:r>
          </w:p>
        </w:tc>
      </w:tr>
      <w:tr w:rsidTr="009C7E68">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2.8</w:t>
            </w:r>
          </w:p>
        </w:tc>
        <w:tc>
          <w:tcPr>
            <w:tcW w:w="4789"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 xml:space="preserve">Essential knowledge and associated skills are applied for the safe commissioning of distribution network field devices to ensure completion in an agreed timeframe and to quality standards with a minimum of waste according </w:t>
            </w:r>
            <w:r w:rsidRPr="002B517F">
              <w:t>to requirements</w:t>
            </w:r>
          </w:p>
        </w:tc>
      </w:tr>
      <w:tr w:rsidTr="009C7E68">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2.9</w:t>
            </w:r>
          </w:p>
        </w:tc>
        <w:tc>
          <w:tcPr>
            <w:tcW w:w="4789"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Unplanned events or conditions are responded to in accordance with established procedures.</w:t>
            </w:r>
          </w:p>
        </w:tc>
      </w:tr>
      <w:tr w:rsidTr="009C7E68">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3</w:t>
            </w:r>
          </w:p>
        </w:tc>
        <w:tc>
          <w:tcPr>
            <w:tcW w:w="2255" w:type="dxa"/>
            <w:vMerge w:val="restart"/>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Complete the commissioning of distribution network field devices</w:t>
            </w:r>
          </w:p>
        </w:tc>
        <w:tc>
          <w:tcPr>
            <w:tcW w:w="888" w:type="dxa"/>
            <w:gridSpan w:val="2"/>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3.1</w:t>
            </w:r>
          </w:p>
        </w:tc>
        <w:tc>
          <w:tcPr>
            <w:tcW w:w="4789"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 xml:space="preserve">Functional checks of distribution field devices are completed and all </w:t>
            </w:r>
            <w:r w:rsidRPr="002B517F">
              <w:t>work checked against the requirements to ensure compliance.</w:t>
            </w:r>
          </w:p>
        </w:tc>
      </w:tr>
      <w:tr w:rsidTr="009C7E68">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3.2</w:t>
            </w:r>
          </w:p>
        </w:tc>
        <w:tc>
          <w:tcPr>
            <w:tcW w:w="4789"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Anomalies between the work schedule requirements and measured performance are reported and solutions identified in accordance with established procedures.</w:t>
            </w:r>
          </w:p>
        </w:tc>
      </w:tr>
      <w:tr w:rsidTr="009C7E68">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3.3</w:t>
            </w:r>
          </w:p>
        </w:tc>
        <w:tc>
          <w:tcPr>
            <w:tcW w:w="4789"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Safe working documentation is surrendered and transformer made ready for service.</w:t>
            </w:r>
          </w:p>
        </w:tc>
      </w:tr>
      <w:tr w:rsidTr="009C7E68">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3.4</w:t>
            </w:r>
          </w:p>
        </w:tc>
        <w:tc>
          <w:tcPr>
            <w:tcW w:w="4789"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Work site is rehabilitated, cleaned up and confirmed safe in accordance with established procedures.</w:t>
            </w:r>
          </w:p>
        </w:tc>
      </w:tr>
      <w:tr w:rsidTr="009C7E68">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3.5</w:t>
            </w:r>
          </w:p>
        </w:tc>
        <w:tc>
          <w:tcPr>
            <w:tcW w:w="4789"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Tools, equipment and any surplus resources and materials are cleaned, checked and returned to storage in accordance with established procedures.</w:t>
            </w:r>
          </w:p>
        </w:tc>
      </w:tr>
      <w:tr w:rsidTr="009C7E68">
        <w:tblPrEx>
          <w:tblW w:w="0" w:type="auto"/>
          <w:tblLayout w:type="fixed"/>
          <w:tblCellMar>
            <w:left w:w="62" w:type="dxa"/>
            <w:right w:w="62" w:type="dxa"/>
          </w:tblCellMar>
          <w:tblLook w:val="0000"/>
        </w:tblPrEx>
        <w:trPr>
          <w:gridAfter w:val="1"/>
          <w:wAfter w:w="120"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8" w:type="dxa"/>
            <w:gridSpan w:val="2"/>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t>3.6</w:t>
            </w:r>
          </w:p>
        </w:tc>
        <w:tc>
          <w:tcPr>
            <w:tcW w:w="4789" w:type="dxa"/>
            <w:tcBorders>
              <w:top w:val="nil"/>
              <w:left w:val="nil"/>
              <w:bottom w:val="nil"/>
              <w:right w:val="nil"/>
            </w:tcBorders>
            <w:tcMar>
              <w:top w:w="0" w:type="dxa"/>
              <w:left w:w="62" w:type="dxa"/>
              <w:bottom w:w="0" w:type="dxa"/>
              <w:right w:w="62" w:type="dxa"/>
            </w:tcMar>
          </w:tcPr>
          <w:p w:rsidR="00000000" w:rsidRPr="002B517F" w:rsidP="002B517F">
            <w:pPr>
              <w:pStyle w:val="BodyText"/>
            </w:pPr>
            <w:r w:rsidRPr="002B517F">
              <w:t>Documents and records related to the distribution field devices are updated in accordance with establish</w:t>
            </w:r>
            <w:r w:rsidRPr="002B517F">
              <w:t>ed procedures.</w:t>
            </w:r>
          </w:p>
        </w:tc>
      </w:tr>
    </w:tbl>
    <w:p w:rsidR="00000000" w:rsidRPr="002B517F" w:rsidP="002B517F">
      <w:pPr>
        <w:pStyle w:val="BodyText"/>
      </w:pPr>
    </w:p>
    <w:p w:rsidR="00000000" w:rsidRPr="002B517F" w:rsidP="002B517F">
      <w:pPr>
        <w:pStyle w:val="AllowPageBreak"/>
      </w:pPr>
    </w:p>
    <w:p w:rsidR="00000000" w:rsidRPr="002B517F" w:rsidP="002B517F">
      <w:pPr>
        <w:pStyle w:val="Heading1"/>
      </w:pPr>
      <w:bookmarkStart w:id="9" w:name="O_459921"/>
      <w:bookmarkEnd w:id="9"/>
      <w:r w:rsidRPr="002B517F">
        <w:t>Required Skills and Knowledge</w:t>
      </w:r>
    </w:p>
    <w:tbl>
      <w:tblPr>
        <w:tblW w:w="0" w:type="auto"/>
        <w:tblLayout w:type="fixed"/>
        <w:tblCellMar>
          <w:left w:w="62" w:type="dxa"/>
          <w:right w:w="62" w:type="dxa"/>
        </w:tblCellMar>
        <w:tblLook w:val="0000"/>
      </w:tblPr>
      <w:tblGrid>
        <w:gridCol w:w="8460"/>
      </w:tblGrid>
      <w:tr w:rsidTr="009C7E6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rPr>
                <w:rStyle w:val="SpecialBold"/>
              </w:rPr>
              <w:t>REQUIRED SKILLS AND KNOWLEDGE</w:t>
            </w:r>
          </w:p>
        </w:tc>
      </w:tr>
      <w:tr w:rsidTr="009C7E6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B517F" w:rsidP="002B517F">
            <w:pPr>
              <w:pStyle w:val="BodyText"/>
            </w:pPr>
            <w:r w:rsidRPr="002B517F">
              <w:rPr>
                <w:rStyle w:val="SpecialBold"/>
              </w:rPr>
              <w:t>8)</w:t>
            </w:r>
            <w:r w:rsidRPr="002B517F">
              <w:t xml:space="preserve"> Essential Knowledge and Associated Skills (EKAS): This describes the essential skills and knowledge and their level, required for this unit.</w:t>
            </w:r>
          </w:p>
          <w:p w:rsidR="00000000" w:rsidRPr="002B517F" w:rsidP="002B517F">
            <w:pPr>
              <w:pStyle w:val="BodyText"/>
            </w:pPr>
            <w:r w:rsidRPr="002B517F">
              <w:t xml:space="preserve">Evidence shall show that knowledge has been acquired of commissioning distribution field devices. </w:t>
            </w:r>
          </w:p>
          <w:p w:rsidR="00000000" w:rsidRPr="002B517F" w:rsidP="002B517F">
            <w:pPr>
              <w:pStyle w:val="BodyText"/>
            </w:pPr>
            <w:r w:rsidRPr="002B517F">
              <w:t>All knowledge and skills detailed in this unit should be contextualised to current industry practices and technologies.</w:t>
            </w:r>
          </w:p>
          <w:p w:rsidR="00000000" w:rsidRPr="002B517F" w:rsidP="002B517F">
            <w:pPr>
              <w:pStyle w:val="BodyText"/>
            </w:pPr>
            <w:r w:rsidRPr="002B517F">
              <w:t xml:space="preserve">KS01-TSB38A </w:t>
            </w:r>
            <w:r w:rsidRPr="002B517F">
              <w:tab/>
              <w:t>Power system distributio</w:t>
            </w:r>
            <w:r w:rsidRPr="002B517F">
              <w:t>n field devices - commissioning</w:t>
            </w:r>
          </w:p>
          <w:p w:rsidR="00000000" w:rsidRPr="002B517F" w:rsidP="002B517F">
            <w:pPr>
              <w:pStyle w:val="BodyText"/>
            </w:pPr>
            <w:r w:rsidRPr="002B517F">
              <w:t xml:space="preserve">Evidence shall show an understanding of power system distribution field devices to an extent indicated by the following aspects: </w:t>
            </w:r>
          </w:p>
          <w:p w:rsidR="00000000" w:rsidRPr="002B517F" w:rsidP="002B517F">
            <w:pPr>
              <w:pStyle w:val="BodyText"/>
            </w:pPr>
            <w:r w:rsidRPr="002B517F">
              <w:t>T1</w:t>
            </w:r>
            <w:r w:rsidRPr="002B517F">
              <w:tab/>
              <w:t>Commissioning procedures associated with distribution protection and control systems encomp</w:t>
            </w:r>
            <w:r w:rsidRPr="002B517F">
              <w:t>assing:</w:t>
            </w:r>
          </w:p>
          <w:p w:rsidR="00000000" w:rsidRPr="002B517F" w:rsidP="002B517F">
            <w:pPr>
              <w:pStyle w:val="ListBullet"/>
            </w:pPr>
            <w:r w:rsidRPr="002B517F">
              <w:t>Standards, codes, Commonwealth/State/Territory legislation, supply authority regulations and or enterprise requirements associated with the commissioning procedures</w:t>
            </w:r>
          </w:p>
          <w:p w:rsidR="00000000" w:rsidRPr="002B517F" w:rsidP="002B517F">
            <w:pPr>
              <w:pStyle w:val="ListBullet"/>
            </w:pPr>
            <w:r w:rsidRPr="002B517F">
              <w:t>Requirements for the use of commissioning manuals, system diagrams/plans and drawi</w:t>
            </w:r>
            <w:r w:rsidRPr="002B517F">
              <w:t>ngs</w:t>
            </w:r>
          </w:p>
          <w:p w:rsidR="00000000" w:rsidRPr="002B517F" w:rsidP="002B517F">
            <w:pPr>
              <w:pStyle w:val="ListBullet"/>
            </w:pPr>
            <w:r w:rsidRPr="002B517F">
              <w:t>Techniques in commissioning procedures – planning, policy, testing techniques</w:t>
            </w:r>
          </w:p>
          <w:p w:rsidR="00000000" w:rsidRPr="002B517F" w:rsidP="002B517F">
            <w:pPr>
              <w:pStyle w:val="ListBullet"/>
            </w:pPr>
            <w:r w:rsidRPr="002B517F">
              <w:t>Close out requirements.</w:t>
            </w:r>
          </w:p>
        </w:tc>
      </w:tr>
    </w:tbl>
    <w:p w:rsidR="00000000" w:rsidRPr="002B517F" w:rsidP="002B517F">
      <w:pPr>
        <w:pStyle w:val="BodyText"/>
      </w:pPr>
    </w:p>
    <w:p w:rsidR="00000000" w:rsidRPr="002B517F" w:rsidP="002B517F">
      <w:pPr>
        <w:pStyle w:val="AllowPageBreak"/>
      </w:pPr>
    </w:p>
    <w:p w:rsidR="00000000" w:rsidRPr="002B517F" w:rsidP="002B517F">
      <w:pPr>
        <w:pStyle w:val="Heading1"/>
      </w:pPr>
      <w:bookmarkStart w:id="10" w:name="O_459916"/>
      <w:bookmarkEnd w:id="10"/>
      <w:r w:rsidRPr="002B517F">
        <w:t>Evidence Guide</w:t>
      </w:r>
    </w:p>
    <w:tbl>
      <w:tblPr>
        <w:tblW w:w="0" w:type="auto"/>
        <w:tblLayout w:type="fixed"/>
        <w:tblCellMar>
          <w:left w:w="62" w:type="dxa"/>
          <w:right w:w="62" w:type="dxa"/>
        </w:tblCellMar>
        <w:tblLook w:val="0000"/>
      </w:tblPr>
      <w:tblGrid>
        <w:gridCol w:w="8460"/>
      </w:tblGrid>
      <w:tr w:rsidTr="009C7E6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rPr>
                <w:rStyle w:val="SpecialBold"/>
              </w:rPr>
              <w:t>EVIDENCE GUIDE</w:t>
            </w:r>
          </w:p>
        </w:tc>
      </w:tr>
      <w:tr w:rsidTr="009C7E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B517F" w:rsidP="002B517F">
            <w:pPr>
              <w:pStyle w:val="BodyText"/>
            </w:pPr>
            <w:r w:rsidRPr="002B517F">
              <w:rPr>
                <w:rStyle w:val="SpecialBold"/>
              </w:rPr>
              <w:t>9)</w:t>
            </w:r>
            <w:r w:rsidRPr="002B517F">
              <w:t xml:space="preserve"> This provides essential advice for assessment of the competency standard unit and must be read </w:t>
            </w:r>
            <w:r w:rsidRPr="002B517F">
              <w:t>in conjunction with the Performance Criteria and the Range Statement of the competency standard unit and the Training Package Assessment Guidelines.</w:t>
            </w:r>
          </w:p>
          <w:p w:rsidR="00000000" w:rsidRPr="002B517F" w:rsidP="002B517F">
            <w:pPr>
              <w:pStyle w:val="BodyText"/>
            </w:pPr>
            <w:r w:rsidRPr="002B517F">
              <w:t>The Evidence Guide forms an integral part of this Competency Standard Unit and shall be used in conjunction</w:t>
            </w:r>
            <w:r w:rsidRPr="002B517F">
              <w:t xml:space="preserve"> with all component parts of this unit and, performed in accordance with the Assessment Guidelines of this Training Package.</w:t>
            </w:r>
          </w:p>
        </w:tc>
      </w:tr>
    </w:tbl>
    <w:p w:rsidR="00000000" w:rsidRPr="002B517F" w:rsidP="002B517F">
      <w:pPr>
        <w:pStyle w:val="BodyText"/>
      </w:pPr>
    </w:p>
    <w:tbl>
      <w:tblPr>
        <w:tblW w:w="0" w:type="auto"/>
        <w:tblLayout w:type="fixed"/>
        <w:tblCellMar>
          <w:left w:w="62" w:type="dxa"/>
          <w:right w:w="62" w:type="dxa"/>
        </w:tblCellMar>
        <w:tblLook w:val="0000"/>
      </w:tblPr>
      <w:tblGrid>
        <w:gridCol w:w="1890"/>
        <w:gridCol w:w="6570"/>
      </w:tblGrid>
      <w:tr w:rsidTr="009C7E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B517F" w:rsidP="002B517F">
            <w:pPr>
              <w:pStyle w:val="BodyText"/>
            </w:pPr>
            <w:r w:rsidRPr="002B517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rPr>
                <w:rStyle w:val="SpecialBold"/>
              </w:rPr>
              <w:t>9.1)</w:t>
            </w:r>
          </w:p>
        </w:tc>
      </w:tr>
      <w:tr w:rsidTr="009C7E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B517F" w:rsidP="002B517F">
            <w:pPr>
              <w:pStyle w:val="BodyText"/>
            </w:pPr>
            <w:r w:rsidRPr="002B517F">
              <w:t>Longitudinal competency development approaches to assessment, such as Profiling, require data to be reliably gathered in a form that can be consistently interpreted over time. This approach is best utilised in Apprenticeship programs and reduces assessment</w:t>
            </w:r>
            <w:r w:rsidRPr="002B517F">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2B517F">
              <w:t>tency in a realistically simulated work environment. It is recognised that, in some circumstances, assessment in part or full can occur outside the workplace. However, it must be in accord with Industry and, Regulatory policy in this regard.</w:t>
            </w:r>
          </w:p>
          <w:p w:rsidR="00000000" w:rsidRPr="002B517F" w:rsidP="002B517F">
            <w:pPr>
              <w:pStyle w:val="BodyText"/>
            </w:pPr>
            <w:r w:rsidRPr="002B517F">
              <w:t>Methods chosen</w:t>
            </w:r>
            <w:r w:rsidRPr="002B517F">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2B517F">
              <w:t>equired and the critical nature of the competencies being assessed.</w:t>
            </w:r>
          </w:p>
          <w:p w:rsidR="00000000" w:rsidRPr="002B517F" w:rsidP="002B517F">
            <w:pPr>
              <w:pStyle w:val="BodyText"/>
            </w:pPr>
            <w:r w:rsidRPr="002B517F">
              <w:t>The critical safety nature of working with electricity, electrical equipment, gas or any other hazardous substance/material carries risk in deeming a person competent. Hence, sources of ev</w:t>
            </w:r>
            <w:r w:rsidRPr="002B517F">
              <w:t>idence need to be ‘rich’ in nature so as to minimise error in judgment.</w:t>
            </w:r>
          </w:p>
          <w:p w:rsidR="00000000" w:rsidRPr="002B517F" w:rsidP="002B517F">
            <w:pPr>
              <w:pStyle w:val="BodyText"/>
            </w:pPr>
            <w:r w:rsidRPr="002B517F">
              <w:t>Activities associated with normal every day work have a bearing on the decision as to how much and how detailed the data gathered will contribute to its ‘richness’. Some skills are mor</w:t>
            </w:r>
            <w:r w:rsidRPr="002B517F">
              <w:t>e critical to safety and operational requirements while the same skills may be more or less frequently practiced. These points are raised for the assessors to consider when choosing an assessment method and developing assessment instruments. Sample assessm</w:t>
            </w:r>
            <w:r w:rsidRPr="002B517F">
              <w:t>ent instruments are included for Assessors in the Assessment Guidelines of this Training Package.</w:t>
            </w:r>
          </w:p>
        </w:tc>
      </w:tr>
    </w:tbl>
    <w:p w:rsidR="00000000" w:rsidRPr="002B517F" w:rsidP="002B517F">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9C7E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B517F" w:rsidP="002B517F">
            <w:pPr>
              <w:pStyle w:val="BodyText"/>
            </w:pPr>
            <w:r w:rsidRPr="002B517F">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rPr>
                <w:rStyle w:val="SpecialBold"/>
              </w:rPr>
              <w:t>9.2)</w:t>
            </w:r>
          </w:p>
        </w:tc>
      </w:tr>
      <w:tr w:rsidTr="009C7E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2B517F" w:rsidP="002B517F">
            <w:pPr>
              <w:pStyle w:val="BodyText"/>
            </w:pPr>
            <w:r w:rsidRPr="002B517F">
              <w:t>Before the critical aspects of evidence are considered all prerequisi</w:t>
            </w:r>
            <w:r w:rsidRPr="002B517F">
              <w:t>tes shall be met.</w:t>
            </w:r>
          </w:p>
          <w:p w:rsidR="00000000" w:rsidRPr="002B517F" w:rsidP="002B517F">
            <w:pPr>
              <w:pStyle w:val="BodyText"/>
            </w:pPr>
            <w:r w:rsidRPr="002B517F">
              <w:t xml:space="preserve">Evidence for competence in this unit shall be considered holistically. Each element and associated Performance Criteria shall be demonstrated on at least two occasions in accordance with the “Assessment Guidelines – UET12”. Evidence </w:t>
            </w:r>
            <w:r w:rsidRPr="002B517F">
              <w:t>shall also comprise:</w:t>
            </w:r>
          </w:p>
          <w:p w:rsidR="00000000" w:rsidRPr="002B517F" w:rsidP="002B517F">
            <w:pPr>
              <w:pStyle w:val="ListBullet"/>
            </w:pPr>
            <w:r w:rsidRPr="002B517F">
              <w:t>A representative body of Performance Criteria demonstrated within the timeframes typically expected of the discipline, work function and industrial environment. In particular this shall incorporate evidence that shows a candidate is a</w:t>
            </w:r>
            <w:r w:rsidRPr="002B517F">
              <w:t>ble to:</w:t>
            </w:r>
          </w:p>
          <w:p w:rsidR="00000000" w:rsidRPr="002B517F" w:rsidP="002B517F">
            <w:pPr>
              <w:pStyle w:val="ListBullet2"/>
            </w:pPr>
            <w:r w:rsidRPr="002B517F">
              <w:t>Implement Occupational Health and Safety workplace procedures and practices including the use of risk control measures as specified in the Performance Criteria and range; and</w:t>
            </w:r>
          </w:p>
          <w:p w:rsidR="00000000" w:rsidRPr="002B517F" w:rsidP="002B517F">
            <w:pPr>
              <w:pStyle w:val="ListBullet2"/>
            </w:pPr>
            <w:r w:rsidRPr="002B517F">
              <w:t>Apply sustainable energy principles and practices as specified in the Pe</w:t>
            </w:r>
            <w:r w:rsidRPr="002B517F">
              <w:t>rformance Criteria and range; and</w:t>
            </w:r>
          </w:p>
          <w:p w:rsidR="00000000" w:rsidRPr="002B517F" w:rsidP="002B517F">
            <w:pPr>
              <w:pStyle w:val="ListBullet2"/>
            </w:pPr>
            <w:r w:rsidRPr="002B517F">
              <w:t>Demonstrate an understanding of the essential knowledge and associated skills as described in this unit to such an extent that the learner’s performance outcome is reported in accordance with the preferred approach; namely</w:t>
            </w:r>
            <w:r w:rsidRPr="002B517F">
              <w:t xml:space="preserve"> a percentile graded result, where required by the regulated environment; and</w:t>
            </w:r>
          </w:p>
          <w:p w:rsidR="00000000" w:rsidRPr="002B517F" w:rsidP="002B517F">
            <w:pPr>
              <w:pStyle w:val="ListBullet2"/>
            </w:pPr>
            <w:r w:rsidRPr="002B517F">
              <w:t>Demonstrate an appropriate level of employability skills; and</w:t>
            </w:r>
          </w:p>
          <w:p w:rsidR="00000000" w:rsidRPr="002B517F" w:rsidP="002B517F">
            <w:pPr>
              <w:pStyle w:val="ListBullet"/>
            </w:pPr>
            <w:r w:rsidRPr="002B517F">
              <w:t>Conduct work observing the relevant Anti Discrimination legislation, regulations, policies and workplace procedures</w:t>
            </w:r>
            <w:r w:rsidRPr="002B517F">
              <w:t>; and</w:t>
            </w:r>
          </w:p>
          <w:p w:rsidR="00000000" w:rsidP="002B517F">
            <w:pPr>
              <w:pStyle w:val="ListBullet2"/>
              <w:rPr>
                <w:lang w:val="en-NZ"/>
              </w:rPr>
            </w:pPr>
            <w:r w:rsidRPr="002B517F">
              <w:t xml:space="preserve">Demonstrated performance across a representative range of contexts from the prescribed items below: </w:t>
            </w:r>
          </w:p>
        </w:tc>
      </w:tr>
      <w:tr w:rsidTr="009C7E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B517F">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17F">
            <w:pPr>
              <w:pStyle w:val="BodyText"/>
              <w:rPr>
                <w:lang w:val="en-NZ"/>
              </w:rPr>
            </w:pPr>
            <w:r w:rsidRPr="002B517F">
              <w:rPr>
                <w:rStyle w:val="SpecialBold"/>
              </w:rPr>
              <w:t>Range of tools/equipment/materials/procedures/workplaces/other variables</w:t>
            </w:r>
          </w:p>
        </w:tc>
      </w:tr>
      <w:tr w:rsidTr="009C7E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2B517F">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17F" w:rsidP="002B517F">
            <w:pPr>
              <w:pStyle w:val="BodyText"/>
            </w:pPr>
            <w:r w:rsidRPr="002B517F">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17F" w:rsidP="002B517F">
            <w:pPr>
              <w:pStyle w:val="BodyText"/>
            </w:pPr>
            <w:r w:rsidRPr="002B517F">
              <w:rPr>
                <w:rStyle w:val="SpecialBold"/>
              </w:rPr>
              <w:t>The minimum numbe</w:t>
            </w:r>
            <w:r w:rsidRPr="002B517F">
              <w:rPr>
                <w:rStyle w:val="SpecialBold"/>
              </w:rPr>
              <w:t>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17F">
            <w:pPr>
              <w:pStyle w:val="BodyText"/>
              <w:rPr>
                <w:lang w:val="en-NZ"/>
              </w:rPr>
            </w:pPr>
            <w:r w:rsidRPr="002B517F">
              <w:rPr>
                <w:rStyle w:val="SpecialBold"/>
              </w:rPr>
              <w:t>Item List</w:t>
            </w:r>
          </w:p>
        </w:tc>
      </w:tr>
      <w:tr w:rsidTr="009C7E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17F">
            <w:pPr>
              <w:pStyle w:val="BodyText"/>
              <w:rPr>
                <w:lang w:val="en-NZ"/>
              </w:rPr>
            </w:pPr>
            <w:r w:rsidRPr="002B517F">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17F">
            <w:pPr>
              <w:pStyle w:val="BodyText"/>
              <w:rPr>
                <w:lang w:val="en-NZ"/>
              </w:rPr>
            </w:pPr>
            <w:r w:rsidRPr="002B517F">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17F" w:rsidP="002B517F">
            <w:pPr>
              <w:pStyle w:val="BodyText"/>
            </w:pPr>
            <w:r w:rsidRPr="002B517F">
              <w:t>Applying device settings</w:t>
            </w:r>
          </w:p>
          <w:p w:rsidR="00000000" w:rsidRPr="002B517F" w:rsidP="002B517F">
            <w:pPr>
              <w:pStyle w:val="BodyText"/>
            </w:pPr>
            <w:r w:rsidRPr="002B517F">
              <w:t>Secondary injections</w:t>
            </w:r>
          </w:p>
          <w:p w:rsidR="00000000" w:rsidRPr="002B517F" w:rsidP="002B517F">
            <w:pPr>
              <w:pStyle w:val="BodyText"/>
            </w:pPr>
            <w:r w:rsidRPr="002B517F">
              <w:t>Timing</w:t>
            </w:r>
          </w:p>
          <w:p w:rsidR="00000000" w:rsidRPr="002B517F" w:rsidP="002B517F">
            <w:pPr>
              <w:pStyle w:val="BodyText"/>
            </w:pPr>
            <w:r w:rsidRPr="002B517F">
              <w:t>Remote operations</w:t>
            </w:r>
          </w:p>
          <w:p w:rsidR="00000000" w:rsidRPr="002B517F" w:rsidP="002B517F">
            <w:pPr>
              <w:pStyle w:val="BodyText"/>
            </w:pPr>
            <w:r w:rsidRPr="002B517F">
              <w:t>Earthing checks</w:t>
            </w:r>
          </w:p>
          <w:p w:rsidR="00000000" w:rsidP="002B517F">
            <w:pPr>
              <w:pStyle w:val="BodyText"/>
              <w:rPr>
                <w:lang w:val="en-NZ"/>
              </w:rPr>
            </w:pPr>
            <w:r w:rsidRPr="002B517F">
              <w:t>Calibrations</w:t>
            </w:r>
          </w:p>
        </w:tc>
      </w:tr>
      <w:tr w:rsidTr="009C7E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17F">
            <w:pPr>
              <w:pStyle w:val="BodyText"/>
              <w:rPr>
                <w:lang w:val="en-NZ"/>
              </w:rPr>
            </w:pPr>
            <w:r w:rsidRPr="002B517F">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17F">
            <w:pPr>
              <w:pStyle w:val="BodyText"/>
              <w:rPr>
                <w:lang w:val="en-NZ"/>
              </w:rPr>
            </w:pPr>
            <w:r w:rsidRPr="002B517F">
              <w:t>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17F" w:rsidP="002B517F">
            <w:pPr>
              <w:pStyle w:val="BodyText"/>
            </w:pPr>
            <w:r w:rsidRPr="002B517F">
              <w:t>ACRs</w:t>
            </w:r>
          </w:p>
          <w:p w:rsidR="00000000" w:rsidRPr="002B517F" w:rsidP="002B517F">
            <w:pPr>
              <w:pStyle w:val="BodyText"/>
            </w:pPr>
            <w:r w:rsidRPr="002B517F">
              <w:t>Gas switches</w:t>
            </w:r>
          </w:p>
          <w:p w:rsidR="00000000" w:rsidRPr="002B517F" w:rsidP="002B517F">
            <w:pPr>
              <w:pStyle w:val="BodyText"/>
            </w:pPr>
            <w:r w:rsidRPr="002B517F">
              <w:t>Regulators</w:t>
            </w:r>
          </w:p>
          <w:p w:rsidR="00000000" w:rsidRPr="002B517F" w:rsidP="002B517F">
            <w:pPr>
              <w:pStyle w:val="BodyText"/>
            </w:pPr>
            <w:r w:rsidRPr="002B517F">
              <w:t>Line capacitors</w:t>
            </w:r>
          </w:p>
          <w:p w:rsidR="00000000" w:rsidRPr="002B517F" w:rsidP="002B517F">
            <w:pPr>
              <w:pStyle w:val="BodyText"/>
            </w:pPr>
            <w:r w:rsidRPr="002B517F">
              <w:t>Mobile phone systems</w:t>
            </w:r>
          </w:p>
          <w:p w:rsidR="00000000" w:rsidP="002B517F">
            <w:pPr>
              <w:pStyle w:val="BodyText"/>
              <w:rPr>
                <w:lang w:val="en-NZ"/>
              </w:rPr>
            </w:pPr>
            <w:r w:rsidRPr="002B517F">
              <w:t>TMR radio systems</w:t>
            </w:r>
          </w:p>
        </w:tc>
      </w:tr>
      <w:tr w:rsidTr="009C7E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17F">
            <w:pPr>
              <w:pStyle w:val="BodyText"/>
              <w:rPr>
                <w:lang w:val="en-NZ"/>
              </w:rPr>
            </w:pPr>
            <w:r w:rsidRPr="002B517F">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17F">
            <w:pPr>
              <w:pStyle w:val="BodyText"/>
              <w:rPr>
                <w:lang w:val="en-NZ"/>
              </w:rPr>
            </w:pPr>
            <w:r w:rsidRPr="002B517F">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17F" w:rsidP="002B517F">
            <w:pPr>
              <w:pStyle w:val="BodyText"/>
            </w:pPr>
            <w:r w:rsidRPr="002B517F">
              <w:t xml:space="preserve">Dealing with an unplanned event by drawing on essential knowledge and associated skills to </w:t>
            </w:r>
            <w:r w:rsidRPr="002B517F">
              <w:t xml:space="preserve">provide appropriate solutions incorporated in the </w:t>
            </w:r>
            <w:r w:rsidRPr="002B517F">
              <w:t>holistic assessment with the above listed items.</w:t>
            </w:r>
          </w:p>
        </w:tc>
      </w:tr>
    </w:tbl>
    <w:p w:rsidR="00000000" w:rsidRPr="002B517F" w:rsidP="002B517F">
      <w:pPr>
        <w:pStyle w:val="BodyText"/>
      </w:pPr>
    </w:p>
    <w:tbl>
      <w:tblPr>
        <w:tblW w:w="0" w:type="auto"/>
        <w:tblLayout w:type="fixed"/>
        <w:tblCellMar>
          <w:left w:w="62" w:type="dxa"/>
          <w:right w:w="62" w:type="dxa"/>
        </w:tblCellMar>
        <w:tblLook w:val="0000"/>
      </w:tblPr>
      <w:tblGrid>
        <w:gridCol w:w="1890"/>
        <w:gridCol w:w="6570"/>
      </w:tblGrid>
      <w:tr w:rsidTr="009C7E6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B517F" w:rsidP="002B517F">
            <w:pPr>
              <w:pStyle w:val="BodyText"/>
            </w:pPr>
            <w:r w:rsidRPr="002B517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rPr>
                <w:rStyle w:val="SpecialBold"/>
              </w:rPr>
              <w:t>9.3)</w:t>
            </w:r>
          </w:p>
        </w:tc>
      </w:tr>
      <w:tr w:rsidTr="009C7E6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B517F" w:rsidP="002B517F">
            <w:pPr>
              <w:pStyle w:val="BodyText"/>
            </w:pPr>
            <w:r w:rsidRPr="002B517F">
              <w:t xml:space="preserve">This unit should be assessed as it relates to normal work practice using procedures, information and resources typical of a workplace. This </w:t>
            </w:r>
            <w:r w:rsidRPr="002B517F">
              <w:t>should include:</w:t>
            </w:r>
          </w:p>
          <w:p w:rsidR="00000000" w:rsidRPr="002B517F" w:rsidP="002B517F">
            <w:pPr>
              <w:pStyle w:val="ListBullet"/>
            </w:pPr>
            <w:r w:rsidRPr="002B517F">
              <w:t>OHS policy and work procedures and instructions.</w:t>
            </w:r>
          </w:p>
          <w:p w:rsidR="00000000" w:rsidRPr="002B517F" w:rsidP="002B517F">
            <w:pPr>
              <w:pStyle w:val="ListBullet"/>
            </w:pPr>
            <w:r w:rsidRPr="002B517F">
              <w:t>Suitable work environment, facilities, equipment and materials to undertake actual commissioning of distribution field devices</w:t>
            </w:r>
          </w:p>
          <w:p w:rsidR="00000000" w:rsidRPr="002B517F" w:rsidP="002B517F">
            <w:pPr>
              <w:pStyle w:val="BodyText"/>
            </w:pPr>
            <w:r w:rsidRPr="002B517F">
              <w:t>In addition to the resources listed above, in Context of and sp</w:t>
            </w:r>
            <w:r w:rsidRPr="002B517F">
              <w:t xml:space="preserve">ecific resources for assessment, evidence should show demonstrated competency working: </w:t>
            </w:r>
          </w:p>
          <w:p w:rsidR="00000000" w:rsidRPr="002B517F" w:rsidP="002B517F">
            <w:pPr>
              <w:pStyle w:val="BodyText"/>
            </w:pPr>
            <w:r w:rsidRPr="002B517F">
              <w:t>At realistic heights above ground i.e. above 3 metres, in limited spaces, with different structural/construction types and method and in a variety of environments.</w:t>
            </w:r>
          </w:p>
        </w:tc>
      </w:tr>
    </w:tbl>
    <w:p w:rsidR="00000000" w:rsidRPr="002B517F" w:rsidP="002B517F">
      <w:pPr>
        <w:pStyle w:val="BodyText"/>
      </w:pPr>
    </w:p>
    <w:tbl>
      <w:tblPr>
        <w:tblW w:w="0" w:type="auto"/>
        <w:tblLayout w:type="fixed"/>
        <w:tblCellMar>
          <w:left w:w="62" w:type="dxa"/>
          <w:right w:w="62" w:type="dxa"/>
        </w:tblCellMar>
        <w:tblLook w:val="0000"/>
      </w:tblPr>
      <w:tblGrid>
        <w:gridCol w:w="1890"/>
        <w:gridCol w:w="6570"/>
      </w:tblGrid>
      <w:tr w:rsidTr="009C7E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B517F" w:rsidP="002B517F">
            <w:pPr>
              <w:pStyle w:val="BodyText"/>
            </w:pPr>
            <w:r w:rsidRPr="002B517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rPr>
                <w:rStyle w:val="SpecialBold"/>
              </w:rPr>
              <w:t>9.4)</w:t>
            </w:r>
          </w:p>
        </w:tc>
      </w:tr>
      <w:tr w:rsidTr="009C7E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B517F" w:rsidP="002B517F">
            <w:pPr>
              <w:pStyle w:val="BodyText"/>
            </w:pPr>
            <w:r w:rsidRPr="002B517F">
              <w:t>This Competency Standard Unit shall be assessed by methods given in Volume 1, Part 3 “Assessment Guidelines”.</w:t>
            </w:r>
          </w:p>
          <w:p w:rsidR="00000000" w:rsidRPr="002B517F" w:rsidP="002B517F">
            <w:pPr>
              <w:pStyle w:val="BodyText"/>
            </w:pPr>
            <w:r w:rsidRPr="002B517F">
              <w:t>Note:</w:t>
            </w:r>
          </w:p>
          <w:p w:rsidR="00000000" w:rsidRPr="002B517F" w:rsidP="002B517F">
            <w:pPr>
              <w:pStyle w:val="BodyText"/>
            </w:pPr>
            <w:r w:rsidRPr="002B517F">
              <w:t>Competent performance with inherent safe working practices is expected in the Transmission, Distribution and Rai</w:t>
            </w:r>
            <w:r w:rsidRPr="002B517F">
              <w:t>l Traction Industry. This requires that the specified essential knowledge and associated skills are assessed in a structured environment which is primarily intended for learning/assessment and incorporates all necessary equipment and facilities for learner</w:t>
            </w:r>
            <w:r w:rsidRPr="002B517F">
              <w:t>s to develop and demonstrate the essential knowledge and associated skills described in this unit.</w:t>
            </w:r>
          </w:p>
        </w:tc>
      </w:tr>
    </w:tbl>
    <w:p w:rsidR="00000000" w:rsidRPr="002B517F" w:rsidP="002B517F">
      <w:pPr>
        <w:pStyle w:val="BodyText"/>
      </w:pPr>
    </w:p>
    <w:tbl>
      <w:tblPr>
        <w:tblW w:w="0" w:type="auto"/>
        <w:tblLayout w:type="fixed"/>
        <w:tblCellMar>
          <w:left w:w="62" w:type="dxa"/>
          <w:right w:w="62" w:type="dxa"/>
        </w:tblCellMar>
        <w:tblLook w:val="0000"/>
      </w:tblPr>
      <w:tblGrid>
        <w:gridCol w:w="1890"/>
        <w:gridCol w:w="6570"/>
      </w:tblGrid>
      <w:tr w:rsidTr="009C7E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B517F" w:rsidP="002B517F">
            <w:pPr>
              <w:pStyle w:val="BodyText"/>
            </w:pPr>
            <w:r w:rsidRPr="002B517F">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rPr>
                <w:rStyle w:val="SpecialBold"/>
              </w:rPr>
              <w:t>9.5)</w:t>
            </w:r>
          </w:p>
        </w:tc>
      </w:tr>
      <w:tr w:rsidTr="009C7E6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B517F" w:rsidP="002B517F">
            <w:pPr>
              <w:pStyle w:val="BodyText"/>
            </w:pPr>
            <w:r w:rsidRPr="002B517F">
              <w:t>There are no concurrent assessment recommendations for this unit.</w:t>
            </w:r>
          </w:p>
        </w:tc>
      </w:tr>
    </w:tbl>
    <w:p w:rsidR="00000000" w:rsidRPr="002B517F" w:rsidP="002B517F">
      <w:pPr>
        <w:pStyle w:val="BodyText"/>
      </w:pPr>
    </w:p>
    <w:p w:rsidR="00000000" w:rsidRPr="002B517F" w:rsidP="002B517F">
      <w:pPr>
        <w:pStyle w:val="AllowPageBreak"/>
      </w:pPr>
    </w:p>
    <w:p w:rsidR="00000000" w:rsidRPr="002B517F" w:rsidP="002B517F">
      <w:pPr>
        <w:pStyle w:val="Heading1"/>
      </w:pPr>
      <w:bookmarkStart w:id="11" w:name="O_459920"/>
      <w:bookmarkEnd w:id="11"/>
      <w:r w:rsidRPr="002B517F">
        <w:t>Range S</w:t>
      </w:r>
      <w:r w:rsidRPr="002B517F">
        <w:t>tatement</w:t>
      </w:r>
    </w:p>
    <w:tbl>
      <w:tblPr>
        <w:tblW w:w="0" w:type="auto"/>
        <w:tblLayout w:type="fixed"/>
        <w:tblCellMar>
          <w:left w:w="62" w:type="dxa"/>
          <w:right w:w="62" w:type="dxa"/>
        </w:tblCellMar>
        <w:tblLook w:val="0000"/>
      </w:tblPr>
      <w:tblGrid>
        <w:gridCol w:w="8460"/>
      </w:tblGrid>
      <w:tr w:rsidTr="009C7E6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rPr>
                <w:rStyle w:val="SpecialBold"/>
              </w:rPr>
              <w:t>RANGE STATEMENT</w:t>
            </w:r>
          </w:p>
        </w:tc>
      </w:tr>
      <w:tr w:rsidTr="009C7E6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B517F" w:rsidP="002B517F">
            <w:pPr>
              <w:pStyle w:val="BodyText"/>
            </w:pPr>
            <w:r w:rsidRPr="002B517F">
              <w:rPr>
                <w:rStyle w:val="SpecialBold"/>
              </w:rPr>
              <w:t>10)</w:t>
            </w:r>
            <w:r w:rsidRPr="002B517F">
              <w:t xml:space="preserve"> This relates to the competency standard unit as a whole providing the range of contexts and </w:t>
            </w:r>
            <w:r w:rsidRPr="002B517F">
              <w:t>conditions to which the Performance Criteria apply. It allows for different work environments and situations that will affect performance.</w:t>
            </w:r>
          </w:p>
          <w:p w:rsidR="00000000" w:rsidRPr="002B517F" w:rsidP="002B517F">
            <w:pPr>
              <w:pStyle w:val="BodyText"/>
            </w:pPr>
            <w:r w:rsidRPr="002B517F">
              <w:t>This Competency Standard Unit may be demonstrated in relation to the commissioning of distribution field devices. The</w:t>
            </w:r>
            <w:r w:rsidRPr="002B517F">
              <w:t>se devices may include:</w:t>
            </w:r>
          </w:p>
          <w:p w:rsidR="00000000" w:rsidRPr="002B517F" w:rsidP="002B517F">
            <w:pPr>
              <w:pStyle w:val="BodyText"/>
            </w:pPr>
            <w:r w:rsidRPr="002B517F">
              <w:t>Automatic circuit reclosers (ACRs), gas switches, secondary injection tests, primary injection tests, TMR radio’s, SCADA, remote control, overcurrent, earth fault, sensitive earth fault, inverse time curves, definite time curves, tr</w:t>
            </w:r>
            <w:r w:rsidRPr="002B517F">
              <w:t>ipping, reclose, DC supplies, AC supplies, alarms.</w:t>
            </w:r>
          </w:p>
          <w:p w:rsidR="00000000" w:rsidRPr="002B517F" w:rsidP="002B517F">
            <w:pPr>
              <w:pStyle w:val="BodyText"/>
            </w:pPr>
            <w:r w:rsidRPr="002B517F">
              <w:t>The following constants and variables included in the element/Performance Criteria in this unit are fully described in the Definitions Section 1 of this volume and form an integral part of the Range Statem</w:t>
            </w:r>
            <w:r w:rsidRPr="002B517F">
              <w:t>ent of this unit:</w:t>
            </w:r>
          </w:p>
          <w:p w:rsidR="00000000" w:rsidRPr="002B517F" w:rsidP="002B517F">
            <w:pPr>
              <w:pStyle w:val="ListBullet3"/>
            </w:pPr>
            <w:r w:rsidRPr="002B517F">
              <w:t>Appropriate and relevant persons (see Personnel)</w:t>
            </w:r>
          </w:p>
          <w:p w:rsidR="00000000" w:rsidRPr="002B517F" w:rsidP="002B517F">
            <w:pPr>
              <w:pStyle w:val="ListBullet3"/>
            </w:pPr>
            <w:r w:rsidRPr="002B517F">
              <w:t>Appropriate authorities</w:t>
            </w:r>
          </w:p>
          <w:p w:rsidR="00000000" w:rsidRPr="002B517F" w:rsidP="002B517F">
            <w:pPr>
              <w:pStyle w:val="ListBullet3"/>
            </w:pPr>
            <w:r w:rsidRPr="002B517F">
              <w:t>Appropriate work platform</w:t>
            </w:r>
          </w:p>
          <w:p w:rsidR="00000000" w:rsidRPr="002B517F" w:rsidP="002B517F">
            <w:pPr>
              <w:pStyle w:val="ListBullet3"/>
            </w:pPr>
            <w:r w:rsidRPr="002B517F">
              <w:t>Assessing risk</w:t>
            </w:r>
          </w:p>
          <w:p w:rsidR="00000000" w:rsidRPr="002B517F" w:rsidP="002B517F">
            <w:pPr>
              <w:pStyle w:val="ListBullet3"/>
            </w:pPr>
            <w:r w:rsidRPr="002B517F">
              <w:t>Assessment</w:t>
            </w:r>
          </w:p>
          <w:p w:rsidR="00000000" w:rsidRPr="002B517F" w:rsidP="002B517F">
            <w:pPr>
              <w:pStyle w:val="ListBullet3"/>
            </w:pPr>
            <w:r w:rsidRPr="002B517F">
              <w:t>Authorisation</w:t>
            </w:r>
          </w:p>
          <w:p w:rsidR="00000000" w:rsidRPr="002B517F" w:rsidP="002B517F">
            <w:pPr>
              <w:pStyle w:val="ListBullet3"/>
            </w:pPr>
            <w:r w:rsidRPr="002B517F">
              <w:t>Confined space</w:t>
            </w:r>
          </w:p>
          <w:p w:rsidR="00000000" w:rsidRPr="002B517F" w:rsidP="002B517F">
            <w:pPr>
              <w:pStyle w:val="ListBullet3"/>
            </w:pPr>
            <w:r w:rsidRPr="002B517F">
              <w:t>Diagnostic, testing and restoration</w:t>
            </w:r>
          </w:p>
          <w:p w:rsidR="00000000" w:rsidRPr="002B517F" w:rsidP="002B517F">
            <w:pPr>
              <w:pStyle w:val="ListBullet3"/>
            </w:pPr>
            <w:r w:rsidRPr="002B517F">
              <w:t xml:space="preserve">Documenting detail work events, record keeping </w:t>
            </w:r>
            <w:r w:rsidRPr="002B517F">
              <w:t>and or storage of information</w:t>
            </w:r>
          </w:p>
          <w:p w:rsidR="00000000" w:rsidRPr="002B517F" w:rsidP="002B517F">
            <w:pPr>
              <w:pStyle w:val="ListBullet3"/>
            </w:pPr>
            <w:r w:rsidRPr="002B517F">
              <w:t>Drawings and specifications</w:t>
            </w:r>
          </w:p>
          <w:p w:rsidR="00000000" w:rsidRPr="002B517F" w:rsidP="002B517F">
            <w:pPr>
              <w:pStyle w:val="ListBullet3"/>
            </w:pPr>
            <w:r w:rsidRPr="002B517F">
              <w:t>Emergency</w:t>
            </w:r>
          </w:p>
          <w:p w:rsidR="00000000" w:rsidRPr="002B517F" w:rsidP="002B517F">
            <w:pPr>
              <w:pStyle w:val="ListBullet3"/>
            </w:pPr>
            <w:r w:rsidRPr="002B517F">
              <w:t>Environmental and sustainable energy procedures</w:t>
            </w:r>
          </w:p>
          <w:p w:rsidR="00000000" w:rsidRPr="002B517F" w:rsidP="002B517F">
            <w:pPr>
              <w:pStyle w:val="ListBullet3"/>
            </w:pPr>
            <w:r w:rsidRPr="002B517F">
              <w:t>Environmental legislation</w:t>
            </w:r>
          </w:p>
          <w:p w:rsidR="00000000" w:rsidRPr="002B517F" w:rsidP="002B517F">
            <w:pPr>
              <w:pStyle w:val="ListBullet3"/>
            </w:pPr>
            <w:r w:rsidRPr="002B517F">
              <w:t>Environmental management documentation</w:t>
            </w:r>
          </w:p>
          <w:p w:rsidR="00000000" w:rsidRPr="002B517F" w:rsidP="002B517F">
            <w:pPr>
              <w:pStyle w:val="ListBullet3"/>
            </w:pPr>
            <w:r w:rsidRPr="002B517F">
              <w:t>Established procedures</w:t>
            </w:r>
          </w:p>
          <w:p w:rsidR="00000000" w:rsidRPr="002B517F" w:rsidP="002B517F">
            <w:pPr>
              <w:pStyle w:val="ListBullet3"/>
            </w:pPr>
            <w:r w:rsidRPr="002B517F">
              <w:t>Fall prevention</w:t>
            </w:r>
          </w:p>
          <w:p w:rsidR="00000000" w:rsidRPr="002B517F" w:rsidP="002B517F">
            <w:pPr>
              <w:pStyle w:val="ListBullet3"/>
            </w:pPr>
            <w:r w:rsidRPr="002B517F">
              <w:t>Hazards</w:t>
            </w:r>
          </w:p>
          <w:p w:rsidR="00000000" w:rsidRPr="002B517F" w:rsidP="002B517F">
            <w:pPr>
              <w:pStyle w:val="ListBullet3"/>
            </w:pPr>
            <w:r w:rsidRPr="002B517F">
              <w:t>Identifying hazards</w:t>
            </w:r>
          </w:p>
          <w:p w:rsidR="00000000" w:rsidRPr="002B517F" w:rsidP="002B517F">
            <w:pPr>
              <w:pStyle w:val="ListBullet3"/>
            </w:pPr>
            <w:r w:rsidRPr="002B517F">
              <w:t>Inspect</w:t>
            </w:r>
          </w:p>
          <w:p w:rsidR="00000000" w:rsidRPr="002B517F" w:rsidP="002B517F">
            <w:pPr>
              <w:pStyle w:val="ListBullet3"/>
            </w:pPr>
            <w:r w:rsidRPr="002B517F">
              <w:t>Legislation</w:t>
            </w:r>
          </w:p>
          <w:p w:rsidR="00000000" w:rsidRPr="002B517F" w:rsidP="002B517F">
            <w:pPr>
              <w:pStyle w:val="ListBullet3"/>
            </w:pPr>
            <w:r w:rsidRPr="002B517F">
              <w:t>MSDS</w:t>
            </w:r>
          </w:p>
          <w:p w:rsidR="00000000" w:rsidRPr="002B517F" w:rsidP="002B517F">
            <w:pPr>
              <w:pStyle w:val="ListBullet3"/>
            </w:pPr>
            <w:r w:rsidRPr="002B517F">
              <w:t>Notification</w:t>
            </w:r>
          </w:p>
          <w:p w:rsidR="00000000" w:rsidRPr="002B517F" w:rsidP="002B517F">
            <w:pPr>
              <w:pStyle w:val="ListBullet3"/>
            </w:pPr>
            <w:r w:rsidRPr="002B517F">
              <w:t>OHS practices</w:t>
            </w:r>
          </w:p>
          <w:p w:rsidR="00000000" w:rsidRPr="002B517F" w:rsidP="002B517F">
            <w:pPr>
              <w:pStyle w:val="ListBullet3"/>
            </w:pPr>
            <w:r w:rsidRPr="002B517F">
              <w:t>OHS issues</w:t>
            </w:r>
          </w:p>
          <w:p w:rsidR="00000000" w:rsidRPr="002B517F" w:rsidP="002B517F">
            <w:pPr>
              <w:pStyle w:val="ListBullet3"/>
            </w:pPr>
            <w:r w:rsidRPr="002B517F">
              <w:t>Permits and/or permits to work</w:t>
            </w:r>
          </w:p>
          <w:p w:rsidR="00000000" w:rsidRPr="002B517F" w:rsidP="002B517F">
            <w:pPr>
              <w:pStyle w:val="ListBullet3"/>
            </w:pPr>
            <w:r w:rsidRPr="002B517F">
              <w:t>Personnel</w:t>
            </w:r>
          </w:p>
          <w:p w:rsidR="00000000" w:rsidRPr="002B517F" w:rsidP="002B517F">
            <w:pPr>
              <w:pStyle w:val="ListBullet3"/>
            </w:pPr>
            <w:r w:rsidRPr="002B517F">
              <w:t>Quality assurance systems</w:t>
            </w:r>
          </w:p>
          <w:p w:rsidR="00000000" w:rsidRPr="002B517F" w:rsidP="002B517F">
            <w:pPr>
              <w:pStyle w:val="ListBullet3"/>
            </w:pPr>
            <w:r w:rsidRPr="002B517F">
              <w:t>Requirements</w:t>
            </w:r>
          </w:p>
          <w:p w:rsidR="00000000" w:rsidRPr="002B517F" w:rsidP="002B517F">
            <w:pPr>
              <w:pStyle w:val="ListBullet3"/>
            </w:pPr>
            <w:r w:rsidRPr="002B517F">
              <w:t>Testing procedures</w:t>
            </w:r>
          </w:p>
          <w:p w:rsidR="00000000" w:rsidRPr="002B517F" w:rsidP="002B517F">
            <w:pPr>
              <w:pStyle w:val="ListBullet3"/>
            </w:pPr>
            <w:r w:rsidRPr="002B517F">
              <w:t>Work clearance systems</w:t>
            </w:r>
          </w:p>
        </w:tc>
      </w:tr>
    </w:tbl>
    <w:p w:rsidR="00000000" w:rsidRPr="002B517F" w:rsidP="002B517F">
      <w:pPr>
        <w:pStyle w:val="BodyText"/>
      </w:pPr>
    </w:p>
    <w:p w:rsidR="00000000" w:rsidRPr="002B517F" w:rsidP="002B517F">
      <w:pPr>
        <w:pStyle w:val="AllowPageBreak"/>
      </w:pPr>
    </w:p>
    <w:p w:rsidR="00000000" w:rsidRPr="002B517F" w:rsidP="002B517F">
      <w:pPr>
        <w:pStyle w:val="Heading1"/>
      </w:pPr>
      <w:bookmarkStart w:id="12" w:name="O_459923"/>
      <w:bookmarkEnd w:id="12"/>
      <w:r w:rsidRPr="002B517F">
        <w:t>Unit Sector(s)</w:t>
      </w:r>
    </w:p>
    <w:p w:rsidR="00000000" w:rsidRPr="002B517F" w:rsidP="002B517F">
      <w:pPr>
        <w:pStyle w:val="BodyText"/>
      </w:pPr>
      <w:r w:rsidRPr="002B517F">
        <w:t>Not applicable.</w:t>
      </w:r>
    </w:p>
    <w:p w:rsidR="00000000" w:rsidRPr="002B517F" w:rsidP="002B517F">
      <w:pPr>
        <w:pStyle w:val="AllowPageBreak"/>
      </w:pPr>
    </w:p>
    <w:p w:rsidR="00000000" w:rsidRPr="002B517F" w:rsidP="002B517F">
      <w:pPr>
        <w:pStyle w:val="Heading1"/>
      </w:pPr>
      <w:bookmarkStart w:id="13" w:name="O_459912"/>
      <w:bookmarkEnd w:id="13"/>
      <w:r w:rsidRPr="002B517F">
        <w:t>Competency Field</w:t>
      </w:r>
    </w:p>
    <w:tbl>
      <w:tblPr>
        <w:tblW w:w="0" w:type="auto"/>
        <w:tblLayout w:type="fixed"/>
        <w:tblCellMar>
          <w:left w:w="62" w:type="dxa"/>
          <w:right w:w="62" w:type="dxa"/>
        </w:tblCellMar>
        <w:tblLook w:val="0000"/>
      </w:tblPr>
      <w:tblGrid>
        <w:gridCol w:w="2700"/>
        <w:gridCol w:w="5760"/>
      </w:tblGrid>
      <w:tr w:rsidTr="009C7E6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B517F" w:rsidP="002B517F">
            <w:pPr>
              <w:pStyle w:val="BodyText"/>
            </w:pPr>
            <w:r w:rsidRPr="002B517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B517F">
            <w:pPr>
              <w:pStyle w:val="BodyText"/>
              <w:rPr>
                <w:lang w:val="en-NZ"/>
              </w:rPr>
            </w:pPr>
            <w:r w:rsidRPr="002B517F">
              <w:rPr>
                <w:rStyle w:val="SpecialBold"/>
              </w:rPr>
              <w:t xml:space="preserve">11) </w:t>
            </w:r>
          </w:p>
        </w:tc>
      </w:tr>
      <w:tr w:rsidTr="009C7E6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B517F" w:rsidP="002B517F">
            <w:pPr>
              <w:pStyle w:val="BodyText"/>
            </w:pPr>
            <w:r w:rsidRPr="002B517F">
              <w:t>Substation Units</w:t>
            </w:r>
          </w:p>
        </w:tc>
      </w:tr>
    </w:tbl>
    <w:p w:rsidR="00000000" w:rsidRPr="002B517F" w:rsidP="002B517F">
      <w:pPr>
        <w:pStyle w:val="BodyText"/>
      </w:pPr>
    </w:p>
    <w:p w:rsidR="00000000" w:rsidRPr="002B517F" w:rsidP="002B517F"/>
    <w:sectPr w:rsidSect="002B51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1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7E68" w:rsidP="009C7E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1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E68" w:rsidP="002B51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C7E68" w:rsidP="002B51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C7E68" w:rsidP="002B51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1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7E68" w:rsidP="009C7E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1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E68" w:rsidP="002B517F">
    <w:pPr>
      <w:pStyle w:val="Header"/>
      <w:framePr w:wrap="around"/>
    </w:pPr>
    <w:r>
      <w:fldChar w:fldCharType="begin"/>
    </w:r>
    <w:r>
      <w:instrText xml:space="preserve"> TITLE   \* MERGEFORMAT </w:instrText>
    </w:r>
    <w:r>
      <w:fldChar w:fldCharType="separate"/>
    </w:r>
    <w:r>
      <w:t>UETTDRSB38A Commission power system distribution field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C7E68" w:rsidP="002B51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A066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A8C3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8063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1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517F"/>
    <w:pPr>
      <w:spacing w:before="360" w:after="60"/>
      <w:outlineLvl w:val="0"/>
    </w:pPr>
    <w:rPr>
      <w:sz w:val="32"/>
    </w:rPr>
  </w:style>
  <w:style w:type="paragraph" w:styleId="Heading2">
    <w:name w:val="heading 2"/>
    <w:basedOn w:val="HeadingBase"/>
    <w:next w:val="BodyText"/>
    <w:link w:val="Heading2Char"/>
    <w:qFormat/>
    <w:rsid w:val="002B517F"/>
    <w:pPr>
      <w:keepLines/>
      <w:spacing w:before="240" w:after="120"/>
      <w:outlineLvl w:val="1"/>
    </w:pPr>
    <w:rPr>
      <w:sz w:val="28"/>
      <w:szCs w:val="40"/>
    </w:rPr>
  </w:style>
  <w:style w:type="paragraph" w:styleId="Heading3">
    <w:name w:val="heading 3"/>
    <w:basedOn w:val="HeadingBase"/>
    <w:next w:val="BodyText"/>
    <w:link w:val="Heading3Char"/>
    <w:qFormat/>
    <w:rsid w:val="002B517F"/>
    <w:pPr>
      <w:spacing w:before="180" w:after="120"/>
      <w:outlineLvl w:val="2"/>
    </w:pPr>
    <w:rPr>
      <w:spacing w:val="-10"/>
      <w:kern w:val="32"/>
    </w:rPr>
  </w:style>
  <w:style w:type="paragraph" w:styleId="Heading4">
    <w:name w:val="heading 4"/>
    <w:basedOn w:val="HeadingBase"/>
    <w:next w:val="BodyText"/>
    <w:link w:val="Heading4Char"/>
    <w:qFormat/>
    <w:rsid w:val="002B517F"/>
    <w:pPr>
      <w:spacing w:before="160" w:after="120"/>
      <w:outlineLvl w:val="3"/>
    </w:pPr>
    <w:rPr>
      <w:sz w:val="22"/>
    </w:rPr>
  </w:style>
  <w:style w:type="paragraph" w:styleId="Heading5">
    <w:name w:val="heading 5"/>
    <w:basedOn w:val="HeadingBase"/>
    <w:next w:val="Normal"/>
    <w:link w:val="Heading5Char"/>
    <w:qFormat/>
    <w:rsid w:val="002B517F"/>
    <w:pPr>
      <w:spacing w:before="80"/>
      <w:outlineLvl w:val="4"/>
    </w:pPr>
    <w:rPr>
      <w:color w:val="918585"/>
      <w:sz w:val="20"/>
    </w:rPr>
  </w:style>
  <w:style w:type="paragraph" w:styleId="Heading6">
    <w:name w:val="heading 6"/>
    <w:basedOn w:val="HeadingBase"/>
    <w:next w:val="Normal"/>
    <w:link w:val="Heading6Char"/>
    <w:qFormat/>
    <w:rsid w:val="002B517F"/>
    <w:pPr>
      <w:spacing w:before="60"/>
      <w:outlineLvl w:val="5"/>
    </w:pPr>
    <w:rPr>
      <w:color w:val="918585"/>
      <w:sz w:val="20"/>
    </w:rPr>
  </w:style>
  <w:style w:type="paragraph" w:styleId="Heading7">
    <w:name w:val="heading 7"/>
    <w:basedOn w:val="Normal"/>
    <w:next w:val="Normal"/>
    <w:link w:val="Heading7Char"/>
    <w:qFormat/>
    <w:rsid w:val="002B517F"/>
    <w:pPr>
      <w:ind w:left="720"/>
      <w:outlineLvl w:val="6"/>
    </w:pPr>
    <w:rPr>
      <w:i/>
    </w:rPr>
  </w:style>
  <w:style w:type="paragraph" w:styleId="Heading8">
    <w:name w:val="heading 8"/>
    <w:basedOn w:val="Normal"/>
    <w:next w:val="Normal"/>
    <w:link w:val="Heading8Char"/>
    <w:qFormat/>
    <w:rsid w:val="002B517F"/>
    <w:pPr>
      <w:ind w:left="720"/>
      <w:outlineLvl w:val="7"/>
    </w:pPr>
    <w:rPr>
      <w:i/>
    </w:rPr>
  </w:style>
  <w:style w:type="paragraph" w:styleId="Heading9">
    <w:name w:val="heading 9"/>
    <w:basedOn w:val="Normal"/>
    <w:next w:val="Normal"/>
    <w:link w:val="Heading9Char"/>
    <w:qFormat/>
    <w:rsid w:val="002B517F"/>
    <w:pPr>
      <w:ind w:left="720"/>
      <w:outlineLvl w:val="8"/>
    </w:pPr>
    <w:rPr>
      <w:i/>
    </w:rPr>
  </w:style>
  <w:style w:type="character" w:default="1" w:styleId="DefaultParagraphFont">
    <w:name w:val="Default Paragraph Font"/>
    <w:uiPriority w:val="1"/>
    <w:unhideWhenUsed/>
    <w:rsid w:val="002B51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517F"/>
  </w:style>
  <w:style w:type="character" w:customStyle="1" w:styleId="Heading1Char">
    <w:name w:val="Heading 1 Char"/>
    <w:basedOn w:val="DefaultParagraphFont"/>
    <w:link w:val="Heading1"/>
    <w:rsid w:val="002B517F"/>
    <w:rPr>
      <w:rFonts w:ascii="Times New Roman" w:eastAsia="Times New Roman" w:hAnsi="Times New Roman" w:cs="Times New Roman"/>
      <w:b/>
      <w:sz w:val="32"/>
      <w:szCs w:val="20"/>
      <w:lang w:eastAsia="en-US"/>
    </w:rPr>
  </w:style>
  <w:style w:type="paragraph" w:styleId="BodyText">
    <w:name w:val="Body Text"/>
    <w:basedOn w:val="Normal"/>
    <w:link w:val="BodyTextChar"/>
    <w:rsid w:val="002B51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517F"/>
    <w:rPr>
      <w:rFonts w:ascii="Times New Roman" w:eastAsia="Times New Roman" w:hAnsi="Times New Roman" w:cs="Times New Roman"/>
      <w:sz w:val="24"/>
      <w:lang w:val="en-US" w:eastAsia="en-US"/>
    </w:rPr>
  </w:style>
  <w:style w:type="paragraph" w:styleId="Footer">
    <w:name w:val="footer"/>
    <w:basedOn w:val="Normal"/>
    <w:link w:val="FooterChar"/>
    <w:rsid w:val="002B51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517F"/>
    <w:rPr>
      <w:rFonts w:ascii="Times New Roman" w:eastAsia="Times New Roman" w:hAnsi="Times New Roman" w:cs="Times New Roman"/>
      <w:sz w:val="16"/>
      <w:lang w:val="en-US" w:eastAsia="en-US"/>
    </w:rPr>
  </w:style>
  <w:style w:type="paragraph" w:styleId="ListBullet">
    <w:name w:val="List Bullet"/>
    <w:basedOn w:val="List"/>
    <w:rsid w:val="002B517F"/>
    <w:pPr>
      <w:numPr>
        <w:numId w:val="14"/>
      </w:numPr>
      <w:tabs>
        <w:tab w:val="clear" w:pos="340"/>
      </w:tabs>
      <w:spacing w:before="40" w:after="40"/>
    </w:pPr>
  </w:style>
  <w:style w:type="character" w:customStyle="1" w:styleId="SpecialBold">
    <w:name w:val="Special Bold"/>
    <w:basedOn w:val="DefaultParagraphFont"/>
    <w:rsid w:val="002B517F"/>
    <w:rPr>
      <w:b/>
      <w:spacing w:val="0"/>
    </w:rPr>
  </w:style>
  <w:style w:type="paragraph" w:styleId="ListBullet2">
    <w:name w:val="List Bullet 2"/>
    <w:basedOn w:val="List2"/>
    <w:rsid w:val="002B517F"/>
    <w:pPr>
      <w:numPr>
        <w:numId w:val="15"/>
      </w:numPr>
      <w:tabs>
        <w:tab w:val="clear" w:pos="680"/>
      </w:tabs>
    </w:pPr>
  </w:style>
  <w:style w:type="paragraph" w:styleId="Header">
    <w:name w:val="header"/>
    <w:basedOn w:val="Normal"/>
    <w:link w:val="HeaderChar"/>
    <w:rsid w:val="002B51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51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517F"/>
    <w:pPr>
      <w:spacing w:before="240" w:after="120"/>
      <w:outlineLvl w:val="0"/>
    </w:pPr>
    <w:rPr>
      <w:rFonts w:ascii="Times New Roman" w:hAnsi="Times New Roman"/>
      <w:b/>
      <w:sz w:val="28"/>
    </w:rPr>
  </w:style>
  <w:style w:type="paragraph" w:customStyle="1" w:styleId="AllowPageBreak">
    <w:name w:val="AllowPageBreak"/>
    <w:rsid w:val="002B517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B517F"/>
    <w:pPr>
      <w:numPr>
        <w:numId w:val="3"/>
      </w:numPr>
      <w:tabs>
        <w:tab w:val="clear" w:pos="1021"/>
      </w:tabs>
      <w:ind w:left="1037" w:hanging="357"/>
    </w:pPr>
  </w:style>
  <w:style w:type="character" w:customStyle="1" w:styleId="Heading2Char">
    <w:name w:val="Heading 2 Char"/>
    <w:basedOn w:val="DefaultParagraphFont"/>
    <w:link w:val="Heading2"/>
    <w:rsid w:val="002B51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51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51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51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51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51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51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517F"/>
    <w:rPr>
      <w:rFonts w:ascii="Courier New" w:eastAsia="Times New Roman" w:hAnsi="Courier New" w:cs="Times New Roman"/>
      <w:i/>
      <w:szCs w:val="20"/>
      <w:lang w:val="en-US" w:eastAsia="en-US"/>
    </w:rPr>
  </w:style>
  <w:style w:type="paragraph" w:customStyle="1" w:styleId="HeadingBase">
    <w:name w:val="Heading Base"/>
    <w:rsid w:val="002B51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517F"/>
    <w:pPr>
      <w:tabs>
        <w:tab w:val="right" w:leader="dot" w:pos="9072"/>
      </w:tabs>
      <w:ind w:left="567"/>
    </w:pPr>
    <w:rPr>
      <w:szCs w:val="22"/>
    </w:rPr>
  </w:style>
  <w:style w:type="paragraph" w:customStyle="1" w:styleId="TOCBase">
    <w:name w:val="TOC Base"/>
    <w:rsid w:val="002B51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517F"/>
    <w:pPr>
      <w:tabs>
        <w:tab w:val="right" w:leader="dot" w:pos="9072"/>
      </w:tabs>
      <w:spacing w:before="40" w:after="40"/>
      <w:ind w:left="284"/>
    </w:pPr>
    <w:rPr>
      <w:rFonts w:ascii="Times New Roman" w:hAnsi="Times New Roman"/>
    </w:rPr>
  </w:style>
  <w:style w:type="paragraph" w:styleId="TOC1">
    <w:name w:val="toc 1"/>
    <w:basedOn w:val="TOCBase"/>
    <w:next w:val="Normal"/>
    <w:rsid w:val="002B51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517F"/>
    <w:pPr>
      <w:spacing w:before="5040"/>
      <w:jc w:val="center"/>
    </w:pPr>
    <w:rPr>
      <w:sz w:val="48"/>
      <w:szCs w:val="72"/>
      <w:lang w:val="en-US"/>
    </w:rPr>
  </w:style>
  <w:style w:type="character" w:customStyle="1" w:styleId="TitleChar">
    <w:name w:val="Title Char"/>
    <w:basedOn w:val="DefaultParagraphFont"/>
    <w:link w:val="Title"/>
    <w:rsid w:val="002B51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517F"/>
    <w:pPr>
      <w:tabs>
        <w:tab w:val="left" w:pos="3600"/>
        <w:tab w:val="left" w:pos="3958"/>
      </w:tabs>
    </w:pPr>
  </w:style>
  <w:style w:type="paragraph" w:styleId="List">
    <w:name w:val="List"/>
    <w:basedOn w:val="BodyText"/>
    <w:next w:val="BodyText"/>
    <w:rsid w:val="002B517F"/>
    <w:pPr>
      <w:tabs>
        <w:tab w:val="left" w:pos="340"/>
      </w:tabs>
      <w:spacing w:before="60" w:after="60"/>
      <w:ind w:left="340" w:hanging="340"/>
    </w:pPr>
  </w:style>
  <w:style w:type="paragraph" w:customStyle="1" w:styleId="Note">
    <w:name w:val="Note"/>
    <w:basedOn w:val="BodyText"/>
    <w:rsid w:val="002B51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517F"/>
    <w:pPr>
      <w:framePr w:wrap="auto" w:hAnchor="text" w:y="6049"/>
    </w:pPr>
    <w:rPr>
      <w:color w:val="000000"/>
      <w:sz w:val="40"/>
    </w:rPr>
  </w:style>
  <w:style w:type="paragraph" w:customStyle="1" w:styleId="TOCTitle">
    <w:name w:val="TOCTitle"/>
    <w:basedOn w:val="Heading1"/>
    <w:rsid w:val="002B517F"/>
    <w:pPr>
      <w:spacing w:after="240"/>
      <w:jc w:val="center"/>
      <w:outlineLvl w:val="9"/>
    </w:pPr>
    <w:rPr>
      <w:caps/>
    </w:rPr>
  </w:style>
  <w:style w:type="paragraph" w:customStyle="1" w:styleId="Version">
    <w:name w:val="Version"/>
    <w:rsid w:val="002B51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517F"/>
    <w:pPr>
      <w:keepNext w:val="0"/>
      <w:tabs>
        <w:tab w:val="right" w:pos="4176"/>
      </w:tabs>
      <w:ind w:left="198" w:hanging="198"/>
    </w:pPr>
    <w:rPr>
      <w:rFonts w:ascii="Garamond" w:hAnsi="Garamond"/>
    </w:rPr>
  </w:style>
  <w:style w:type="paragraph" w:styleId="IndexHeading">
    <w:name w:val="index heading"/>
    <w:basedOn w:val="Normal"/>
    <w:next w:val="Index1"/>
    <w:semiHidden/>
    <w:rsid w:val="002B517F"/>
    <w:pPr>
      <w:spacing w:before="120" w:after="120"/>
    </w:pPr>
    <w:rPr>
      <w:rFonts w:ascii="Arial" w:hAnsi="Arial"/>
      <w:b/>
      <w:color w:val="918585"/>
      <w:sz w:val="24"/>
    </w:rPr>
  </w:style>
  <w:style w:type="paragraph" w:customStyle="1" w:styleId="Chapter">
    <w:name w:val="Chapter"/>
    <w:basedOn w:val="Normal"/>
    <w:rsid w:val="002B517F"/>
    <w:pPr>
      <w:spacing w:before="240"/>
    </w:pPr>
    <w:rPr>
      <w:rFonts w:ascii="Times New Roman" w:hAnsi="Times New Roman"/>
      <w:smallCaps/>
      <w:spacing w:val="80"/>
      <w:sz w:val="28"/>
    </w:rPr>
  </w:style>
  <w:style w:type="paragraph" w:customStyle="1" w:styleId="InChapter">
    <w:name w:val="InChapter"/>
    <w:basedOn w:val="Heading3"/>
    <w:rsid w:val="002B517F"/>
    <w:pPr>
      <w:spacing w:after="240"/>
      <w:outlineLvl w:val="9"/>
    </w:pPr>
    <w:rPr>
      <w:noProof/>
    </w:rPr>
  </w:style>
  <w:style w:type="paragraph" w:styleId="Index2">
    <w:name w:val="index 2"/>
    <w:basedOn w:val="Normal"/>
    <w:next w:val="Normal"/>
    <w:semiHidden/>
    <w:rsid w:val="002B517F"/>
    <w:pPr>
      <w:tabs>
        <w:tab w:val="right" w:pos="4176"/>
      </w:tabs>
      <w:ind w:left="568" w:hanging="284"/>
    </w:pPr>
    <w:rPr>
      <w:rFonts w:ascii="Garamond" w:hAnsi="Garamond"/>
    </w:rPr>
  </w:style>
  <w:style w:type="paragraph" w:customStyle="1" w:styleId="Byline">
    <w:name w:val="Byline"/>
    <w:rsid w:val="002B51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517F"/>
    <w:pPr>
      <w:tabs>
        <w:tab w:val="clear" w:pos="3600"/>
        <w:tab w:val="clear" w:pos="3958"/>
      </w:tabs>
      <w:jc w:val="right"/>
    </w:pPr>
  </w:style>
  <w:style w:type="character" w:styleId="Emphasis">
    <w:name w:val="Emphasis"/>
    <w:basedOn w:val="DefaultParagraphFont"/>
    <w:qFormat/>
    <w:rsid w:val="002B517F"/>
    <w:rPr>
      <w:i/>
    </w:rPr>
  </w:style>
  <w:style w:type="paragraph" w:styleId="Caption">
    <w:name w:val="caption"/>
    <w:basedOn w:val="BodyText"/>
    <w:next w:val="Normal"/>
    <w:qFormat/>
    <w:rsid w:val="002B517F"/>
    <w:pPr>
      <w:framePr w:w="2268" w:hSpace="181" w:vSpace="181" w:wrap="around" w:vAnchor="text" w:hAnchor="page" w:x="1135" w:y="285" w:anchorLock="1"/>
    </w:pPr>
    <w:rPr>
      <w:i/>
    </w:rPr>
  </w:style>
  <w:style w:type="paragraph" w:customStyle="1" w:styleId="MiniTOCTitle">
    <w:name w:val="MiniTOCTitle"/>
    <w:basedOn w:val="Heading4"/>
    <w:rsid w:val="002B517F"/>
    <w:pPr>
      <w:spacing w:before="240"/>
      <w:outlineLvl w:val="9"/>
    </w:pPr>
    <w:rPr>
      <w:noProof/>
      <w:sz w:val="24"/>
    </w:rPr>
  </w:style>
  <w:style w:type="paragraph" w:customStyle="1" w:styleId="MiniTOCItem">
    <w:name w:val="MiniTOCItem"/>
    <w:basedOn w:val="ListBullet"/>
    <w:rsid w:val="002B517F"/>
    <w:pPr>
      <w:numPr>
        <w:numId w:val="0"/>
      </w:numPr>
      <w:tabs>
        <w:tab w:val="right" w:leader="dot" w:pos="6521"/>
      </w:tabs>
      <w:spacing w:before="0" w:after="0"/>
    </w:pPr>
  </w:style>
  <w:style w:type="paragraph" w:customStyle="1" w:styleId="TOFTitle">
    <w:name w:val="TOFTitle"/>
    <w:basedOn w:val="TOCTitle"/>
    <w:rsid w:val="002B517F"/>
  </w:style>
  <w:style w:type="paragraph" w:styleId="TableofFigures">
    <w:name w:val="table of figures"/>
    <w:basedOn w:val="Normal"/>
    <w:next w:val="Normal"/>
    <w:semiHidden/>
    <w:rsid w:val="002B517F"/>
    <w:pPr>
      <w:tabs>
        <w:tab w:val="right" w:leader="dot" w:pos="9072"/>
      </w:tabs>
      <w:ind w:left="970" w:hanging="403"/>
    </w:pPr>
    <w:rPr>
      <w:rFonts w:ascii="Times New Roman" w:hAnsi="Times New Roman"/>
      <w:b/>
    </w:rPr>
  </w:style>
  <w:style w:type="paragraph" w:styleId="ListNumber">
    <w:name w:val="List Number"/>
    <w:basedOn w:val="List"/>
    <w:rsid w:val="002B517F"/>
    <w:pPr>
      <w:numPr>
        <w:numId w:val="12"/>
      </w:numPr>
    </w:pPr>
  </w:style>
  <w:style w:type="character" w:customStyle="1" w:styleId="WingdingSymbols">
    <w:name w:val="Wingding Symbols"/>
    <w:rsid w:val="002B517F"/>
    <w:rPr>
      <w:rFonts w:ascii="Wingdings" w:hAnsi="Wingdings"/>
    </w:rPr>
  </w:style>
  <w:style w:type="paragraph" w:customStyle="1" w:styleId="TableHeading">
    <w:name w:val="Table Heading"/>
    <w:basedOn w:val="HeadingBase"/>
    <w:rsid w:val="002B517F"/>
    <w:pPr>
      <w:keepLines/>
      <w:pBdr>
        <w:bottom w:val="single" w:sz="6" w:space="1" w:color="918585"/>
      </w:pBdr>
      <w:spacing w:before="240"/>
    </w:pPr>
  </w:style>
  <w:style w:type="character" w:customStyle="1" w:styleId="HotSpot">
    <w:name w:val="HotSpot"/>
    <w:rsid w:val="002B517F"/>
    <w:rPr>
      <w:color w:val="0033CC"/>
      <w:u w:val="none"/>
    </w:rPr>
  </w:style>
  <w:style w:type="paragraph" w:customStyle="1" w:styleId="BodyTextRight">
    <w:name w:val="Body Text Right"/>
    <w:basedOn w:val="BodyText"/>
    <w:rsid w:val="002B517F"/>
    <w:pPr>
      <w:spacing w:before="0" w:after="0"/>
      <w:jc w:val="right"/>
    </w:pPr>
  </w:style>
  <w:style w:type="paragraph" w:styleId="Index3">
    <w:name w:val="index 3"/>
    <w:basedOn w:val="ListNumber2"/>
    <w:next w:val="Normal"/>
    <w:semiHidden/>
    <w:rsid w:val="002B517F"/>
    <w:pPr>
      <w:numPr>
        <w:numId w:val="0"/>
      </w:numPr>
      <w:tabs>
        <w:tab w:val="right" w:leader="dot" w:pos="4176"/>
      </w:tabs>
    </w:pPr>
  </w:style>
  <w:style w:type="paragraph" w:styleId="ListNumber2">
    <w:name w:val="List Number 2"/>
    <w:basedOn w:val="List2"/>
    <w:rsid w:val="002B517F"/>
    <w:pPr>
      <w:numPr>
        <w:numId w:val="11"/>
      </w:numPr>
      <w:tabs>
        <w:tab w:val="clear" w:pos="1060"/>
      </w:tabs>
    </w:pPr>
  </w:style>
  <w:style w:type="paragraph" w:customStyle="1" w:styleId="MarginNote">
    <w:name w:val="Margin Note"/>
    <w:basedOn w:val="BodyText"/>
    <w:rsid w:val="002B51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51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51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517F"/>
    <w:rPr>
      <w:sz w:val="32"/>
    </w:rPr>
  </w:style>
  <w:style w:type="paragraph" w:customStyle="1" w:styleId="HeadingProcedure">
    <w:name w:val="Heading Procedure"/>
    <w:basedOn w:val="HeadingBase"/>
    <w:next w:val="Normal"/>
    <w:rsid w:val="002B517F"/>
    <w:pPr>
      <w:tabs>
        <w:tab w:val="left" w:pos="0"/>
      </w:tabs>
      <w:spacing w:before="120" w:after="60"/>
    </w:pPr>
    <w:rPr>
      <w:i/>
      <w:color w:val="918585"/>
      <w:sz w:val="22"/>
    </w:rPr>
  </w:style>
  <w:style w:type="paragraph" w:customStyle="1" w:styleId="TableBodyText">
    <w:name w:val="Table Body Text"/>
    <w:basedOn w:val="BodyText"/>
    <w:rsid w:val="002B517F"/>
    <w:pPr>
      <w:spacing w:before="60" w:after="60"/>
    </w:pPr>
  </w:style>
  <w:style w:type="paragraph" w:styleId="ListContinue">
    <w:name w:val="List Continue"/>
    <w:basedOn w:val="List"/>
    <w:rsid w:val="002B517F"/>
    <w:pPr>
      <w:ind w:firstLine="0"/>
    </w:pPr>
  </w:style>
  <w:style w:type="paragraph" w:customStyle="1" w:styleId="ListNote">
    <w:name w:val="List Note"/>
    <w:basedOn w:val="List"/>
    <w:rsid w:val="002B517F"/>
    <w:pPr>
      <w:pBdr>
        <w:top w:val="single" w:sz="6" w:space="2" w:color="918585"/>
        <w:bottom w:val="single" w:sz="6" w:space="2" w:color="918585"/>
      </w:pBdr>
      <w:tabs>
        <w:tab w:val="left" w:pos="1021"/>
      </w:tabs>
      <w:ind w:firstLine="0"/>
    </w:pPr>
  </w:style>
  <w:style w:type="paragraph" w:customStyle="1" w:styleId="Warning">
    <w:name w:val="Warning"/>
    <w:basedOn w:val="BodyText"/>
    <w:rsid w:val="002B517F"/>
    <w:pPr>
      <w:shd w:val="clear" w:color="auto" w:fill="D9D9D9"/>
      <w:tabs>
        <w:tab w:val="left" w:pos="992"/>
      </w:tabs>
      <w:ind w:left="119" w:right="119"/>
    </w:pPr>
    <w:rPr>
      <w:sz w:val="20"/>
    </w:rPr>
  </w:style>
  <w:style w:type="paragraph" w:customStyle="1" w:styleId="MarginIcons">
    <w:name w:val="Margin Icons"/>
    <w:basedOn w:val="BodyText"/>
    <w:rsid w:val="002B51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517F"/>
    <w:rPr>
      <w:rFonts w:ascii="Courier New" w:hAnsi="Courier New"/>
    </w:rPr>
  </w:style>
  <w:style w:type="paragraph" w:customStyle="1" w:styleId="NoteBullet">
    <w:name w:val="Note Bullet"/>
    <w:basedOn w:val="Note"/>
    <w:rsid w:val="002B517F"/>
    <w:pPr>
      <w:tabs>
        <w:tab w:val="clear" w:pos="680"/>
      </w:tabs>
      <w:spacing w:before="60" w:after="60"/>
    </w:pPr>
  </w:style>
  <w:style w:type="paragraph" w:customStyle="1" w:styleId="SubHeading2">
    <w:name w:val="SubHeading2"/>
    <w:basedOn w:val="HeadingBase"/>
    <w:rsid w:val="002B517F"/>
    <w:pPr>
      <w:spacing w:before="240" w:after="60"/>
    </w:pPr>
    <w:rPr>
      <w:sz w:val="20"/>
    </w:rPr>
  </w:style>
  <w:style w:type="paragraph" w:customStyle="1" w:styleId="SubHeading1">
    <w:name w:val="SubHeading1"/>
    <w:basedOn w:val="HeadingBase"/>
    <w:rsid w:val="002B517F"/>
    <w:pPr>
      <w:spacing w:before="240" w:after="60"/>
    </w:pPr>
    <w:rPr>
      <w:color w:val="918585"/>
      <w:sz w:val="22"/>
    </w:rPr>
  </w:style>
  <w:style w:type="paragraph" w:customStyle="1" w:styleId="SideHeading">
    <w:name w:val="Side Heading"/>
    <w:basedOn w:val="HeadingBase"/>
    <w:rsid w:val="002B51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517F"/>
    <w:pPr>
      <w:numPr>
        <w:numId w:val="13"/>
      </w:numPr>
    </w:pPr>
  </w:style>
  <w:style w:type="paragraph" w:styleId="PlainText">
    <w:name w:val="Plain Text"/>
    <w:basedOn w:val="Normal"/>
    <w:link w:val="PlainTextChar"/>
    <w:rsid w:val="002B517F"/>
    <w:rPr>
      <w:sz w:val="20"/>
    </w:rPr>
  </w:style>
  <w:style w:type="character" w:customStyle="1" w:styleId="PlainTextChar">
    <w:name w:val="Plain Text Char"/>
    <w:basedOn w:val="DefaultParagraphFont"/>
    <w:link w:val="PlainText"/>
    <w:rsid w:val="002B51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517F"/>
    <w:rPr>
      <w:b/>
      <w:smallCaps/>
    </w:rPr>
  </w:style>
  <w:style w:type="paragraph" w:customStyle="1" w:styleId="TableListNumber">
    <w:name w:val="Table List Number"/>
    <w:basedOn w:val="ListNumber"/>
    <w:rsid w:val="002B517F"/>
    <w:pPr>
      <w:numPr>
        <w:numId w:val="0"/>
      </w:numPr>
    </w:pPr>
  </w:style>
  <w:style w:type="paragraph" w:styleId="TOC4">
    <w:name w:val="toc 4"/>
    <w:basedOn w:val="TOCBase"/>
    <w:next w:val="Normal"/>
    <w:semiHidden/>
    <w:rsid w:val="002B517F"/>
    <w:pPr>
      <w:tabs>
        <w:tab w:val="right" w:leader="dot" w:pos="9071"/>
      </w:tabs>
      <w:ind w:left="1701"/>
    </w:pPr>
  </w:style>
  <w:style w:type="paragraph" w:customStyle="1" w:styleId="ListAlpha">
    <w:name w:val="List Alpha"/>
    <w:basedOn w:val="List"/>
    <w:rsid w:val="002B517F"/>
    <w:pPr>
      <w:numPr>
        <w:numId w:val="10"/>
      </w:numPr>
    </w:pPr>
  </w:style>
  <w:style w:type="paragraph" w:customStyle="1" w:styleId="ListAlpha2">
    <w:name w:val="List Alpha 2"/>
    <w:basedOn w:val="List2"/>
    <w:rsid w:val="002B517F"/>
    <w:pPr>
      <w:numPr>
        <w:numId w:val="9"/>
      </w:numPr>
    </w:pPr>
  </w:style>
  <w:style w:type="paragraph" w:styleId="List2">
    <w:name w:val="List 2"/>
    <w:basedOn w:val="BodyText"/>
    <w:rsid w:val="002B517F"/>
    <w:pPr>
      <w:tabs>
        <w:tab w:val="left" w:pos="680"/>
      </w:tabs>
      <w:spacing w:before="60" w:after="60"/>
      <w:ind w:left="680" w:hanging="340"/>
    </w:pPr>
  </w:style>
  <w:style w:type="paragraph" w:styleId="List3">
    <w:name w:val="List 3"/>
    <w:basedOn w:val="BodyText"/>
    <w:rsid w:val="002B517F"/>
    <w:pPr>
      <w:tabs>
        <w:tab w:val="left" w:pos="1021"/>
      </w:tabs>
      <w:spacing w:before="60" w:after="60"/>
      <w:ind w:left="1020" w:hanging="340"/>
    </w:pPr>
  </w:style>
  <w:style w:type="paragraph" w:styleId="List4">
    <w:name w:val="List 4"/>
    <w:basedOn w:val="BodyText"/>
    <w:rsid w:val="002B517F"/>
    <w:pPr>
      <w:tabs>
        <w:tab w:val="left" w:pos="1361"/>
      </w:tabs>
      <w:spacing w:before="60" w:after="60"/>
      <w:ind w:left="1361" w:hanging="340"/>
    </w:pPr>
  </w:style>
  <w:style w:type="paragraph" w:styleId="List5">
    <w:name w:val="List 5"/>
    <w:basedOn w:val="BodyText"/>
    <w:rsid w:val="002B517F"/>
    <w:pPr>
      <w:tabs>
        <w:tab w:val="left" w:pos="1701"/>
      </w:tabs>
      <w:spacing w:before="60" w:after="60"/>
      <w:ind w:left="1701" w:hanging="340"/>
    </w:pPr>
  </w:style>
  <w:style w:type="paragraph" w:styleId="ListBullet4">
    <w:name w:val="List Bullet 4"/>
    <w:basedOn w:val="List4"/>
    <w:rsid w:val="002B517F"/>
    <w:pPr>
      <w:numPr>
        <w:numId w:val="4"/>
      </w:numPr>
    </w:pPr>
  </w:style>
  <w:style w:type="paragraph" w:styleId="ListBullet5">
    <w:name w:val="List Bullet 5"/>
    <w:basedOn w:val="List5"/>
    <w:rsid w:val="002B517F"/>
    <w:pPr>
      <w:numPr>
        <w:numId w:val="5"/>
      </w:numPr>
    </w:pPr>
  </w:style>
  <w:style w:type="paragraph" w:styleId="ListContinue2">
    <w:name w:val="List Continue 2"/>
    <w:basedOn w:val="List2"/>
    <w:rsid w:val="002B517F"/>
    <w:pPr>
      <w:ind w:firstLine="0"/>
    </w:pPr>
  </w:style>
  <w:style w:type="paragraph" w:styleId="ListContinue3">
    <w:name w:val="List Continue 3"/>
    <w:basedOn w:val="List3"/>
    <w:rsid w:val="002B517F"/>
    <w:pPr>
      <w:ind w:left="1021" w:firstLine="0"/>
    </w:pPr>
  </w:style>
  <w:style w:type="paragraph" w:styleId="ListContinue4">
    <w:name w:val="List Continue 4"/>
    <w:basedOn w:val="List4"/>
    <w:rsid w:val="002B517F"/>
    <w:pPr>
      <w:ind w:firstLine="0"/>
    </w:pPr>
  </w:style>
  <w:style w:type="paragraph" w:styleId="ListContinue5">
    <w:name w:val="List Continue 5"/>
    <w:basedOn w:val="List5"/>
    <w:rsid w:val="002B517F"/>
    <w:pPr>
      <w:ind w:firstLine="0"/>
    </w:pPr>
  </w:style>
  <w:style w:type="paragraph" w:styleId="ListNumber3">
    <w:name w:val="List Number 3"/>
    <w:basedOn w:val="List3"/>
    <w:rsid w:val="002B517F"/>
    <w:pPr>
      <w:numPr>
        <w:numId w:val="6"/>
      </w:numPr>
    </w:pPr>
  </w:style>
  <w:style w:type="paragraph" w:styleId="ListNumber4">
    <w:name w:val="List Number 4"/>
    <w:basedOn w:val="List4"/>
    <w:rsid w:val="002B517F"/>
    <w:pPr>
      <w:numPr>
        <w:numId w:val="7"/>
      </w:numPr>
    </w:pPr>
  </w:style>
  <w:style w:type="paragraph" w:styleId="ListNumber5">
    <w:name w:val="List Number 5"/>
    <w:basedOn w:val="List5"/>
    <w:rsid w:val="002B517F"/>
    <w:pPr>
      <w:numPr>
        <w:numId w:val="8"/>
      </w:numPr>
    </w:pPr>
  </w:style>
  <w:style w:type="paragraph" w:styleId="BlockText">
    <w:name w:val="Block Text"/>
    <w:basedOn w:val="Normal"/>
    <w:rsid w:val="002B517F"/>
    <w:pPr>
      <w:spacing w:after="120"/>
      <w:ind w:left="1440" w:right="1440"/>
    </w:pPr>
  </w:style>
  <w:style w:type="character" w:customStyle="1" w:styleId="Subscript">
    <w:name w:val="Subscript"/>
    <w:basedOn w:val="DefaultParagraphFont"/>
    <w:rsid w:val="002B517F"/>
    <w:rPr>
      <w:sz w:val="16"/>
      <w:vertAlign w:val="subscript"/>
    </w:rPr>
  </w:style>
  <w:style w:type="character" w:customStyle="1" w:styleId="Superscript">
    <w:name w:val="Superscript"/>
    <w:basedOn w:val="DefaultParagraphFont"/>
    <w:rsid w:val="002B517F"/>
    <w:rPr>
      <w:sz w:val="16"/>
      <w:vertAlign w:val="superscript"/>
    </w:rPr>
  </w:style>
  <w:style w:type="character" w:customStyle="1" w:styleId="Symbols">
    <w:name w:val="Symbols"/>
    <w:basedOn w:val="DefaultParagraphFont"/>
    <w:rsid w:val="002B517F"/>
    <w:rPr>
      <w:rFonts w:ascii="Symbol" w:hAnsi="Symbol"/>
    </w:rPr>
  </w:style>
  <w:style w:type="character" w:customStyle="1" w:styleId="MenuOptions">
    <w:name w:val="Menu Options"/>
    <w:basedOn w:val="DefaultParagraphFont"/>
    <w:rsid w:val="002B517F"/>
    <w:rPr>
      <w:rFonts w:ascii="Arial Narrow" w:hAnsi="Arial Narrow"/>
      <w:smallCaps/>
    </w:rPr>
  </w:style>
  <w:style w:type="character" w:customStyle="1" w:styleId="Buttons">
    <w:name w:val="Buttons"/>
    <w:basedOn w:val="DefaultParagraphFont"/>
    <w:rsid w:val="002B517F"/>
    <w:rPr>
      <w:b/>
    </w:rPr>
  </w:style>
  <w:style w:type="character" w:customStyle="1" w:styleId="Underlined">
    <w:name w:val="Underlined"/>
    <w:basedOn w:val="DefaultParagraphFont"/>
    <w:rsid w:val="002B517F"/>
    <w:rPr>
      <w:u w:val="single"/>
    </w:rPr>
  </w:style>
  <w:style w:type="paragraph" w:customStyle="1" w:styleId="TableBodyTextRight">
    <w:name w:val="Table Body Text Right"/>
    <w:basedOn w:val="TableBodyText"/>
    <w:rsid w:val="002B517F"/>
    <w:pPr>
      <w:widowControl w:val="0"/>
      <w:autoSpaceDE w:val="0"/>
      <w:autoSpaceDN w:val="0"/>
      <w:adjustRightInd w:val="0"/>
      <w:jc w:val="right"/>
    </w:pPr>
    <w:rPr>
      <w:rFonts w:cs="Arial"/>
      <w:szCs w:val="18"/>
    </w:rPr>
  </w:style>
  <w:style w:type="paragraph" w:customStyle="1" w:styleId="CopyrightText">
    <w:name w:val="Copyright Text"/>
    <w:basedOn w:val="BodyText"/>
    <w:rsid w:val="002B517F"/>
    <w:rPr>
      <w:sz w:val="18"/>
    </w:rPr>
  </w:style>
  <w:style w:type="paragraph" w:customStyle="1" w:styleId="BodySmallRight">
    <w:name w:val="Body Small Right"/>
    <w:basedOn w:val="BodyTextRight"/>
    <w:rsid w:val="002B517F"/>
    <w:rPr>
      <w:sz w:val="18"/>
      <w:szCs w:val="18"/>
    </w:rPr>
  </w:style>
  <w:style w:type="paragraph" w:customStyle="1" w:styleId="MarginEdition">
    <w:name w:val="Margin Edition"/>
    <w:basedOn w:val="MarginNote"/>
    <w:rsid w:val="002B517F"/>
    <w:pPr>
      <w:spacing w:before="0" w:after="0"/>
    </w:pPr>
    <w:rPr>
      <w:rFonts w:ascii="Times New Roman" w:hAnsi="Times New Roman"/>
      <w:color w:val="999999"/>
    </w:rPr>
  </w:style>
  <w:style w:type="paragraph" w:customStyle="1" w:styleId="Spacer">
    <w:name w:val="Spacer"/>
    <w:basedOn w:val="Normal"/>
    <w:rsid w:val="002B517F"/>
    <w:rPr>
      <w:sz w:val="2"/>
      <w:szCs w:val="2"/>
    </w:rPr>
  </w:style>
  <w:style w:type="character" w:customStyle="1" w:styleId="Small">
    <w:name w:val="Small"/>
    <w:basedOn w:val="DefaultParagraphFont"/>
    <w:rsid w:val="002B517F"/>
    <w:rPr>
      <w:sz w:val="16"/>
    </w:rPr>
  </w:style>
  <w:style w:type="paragraph" w:customStyle="1" w:styleId="WideTable">
    <w:name w:val="Wide Table"/>
    <w:basedOn w:val="Normal"/>
    <w:rsid w:val="002B517F"/>
    <w:pPr>
      <w:ind w:left="-1418"/>
    </w:pPr>
    <w:rPr>
      <w:sz w:val="2"/>
      <w:szCs w:val="2"/>
    </w:rPr>
  </w:style>
  <w:style w:type="character" w:styleId="PageNumber">
    <w:name w:val="page number"/>
    <w:basedOn w:val="DefaultParagraphFont"/>
    <w:rsid w:val="002B517F"/>
  </w:style>
  <w:style w:type="paragraph" w:styleId="Quote">
    <w:name w:val="Quote"/>
    <w:basedOn w:val="Heading1"/>
    <w:link w:val="QuoteChar"/>
    <w:qFormat/>
    <w:rsid w:val="002B517F"/>
    <w:rPr>
      <w:b w:val="0"/>
      <w:sz w:val="72"/>
      <w:szCs w:val="72"/>
      <w:lang w:val="en-NZ"/>
    </w:rPr>
  </w:style>
  <w:style w:type="character" w:customStyle="1" w:styleId="QuoteChar">
    <w:name w:val="Quote Char"/>
    <w:basedOn w:val="DefaultParagraphFont"/>
    <w:link w:val="Quote"/>
    <w:rsid w:val="002B51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517F"/>
    <w:pPr>
      <w:pageBreakBefore/>
    </w:pPr>
  </w:style>
  <w:style w:type="paragraph" w:customStyle="1" w:styleId="Border">
    <w:name w:val="Border"/>
    <w:basedOn w:val="Normal"/>
    <w:qFormat/>
    <w:rsid w:val="002B51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517F"/>
    <w:rPr>
      <w:b/>
      <w:bCs/>
      <w:i/>
      <w:iCs/>
      <w:color w:val="auto"/>
    </w:rPr>
  </w:style>
  <w:style w:type="paragraph" w:styleId="IntenseQuote">
    <w:name w:val="Intense Quote"/>
    <w:basedOn w:val="Normal"/>
    <w:next w:val="Normal"/>
    <w:link w:val="IntenseQuoteChar"/>
    <w:uiPriority w:val="30"/>
    <w:qFormat/>
    <w:rsid w:val="002B51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51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517F"/>
    <w:rPr>
      <w:smallCaps/>
      <w:color w:val="auto"/>
      <w:u w:val="single"/>
    </w:rPr>
  </w:style>
  <w:style w:type="character" w:styleId="IntenseReference">
    <w:name w:val="Intense Reference"/>
    <w:basedOn w:val="DefaultParagraphFont"/>
    <w:uiPriority w:val="32"/>
    <w:qFormat/>
    <w:rsid w:val="002B517F"/>
    <w:rPr>
      <w:b/>
      <w:bCs/>
      <w:smallCaps/>
      <w:color w:val="auto"/>
      <w:spacing w:val="5"/>
      <w:u w:val="single"/>
    </w:rPr>
  </w:style>
  <w:style w:type="paragraph" w:customStyle="1" w:styleId="2ColumnHeading">
    <w:name w:val="2Column Heading"/>
    <w:basedOn w:val="BodyText"/>
    <w:qFormat/>
    <w:rsid w:val="002B517F"/>
    <w:pPr>
      <w:spacing w:after="60"/>
      <w:ind w:left="-2268"/>
    </w:pPr>
    <w:rPr>
      <w:b/>
    </w:rPr>
  </w:style>
  <w:style w:type="paragraph" w:customStyle="1" w:styleId="Heading1TOC">
    <w:name w:val="Heading1 TOC"/>
    <w:basedOn w:val="Normal"/>
    <w:qFormat/>
    <w:rsid w:val="002B517F"/>
    <w:pPr>
      <w:spacing w:before="240" w:after="120"/>
    </w:pPr>
    <w:rPr>
      <w:rFonts w:ascii="Times New Roman" w:hAnsi="Times New Roman"/>
      <w:b/>
      <w:sz w:val="32"/>
    </w:rPr>
  </w:style>
  <w:style w:type="paragraph" w:customStyle="1" w:styleId="Heading2TOC">
    <w:name w:val="Heading2 TOC"/>
    <w:basedOn w:val="Normal"/>
    <w:qFormat/>
    <w:rsid w:val="002B517F"/>
    <w:pPr>
      <w:spacing w:before="240" w:after="60"/>
    </w:pPr>
    <w:rPr>
      <w:rFonts w:ascii="Times New Roman" w:hAnsi="Times New Roman"/>
      <w:b/>
      <w:sz w:val="28"/>
    </w:rPr>
  </w:style>
  <w:style w:type="character" w:customStyle="1" w:styleId="Underline">
    <w:name w:val="Underline"/>
    <w:basedOn w:val="DefaultParagraphFont"/>
    <w:qFormat/>
    <w:rsid w:val="002B517F"/>
    <w:rPr>
      <w:u w:val="single"/>
    </w:rPr>
  </w:style>
  <w:style w:type="character" w:customStyle="1" w:styleId="BoldandItalics">
    <w:name w:val="Bold and Italics"/>
    <w:qFormat/>
    <w:rsid w:val="002B517F"/>
    <w:rPr>
      <w:b/>
      <w:i/>
      <w:u w:val="none"/>
    </w:rPr>
  </w:style>
  <w:style w:type="paragraph" w:styleId="BalloonText">
    <w:name w:val="Balloon Text"/>
    <w:basedOn w:val="Normal"/>
    <w:link w:val="BalloonTextChar"/>
    <w:rsid w:val="002B517F"/>
    <w:rPr>
      <w:rFonts w:ascii="Tahoma" w:hAnsi="Tahoma" w:cs="Tahoma"/>
      <w:sz w:val="16"/>
      <w:szCs w:val="16"/>
    </w:rPr>
  </w:style>
  <w:style w:type="character" w:customStyle="1" w:styleId="BalloonTextChar">
    <w:name w:val="Balloon Text Char"/>
    <w:basedOn w:val="DefaultParagraphFont"/>
    <w:link w:val="BalloonText"/>
    <w:rsid w:val="002B51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51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51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2352</Words>
  <Characters>14883</Characters>
  <Application>Microsoft Office Word</Application>
  <DocSecurity>0</DocSecurity>
  <Lines>633</Lines>
  <Paragraphs>256</Paragraphs>
  <ScaleCrop>false</ScaleCrop>
  <Company>Author-it Software Corporation Ltd.</Company>
  <LinksUpToDate>false</LinksUpToDate>
  <CharactersWithSpaces>17036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UETTDRSB38A Commission power system distribution field devices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2012-05-26T12:20:00Z</dcterms:created>
  <dcterms:modified xsi:type="dcterms:W3CDTF">2012-05-26T12:20:00Z</dcterms:modified>
</cp:coreProperties>
</file>