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22E" w:rsidP="0048122E">
      <w:pPr>
        <w:pStyle w:val="Title"/>
      </w:pPr>
      <w:r>
        <w:fldChar w:fldCharType="begin"/>
      </w:r>
      <w:r>
        <w:instrText xml:space="preserve"> TITLE   \* MERGEFORMAT </w:instrText>
      </w:r>
      <w:r>
        <w:fldChar w:fldCharType="separate"/>
      </w:r>
      <w:r>
        <w:t>UETTDRSB37A Maintain power system distribution field devices</w:t>
      </w:r>
      <w:r>
        <w:fldChar w:fldCharType="end"/>
      </w:r>
    </w:p>
    <w:p w:rsidR="0048122E" w:rsidP="0048122E">
      <w:pPr>
        <w:pStyle w:val="Version"/>
        <w:sectPr w:rsidSect="005C5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749" w:rsidP="005C5749">
      <w:pPr>
        <w:pStyle w:val="SuperHeading"/>
      </w:pPr>
      <w:r w:rsidRPr="005C5749">
        <w:t>UETTDRSB37A Maintain power system distribution field devices</w:t>
      </w:r>
    </w:p>
    <w:p w:rsidR="00000000" w:rsidRPr="005C5749" w:rsidP="005C5749">
      <w:pPr>
        <w:pStyle w:val="Heading1"/>
      </w:pPr>
      <w:bookmarkStart w:id="1" w:name="O_459878"/>
      <w:bookmarkEnd w:id="1"/>
      <w:r w:rsidRPr="005C5749">
        <w:t>Modification History</w:t>
      </w:r>
    </w:p>
    <w:p w:rsidR="00000000" w:rsidRPr="005C5749" w:rsidP="005C5749">
      <w:pPr>
        <w:pStyle w:val="BodyText"/>
      </w:pPr>
      <w:r w:rsidRPr="005C5749">
        <w:t>Not applicable.</w:t>
      </w:r>
    </w:p>
    <w:p w:rsidR="00000000" w:rsidRPr="005C5749" w:rsidP="005C5749">
      <w:pPr>
        <w:pStyle w:val="AllowPageBreak"/>
      </w:pPr>
    </w:p>
    <w:p w:rsidR="00000000" w:rsidRPr="005C5749" w:rsidP="005C5749">
      <w:pPr>
        <w:pStyle w:val="Heading1"/>
      </w:pPr>
      <w:bookmarkStart w:id="2" w:name="O_459876"/>
      <w:bookmarkEnd w:id="2"/>
      <w:r w:rsidRPr="005C5749">
        <w:t>Unit Descriptor</w:t>
      </w:r>
    </w:p>
    <w:tbl>
      <w:tblPr>
        <w:tblW w:w="0" w:type="auto"/>
        <w:tblLayout w:type="fixed"/>
        <w:tblCellMar>
          <w:left w:w="62" w:type="dxa"/>
          <w:right w:w="62" w:type="dxa"/>
        </w:tblCellMar>
        <w:tblLook w:val="0000"/>
      </w:tblPr>
      <w:tblGrid>
        <w:gridCol w:w="2700"/>
        <w:gridCol w:w="5760"/>
      </w:tblGrid>
      <w:tr w:rsidTr="004812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1)</w:t>
            </w:r>
            <w:r w:rsidRPr="005C5749">
              <w:t xml:space="preserve"> </w:t>
            </w:r>
            <w:r w:rsidRPr="005C5749">
              <w:rPr>
                <w:rStyle w:val="SpecialBold"/>
              </w:rPr>
              <w:t>Scope:</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C574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1.1) Descriptor</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This Competency Standard Unit covers the maintenance of ACRs, gas switches, regulators and line capacitors, communication systems including mobile phones and TMR radio. It includes secondary injection, timing, and function tests and proving correct trippin</w:t>
            </w:r>
            <w:r w:rsidRPr="005C5749">
              <w:t>g, reclosing and remote operation.</w:t>
            </w:r>
          </w:p>
        </w:tc>
      </w:tr>
    </w:tbl>
    <w:p w:rsidR="00000000" w:rsidRPr="005C5749" w:rsidP="005C5749">
      <w:pPr>
        <w:pStyle w:val="BodyText"/>
      </w:pPr>
    </w:p>
    <w:p w:rsidR="00000000" w:rsidRPr="005C5749" w:rsidP="005C5749">
      <w:pPr>
        <w:pStyle w:val="AllowPageBreak"/>
      </w:pPr>
    </w:p>
    <w:p w:rsidR="00000000" w:rsidRPr="005C5749" w:rsidP="005C5749">
      <w:pPr>
        <w:pStyle w:val="Heading1"/>
      </w:pPr>
      <w:bookmarkStart w:id="3" w:name="O_459865"/>
      <w:bookmarkEnd w:id="3"/>
      <w:r w:rsidRPr="005C5749">
        <w:t>Application of the Unit</w:t>
      </w:r>
    </w:p>
    <w:tbl>
      <w:tblPr>
        <w:tblW w:w="0" w:type="auto"/>
        <w:tblLayout w:type="fixed"/>
        <w:tblCellMar>
          <w:left w:w="62" w:type="dxa"/>
          <w:right w:w="62" w:type="dxa"/>
        </w:tblCellMar>
        <w:tblLook w:val="0000"/>
      </w:tblPr>
      <w:tblGrid>
        <w:gridCol w:w="2672"/>
        <w:gridCol w:w="5699"/>
      </w:tblGrid>
      <w:tr w:rsidTr="0048122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2)</w:t>
            </w:r>
          </w:p>
        </w:tc>
      </w:tr>
      <w:tr w:rsidTr="0048122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 xml:space="preserve">This Competency Standard Unit is intended to augment formally acquired competencies. It is suitable for employment-based programs under an </w:t>
            </w:r>
            <w:r w:rsidRPr="005C5749">
              <w:t>approved contract of training.</w:t>
            </w:r>
          </w:p>
        </w:tc>
      </w:tr>
    </w:tbl>
    <w:p w:rsidR="00000000" w:rsidRPr="005C5749" w:rsidP="005C5749">
      <w:pPr>
        <w:pStyle w:val="BodyText"/>
      </w:pPr>
    </w:p>
    <w:p w:rsidR="00000000" w:rsidRPr="005C5749" w:rsidP="005C5749">
      <w:pPr>
        <w:pStyle w:val="AllowPageBreak"/>
      </w:pPr>
    </w:p>
    <w:p w:rsidR="00000000" w:rsidRPr="005C5749" w:rsidP="005C5749">
      <w:pPr>
        <w:pStyle w:val="Heading1"/>
      </w:pPr>
      <w:bookmarkStart w:id="4" w:name="O_459872"/>
      <w:bookmarkEnd w:id="4"/>
      <w:r w:rsidRPr="005C5749">
        <w:t>Licensing/Regulatory Information</w:t>
      </w:r>
    </w:p>
    <w:tbl>
      <w:tblPr>
        <w:tblW w:w="0" w:type="auto"/>
        <w:tblLayout w:type="fixed"/>
        <w:tblCellMar>
          <w:left w:w="62" w:type="dxa"/>
          <w:right w:w="62" w:type="dxa"/>
        </w:tblCellMar>
        <w:tblLook w:val="0000"/>
      </w:tblPr>
      <w:tblGrid>
        <w:gridCol w:w="2700"/>
        <w:gridCol w:w="5760"/>
      </w:tblGrid>
      <w:tr w:rsidTr="004812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 xml:space="preserve">3) </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The skills and knowledge described in this unit requires a licence/registration to practice in the work place subject to regulations for undertakin</w:t>
            </w:r>
            <w:r w:rsidRPr="005C5749">
              <w:t xml:space="preserve">g of electrical work. Practice in workplace and during training is also subject to regulations directly related to Occupational Health and Safety, electricity/telecommunications/gas/water industry safety and compliance, industrial relations, environmental </w:t>
            </w:r>
            <w:r w:rsidRPr="005C5749">
              <w:t xml:space="preserve">protection, anti discrimination and training. Commonwealth, State/Territory or Local Government </w:t>
            </w:r>
            <w:r w:rsidRPr="005C5749">
              <w:t>legislation and regulations may exist that limits the age of operating certain equipment.</w:t>
            </w:r>
          </w:p>
        </w:tc>
      </w:tr>
    </w:tbl>
    <w:p w:rsidR="00000000" w:rsidRPr="005C5749" w:rsidP="005C5749">
      <w:pPr>
        <w:pStyle w:val="BodyText"/>
      </w:pPr>
    </w:p>
    <w:p w:rsidR="00000000" w:rsidRPr="005C5749" w:rsidP="005C5749">
      <w:pPr>
        <w:pStyle w:val="AllowPageBreak"/>
      </w:pPr>
    </w:p>
    <w:p w:rsidR="00000000" w:rsidRPr="005C5749" w:rsidP="005C5749">
      <w:pPr>
        <w:pStyle w:val="Heading1"/>
      </w:pPr>
      <w:bookmarkStart w:id="5" w:name="O_459873"/>
      <w:bookmarkEnd w:id="5"/>
      <w:r w:rsidRPr="005C5749">
        <w:t>Pre-Requisites</w:t>
      </w:r>
    </w:p>
    <w:tbl>
      <w:tblPr>
        <w:tblW w:w="0" w:type="auto"/>
        <w:tblLayout w:type="fixed"/>
        <w:tblCellMar>
          <w:left w:w="62" w:type="dxa"/>
          <w:right w:w="62" w:type="dxa"/>
        </w:tblCellMar>
        <w:tblLook w:val="0000"/>
      </w:tblPr>
      <w:tblGrid>
        <w:gridCol w:w="2700"/>
        <w:gridCol w:w="2070"/>
        <w:gridCol w:w="3690"/>
      </w:tblGrid>
      <w:tr w:rsidTr="004812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 xml:space="preserve">4) </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4.1)</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Granting of competency in this unit shall be made only after competency in the following unit(s) has/have been confirmed.</w:t>
            </w:r>
          </w:p>
          <w:p w:rsidR="00000000" w:rsidRPr="005C5749" w:rsidP="005C5749">
            <w:pPr>
              <w:pStyle w:val="BodyText"/>
            </w:pPr>
            <w:r w:rsidRPr="005C5749">
              <w:t>Where pre-requisite pathways have been identified. All competencies in the Common Unit Group must be have been completed plus all the competencies in one (1) of the identified Pathway Unit Group(s):</w:t>
            </w:r>
          </w:p>
          <w:p w:rsidR="00000000" w:rsidP="005C5749">
            <w:pPr>
              <w:pStyle w:val="BodyText"/>
              <w:rPr>
                <w:lang w:val="en-NZ"/>
              </w:rPr>
            </w:pPr>
            <w:r w:rsidRPr="005C5749">
              <w:t>Common Unit Group</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Unit Code</w:t>
            </w:r>
            <w:r w:rsidRPr="005C5749">
              <w:tab/>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Unit Title</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Apply Occupational Health and Safety regulations, codes and practices in the workplace</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Fabricate, assemble and dismantle utilities industry components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Solve problems in d.c. Circuits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Fix</w:t>
            </w:r>
            <w:r w:rsidRPr="005C5749">
              <w:t xml:space="preserve"> and secure electrotechnology equipment</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Use drawings, diagrams, schedules, standards, codes and specifications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Document and apply measures to control OHS risks associated with electrotechnology work</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Solve problems in single and three phase low voltage machines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Solve problems in single and three phase electrical apparatus and circuits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Arrange circuits, control and protection for general electrical installations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Solve problems in electromagnetic devices and related circuits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Solve problems in electromagnetic devices and related circuits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Terminate cables, cords and accessories for low voltage circuits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Trouble-shoot and repair faults in low voltage electrical apparatus and circuits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Develop and connect electrical control circuits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Apply environmentally and sustainable energy procedures in the energy sector</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Pathway 1 - Electric</w:t>
            </w:r>
            <w:r w:rsidRPr="005C5749">
              <w:t>ian</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Install low voltage wiring and accessories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UEENEEG104A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Install appliances, switchgear and associated accessories for low voltage electrical installations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UEENEEG105A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Verify compliance and functionality of low voltage general electrical installations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Select wiring systems and cables for low voltage general electrical installations</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Pathway 2 – Electrical Fitter</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C5749">
            <w:pPr>
              <w:pStyle w:val="BodyText"/>
              <w:rPr>
                <w:lang w:val="en-NZ"/>
              </w:rPr>
            </w:pPr>
            <w:r w:rsidRPr="005C5749">
              <w:t>UEENEEG199A</w:t>
            </w:r>
          </w:p>
        </w:tc>
        <w:tc>
          <w:tcPr>
            <w:tcW w:w="3690" w:type="dxa"/>
            <w:tcBorders>
              <w:top w:val="nil"/>
              <w:left w:val="nil"/>
              <w:bottom w:val="nil"/>
              <w:right w:val="nil"/>
            </w:tcBorders>
            <w:tcMar>
              <w:top w:w="0" w:type="dxa"/>
              <w:left w:w="62" w:type="dxa"/>
              <w:bottom w:w="0" w:type="dxa"/>
              <w:right w:w="62" w:type="dxa"/>
            </w:tcMar>
            <w:vAlign w:val="bottom"/>
          </w:tcPr>
          <w:p w:rsidR="00000000" w:rsidRPr="005C5749" w:rsidP="005C5749">
            <w:pPr>
              <w:pStyle w:val="BodyText"/>
            </w:pPr>
            <w:r w:rsidRPr="005C5749">
              <w:t>Conduct compliance and functional verification of electrical apparatus and existing circuits</w:t>
            </w:r>
          </w:p>
        </w:tc>
      </w:tr>
    </w:tbl>
    <w:p w:rsidR="00000000" w:rsidRPr="005C5749" w:rsidP="005C574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8122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 xml:space="preserve">4.2) </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Participants are best equipp</w:t>
            </w:r>
            <w:r w:rsidRPr="005C5749">
              <w:t>ed to achieve this unit if they have reading, writing and numeracy skills indicated by the following scales. Description of each scale is given in Volume 2, Part 3 “Literacy and Numeracy”</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Reading</w:t>
            </w:r>
          </w:p>
        </w:tc>
        <w:tc>
          <w:tcPr>
            <w:tcW w:w="81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4</w:t>
            </w:r>
          </w:p>
        </w:tc>
        <w:tc>
          <w:tcPr>
            <w:tcW w:w="99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Writing</w:t>
            </w:r>
          </w:p>
        </w:tc>
        <w:tc>
          <w:tcPr>
            <w:tcW w:w="90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4</w:t>
            </w:r>
          </w:p>
        </w:tc>
        <w:tc>
          <w:tcPr>
            <w:tcW w:w="126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Numeracy</w:t>
            </w:r>
          </w:p>
        </w:tc>
        <w:tc>
          <w:tcPr>
            <w:tcW w:w="72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4</w:t>
            </w:r>
          </w:p>
        </w:tc>
      </w:tr>
    </w:tbl>
    <w:p w:rsidR="00000000" w:rsidRPr="005C5749" w:rsidP="005C5749">
      <w:pPr>
        <w:pStyle w:val="BodyText"/>
      </w:pPr>
    </w:p>
    <w:p w:rsidR="00000000" w:rsidRPr="005C5749" w:rsidP="005C5749">
      <w:pPr>
        <w:pStyle w:val="AllowPageBreak"/>
      </w:pPr>
    </w:p>
    <w:p w:rsidR="00000000" w:rsidRPr="005C5749" w:rsidP="005C5749">
      <w:pPr>
        <w:pStyle w:val="Heading1"/>
      </w:pPr>
      <w:bookmarkStart w:id="6" w:name="O_459869"/>
      <w:bookmarkEnd w:id="6"/>
      <w:r w:rsidRPr="005C5749">
        <w:t>Employability Skills Information</w:t>
      </w:r>
    </w:p>
    <w:tbl>
      <w:tblPr>
        <w:tblW w:w="0" w:type="auto"/>
        <w:tblLayout w:type="fixed"/>
        <w:tblCellMar>
          <w:left w:w="62" w:type="dxa"/>
          <w:right w:w="62" w:type="dxa"/>
        </w:tblCellMar>
        <w:tblLook w:val="0000"/>
      </w:tblPr>
      <w:tblGrid>
        <w:gridCol w:w="2700"/>
        <w:gridCol w:w="5760"/>
      </w:tblGrid>
      <w:tr w:rsidTr="004812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 xml:space="preserve">5) </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The required outcomes described in this unit of competency contain applicable facets of Employability Skills. The Employability Skills Summary of the qualification in which this unit of competency</w:t>
            </w:r>
            <w:r w:rsidRPr="005C5749">
              <w:t xml:space="preserve"> is packaged will assist in identifying Employability Skill requirements.</w:t>
            </w:r>
          </w:p>
        </w:tc>
      </w:tr>
    </w:tbl>
    <w:p w:rsidR="00000000" w:rsidRPr="005C5749" w:rsidP="005C5749">
      <w:pPr>
        <w:pStyle w:val="BodyText"/>
      </w:pPr>
    </w:p>
    <w:p w:rsidR="00000000" w:rsidRPr="005C5749" w:rsidP="005C5749">
      <w:pPr>
        <w:pStyle w:val="AllowPageBreak"/>
      </w:pPr>
    </w:p>
    <w:p w:rsidR="00000000" w:rsidRPr="005C5749" w:rsidP="005C5749">
      <w:pPr>
        <w:pStyle w:val="Heading1"/>
      </w:pPr>
      <w:bookmarkStart w:id="7" w:name="O_459868"/>
      <w:bookmarkEnd w:id="7"/>
      <w:r w:rsidRPr="005C5749">
        <w:t>Elements and Performance Criteria Pre-Content</w:t>
      </w:r>
    </w:p>
    <w:tbl>
      <w:tblPr>
        <w:tblW w:w="0" w:type="auto"/>
        <w:tblLayout w:type="fixed"/>
        <w:tblCellMar>
          <w:left w:w="62" w:type="dxa"/>
          <w:right w:w="62" w:type="dxa"/>
        </w:tblCellMar>
        <w:tblLook w:val="0000"/>
      </w:tblPr>
      <w:tblGrid>
        <w:gridCol w:w="2700"/>
        <w:gridCol w:w="5760"/>
      </w:tblGrid>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6)</w:t>
            </w:r>
            <w:r w:rsidRPr="005C574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Performance Criteria describe the required performance needed to demonstrate achievement of the element. Assessment of performance is to be consistent with the Evidence Guide.</w:t>
            </w:r>
          </w:p>
        </w:tc>
      </w:tr>
    </w:tbl>
    <w:p w:rsidR="00000000" w:rsidRPr="005C5749" w:rsidP="005C5749">
      <w:pPr>
        <w:pStyle w:val="BodyText"/>
      </w:pPr>
    </w:p>
    <w:p w:rsidR="00000000" w:rsidRPr="005C5749" w:rsidP="005C5749">
      <w:pPr>
        <w:pStyle w:val="AllowPageBreak"/>
      </w:pPr>
    </w:p>
    <w:p w:rsidR="00000000" w:rsidRPr="005C5749" w:rsidP="005C5749">
      <w:pPr>
        <w:pStyle w:val="Heading1"/>
      </w:pPr>
      <w:bookmarkStart w:id="8" w:name="O_459867"/>
      <w:bookmarkEnd w:id="8"/>
      <w:r w:rsidRPr="005C5749">
        <w:t>Elements and Performance Criteria</w:t>
      </w:r>
    </w:p>
    <w:tbl>
      <w:tblPr>
        <w:tblW w:w="0" w:type="auto"/>
        <w:tblLayout w:type="fixed"/>
        <w:tblCellMar>
          <w:left w:w="62" w:type="dxa"/>
          <w:right w:w="62" w:type="dxa"/>
        </w:tblCellMar>
        <w:tblLook w:val="0000"/>
      </w:tblPr>
      <w:tblGrid>
        <w:gridCol w:w="412"/>
        <w:gridCol w:w="2288"/>
        <w:gridCol w:w="953"/>
        <w:gridCol w:w="4807"/>
      </w:tblGrid>
      <w:tr w:rsidTr="0048122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PERFORMANCE CRITER</w:t>
            </w:r>
            <w:r w:rsidRPr="005C5749">
              <w:rPr>
                <w:rStyle w:val="SpecialBold"/>
              </w:rPr>
              <w:t>IA</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1</w:t>
            </w:r>
          </w:p>
        </w:tc>
        <w:tc>
          <w:tcPr>
            <w:tcW w:w="2288"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Plan for the maintenance of distribution field devices</w:t>
            </w: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1.1</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Work schedules including drawings, plans, requirements procedures and material lists are acquired, analysed and the extent of work determined.</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1.2</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Relevant requirements and established procedures for the work are communicated to all personnel and identified for all work sites.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1.3</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Hazards are identified, OHS risks assessed and control measures are prioritised, implemented and monitored including e</w:t>
            </w:r>
            <w:r w:rsidRPr="005C5749">
              <w:t>mergency exits kept clear, to ensure safe systems of work are followed and according to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1.4</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Work is prioritised and sequenced for the most efficient and effective outcome following consultation with others for completion within acceptable timeframes, to agreed quality standards and in accordance with established policies and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1.5</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Ri</w:t>
            </w:r>
            <w:r w:rsidRPr="005C5749">
              <w:t>sk control measures are identified, prioritised, implemented and evaluated against the work schedule.</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1.6</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Resources including personnel, equipment, tools and personal protective equipment required for the job are identified, acquired and confirmed in sa</w:t>
            </w:r>
            <w:r w:rsidRPr="005C5749">
              <w:t>fe/technical working order.</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1.7</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Liaison issues with other personnel and/or authorities are resolved and activities coordinated to facilitate the work.</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1.8</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Personnel participating in the work including plant operators and contractors are fully briefed, their respective responsibilities explained and coordinated and appropriate authorisation checked in accordance with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1.9</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Work site i</w:t>
            </w:r>
            <w:r w:rsidRPr="005C5749">
              <w:t>s prepared according to the work schedule and to minimise risk and damage to property and personnel in accordance with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2</w:t>
            </w:r>
          </w:p>
        </w:tc>
        <w:tc>
          <w:tcPr>
            <w:tcW w:w="2288"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Carry out the maintenance of distribution network field devices</w:t>
            </w: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2.1</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 xml:space="preserve">OHS and sustainable energy principles and </w:t>
            </w:r>
            <w:r w:rsidRPr="005C5749">
              <w:t>practices to reduce the incidence of accidents and minimise waste are implemented and monitored in accordance with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2.2</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CPR, Rescue from live electrical apparatus and other related safety procedures are in place according to requi</w:t>
            </w:r>
            <w:r w:rsidRPr="005C5749">
              <w:t>rements and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2.3</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Safe working documentation is acquired and requirements completed in accordance with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2.4</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 xml:space="preserve">Lifting, use of power tools/equipment techniques and practices are </w:t>
            </w:r>
            <w:r w:rsidRPr="005C5749">
              <w:t>safely exercised in accordance with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2.5</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Hazard warnings and safety signs are recognised and hazards and assessed OHS risks are reported to the immediate authorised persons for directions according to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2.</w:t>
            </w:r>
            <w:r w:rsidRPr="005C5749">
              <w:t>6</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Essential knowledge and associated skills are applied for the safe maintenance of distribution field devices to ensure completion in an agreed timeframe and, to quality standards with a minimum of waste according to requirements.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2.7</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Maintenance, incl</w:t>
            </w:r>
            <w:r w:rsidRPr="005C5749">
              <w:t>uding testing of distribution field devices is undertaken according to requirements and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2.8</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Unplanned events or conditions are responded to in accordance with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3</w:t>
            </w:r>
          </w:p>
        </w:tc>
        <w:tc>
          <w:tcPr>
            <w:tcW w:w="2288" w:type="dxa"/>
            <w:vMerge w:val="restart"/>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Complete the maintenance of distribution network field devices</w:t>
            </w: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3.1</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Functional checks of distribution field devices are completed and all work checked against the requirements to ensure compliance.</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3.2</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Anomalies between the work schedule requirements and</w:t>
            </w:r>
            <w:r w:rsidRPr="005C5749">
              <w:t xml:space="preserve"> measured performance are reported and solutions identified in accordance with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3.3</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Safe working documentation is surrendered and transformer made ready for service.</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3.4</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Work site is rehabilitated, cleaned up and confirmed safe in accordance with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3.5</w:t>
            </w:r>
          </w:p>
        </w:tc>
        <w:tc>
          <w:tcPr>
            <w:tcW w:w="4807"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Tools, equipment and any surplus resources and materials are cleaned, checked and returned to storage in accordance with established procedures.</w:t>
            </w:r>
          </w:p>
        </w:tc>
      </w:tr>
      <w:tr w:rsidTr="0048122E">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3"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t>3.6</w:t>
            </w:r>
          </w:p>
        </w:tc>
        <w:tc>
          <w:tcPr>
            <w:tcW w:w="4807"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Approved copies of the maintenance of distribution network field devices documents are issues and records are updated in accordance with established procedures.</w:t>
            </w:r>
          </w:p>
        </w:tc>
      </w:tr>
    </w:tbl>
    <w:p w:rsidR="00000000" w:rsidRPr="005C5749" w:rsidP="005C5749">
      <w:pPr>
        <w:pStyle w:val="BodyText"/>
      </w:pPr>
    </w:p>
    <w:p w:rsidR="00000000" w:rsidRPr="005C5749" w:rsidP="005C5749">
      <w:pPr>
        <w:pStyle w:val="AllowPageBreak"/>
      </w:pPr>
    </w:p>
    <w:p w:rsidR="00000000" w:rsidRPr="005C5749" w:rsidP="005C5749">
      <w:pPr>
        <w:pStyle w:val="Heading1"/>
      </w:pPr>
      <w:bookmarkStart w:id="9" w:name="O_459875"/>
      <w:bookmarkEnd w:id="9"/>
      <w:r w:rsidRPr="005C5749">
        <w:t>Required Skills and Knowledge</w:t>
      </w:r>
    </w:p>
    <w:tbl>
      <w:tblPr>
        <w:tblW w:w="0" w:type="auto"/>
        <w:tblLayout w:type="fixed"/>
        <w:tblCellMar>
          <w:left w:w="62" w:type="dxa"/>
          <w:right w:w="62" w:type="dxa"/>
        </w:tblCellMar>
        <w:tblLook w:val="0000"/>
      </w:tblPr>
      <w:tblGrid>
        <w:gridCol w:w="8460"/>
      </w:tblGrid>
      <w:tr w:rsidTr="0048122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REQUIRED SKILLS AND KNOWLEDGE</w:t>
            </w:r>
          </w:p>
        </w:tc>
      </w:tr>
      <w:tr w:rsidTr="0048122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8)</w:t>
            </w:r>
            <w:r w:rsidRPr="005C5749">
              <w:t xml:space="preserve"> Essentia</w:t>
            </w:r>
            <w:r w:rsidRPr="005C5749">
              <w:t>l Knowledge and Associated Skills (EKAS): This describes the essential skills and knowledge and their level, required for this unit.</w:t>
            </w:r>
          </w:p>
          <w:p w:rsidR="00000000" w:rsidRPr="005C5749" w:rsidP="005C5749">
            <w:pPr>
              <w:pStyle w:val="BodyText"/>
            </w:pPr>
            <w:r w:rsidRPr="005C5749">
              <w:t xml:space="preserve">Evidence shall show that knowledge has been acquired of maintaining distribution field devices. </w:t>
            </w:r>
          </w:p>
          <w:p w:rsidR="00000000" w:rsidRPr="005C5749" w:rsidP="005C5749">
            <w:pPr>
              <w:pStyle w:val="BodyText"/>
            </w:pPr>
            <w:r w:rsidRPr="005C5749">
              <w:t>All knowledge and skills d</w:t>
            </w:r>
            <w:r w:rsidRPr="005C5749">
              <w:t>etailed in this unit should be contextualised to current industry practices and technologies.</w:t>
            </w:r>
          </w:p>
          <w:p w:rsidR="00000000" w:rsidRPr="005C5749" w:rsidP="005C5749">
            <w:pPr>
              <w:pStyle w:val="BodyText"/>
            </w:pPr>
            <w:r w:rsidRPr="005C5749">
              <w:t xml:space="preserve">KS01-TSB37A </w:t>
            </w:r>
            <w:r w:rsidRPr="005C5749">
              <w:tab/>
              <w:t>Power system distribution field devices</w:t>
            </w:r>
          </w:p>
          <w:p w:rsidR="00000000" w:rsidRPr="005C5749" w:rsidP="005C5749">
            <w:pPr>
              <w:pStyle w:val="BodyText"/>
            </w:pPr>
            <w:r w:rsidRPr="005C5749">
              <w:t>Evidence shall show an understanding of power system distribution field devices to an extent indicated by the</w:t>
            </w:r>
            <w:r w:rsidRPr="005C5749">
              <w:t xml:space="preserve"> following aspects: </w:t>
            </w:r>
          </w:p>
          <w:p w:rsidR="00000000" w:rsidRPr="005C5749" w:rsidP="005C5749">
            <w:pPr>
              <w:pStyle w:val="BodyText"/>
            </w:pPr>
            <w:r w:rsidRPr="005C5749">
              <w:t>T1</w:t>
            </w:r>
            <w:r w:rsidRPr="005C5749">
              <w:tab/>
              <w:t>Principles of Statutory and safety considerations encompassing:</w:t>
            </w:r>
          </w:p>
          <w:p w:rsidR="00000000" w:rsidRPr="005C5749" w:rsidP="005C5749">
            <w:pPr>
              <w:pStyle w:val="ListBullet"/>
            </w:pPr>
            <w:r w:rsidRPr="005C5749">
              <w:t>Commonwealth/State/Territory legislation, standards, codes, supply authority regulations and or enterprise requirements associated with working on High Voltage</w:t>
            </w:r>
          </w:p>
          <w:p w:rsidR="00000000" w:rsidRPr="005C5749" w:rsidP="005C5749">
            <w:pPr>
              <w:pStyle w:val="ListBullet"/>
            </w:pPr>
            <w:r w:rsidRPr="005C5749">
              <w:t>Particular reference to State and Territory regulations regarding - working near energised conductors, electrical access, heights, confined space, testing procedures, licensing rules.</w:t>
            </w:r>
          </w:p>
          <w:p w:rsidR="00000000" w:rsidRPr="005C5749" w:rsidP="005C5749">
            <w:pPr>
              <w:pStyle w:val="BodyText"/>
            </w:pPr>
            <w:r w:rsidRPr="005C5749">
              <w:t>T2</w:t>
            </w:r>
            <w:r w:rsidRPr="005C5749">
              <w:tab/>
              <w:t>Principles of isolation and tagging procedures associated with protec</w:t>
            </w:r>
            <w:r w:rsidRPr="005C5749">
              <w:t>tion testing encompassing:</w:t>
            </w:r>
          </w:p>
          <w:p w:rsidR="00000000" w:rsidRPr="005C5749" w:rsidP="005C5749">
            <w:pPr>
              <w:pStyle w:val="ListBullet"/>
            </w:pPr>
            <w:r w:rsidRPr="005C5749">
              <w:t>Standards, codes, Commonwealth/State/Territory legislation, supply authority regulations and or enterprise requirements associated with the installation, maintenance, isolation and tagging procedures</w:t>
            </w:r>
          </w:p>
          <w:p w:rsidR="00000000" w:rsidRPr="005C5749" w:rsidP="005C5749">
            <w:pPr>
              <w:pStyle w:val="ListBullet"/>
            </w:pPr>
            <w:r w:rsidRPr="005C5749">
              <w:t>Requirements for the use of,</w:t>
            </w:r>
            <w:r w:rsidRPr="005C5749">
              <w:t xml:space="preserve"> isolation and tagging, manuals, system diagrams/plans and drawings</w:t>
            </w:r>
          </w:p>
          <w:p w:rsidR="00000000" w:rsidRPr="005C5749" w:rsidP="005C5749">
            <w:pPr>
              <w:pStyle w:val="ListBullet"/>
            </w:pPr>
            <w:r w:rsidRPr="005C5749">
              <w:t>Techniques in documenting isolations</w:t>
            </w:r>
          </w:p>
          <w:p w:rsidR="00000000" w:rsidRPr="005C5749" w:rsidP="005C5749">
            <w:pPr>
              <w:pStyle w:val="ListBullet"/>
            </w:pPr>
            <w:r w:rsidRPr="005C5749">
              <w:t>Techniques in appropriate isolation and tagging procedures as per Commonwealth/ State/Territory legislation, supply authority regulations and enterpris</w:t>
            </w:r>
            <w:r w:rsidRPr="005C5749">
              <w:t>e standards</w:t>
            </w:r>
          </w:p>
          <w:p w:rsidR="00000000" w:rsidRPr="005C5749" w:rsidP="005C5749">
            <w:pPr>
              <w:pStyle w:val="ListBullet"/>
            </w:pPr>
            <w:r w:rsidRPr="005C5749">
              <w:t>Techniques in the installation and maintenance procedures protection devices as per Commonwealth/State/Territory legislation, supply authority regulations and enterprise standards</w:t>
            </w:r>
          </w:p>
          <w:p w:rsidR="00000000" w:rsidRPr="005C5749" w:rsidP="005C5749">
            <w:pPr>
              <w:pStyle w:val="BodyText"/>
            </w:pPr>
            <w:r w:rsidRPr="005C5749">
              <w:t>T3</w:t>
            </w:r>
            <w:r w:rsidRPr="005C5749">
              <w:tab/>
              <w:t>Maintenance procedures associated with discrete protection sc</w:t>
            </w:r>
            <w:r w:rsidRPr="005C5749">
              <w:t>hemes encompassing:</w:t>
            </w:r>
          </w:p>
          <w:p w:rsidR="00000000" w:rsidRPr="005C5749" w:rsidP="005C5749">
            <w:pPr>
              <w:pStyle w:val="ListBullet"/>
            </w:pPr>
            <w:r w:rsidRPr="005C5749">
              <w:t>Standards, codes, Commonwealth/State/Territory legislation, supply authority regulations and or enterprise requirements associated with the maintenance procedures</w:t>
            </w:r>
          </w:p>
          <w:p w:rsidR="00000000" w:rsidRPr="005C5749" w:rsidP="005C5749">
            <w:pPr>
              <w:pStyle w:val="ListBullet"/>
            </w:pPr>
            <w:r w:rsidRPr="005C5749">
              <w:t>Requirements for the use of maintenance manuals, system diagrams/plans a</w:t>
            </w:r>
            <w:r w:rsidRPr="005C5749">
              <w:t>nd drawings</w:t>
            </w:r>
          </w:p>
          <w:p w:rsidR="00000000" w:rsidRPr="005C5749" w:rsidP="005C5749">
            <w:pPr>
              <w:pStyle w:val="ListBullet"/>
            </w:pPr>
            <w:r w:rsidRPr="005C5749">
              <w:t>Techniques in maintenance procedures – planning, policy, testing techniques</w:t>
            </w:r>
          </w:p>
          <w:p w:rsidR="00000000" w:rsidRPr="005C5749" w:rsidP="005C5749">
            <w:pPr>
              <w:pStyle w:val="ListBullet"/>
            </w:pPr>
            <w:r w:rsidRPr="005C5749">
              <w:t>Close out requirements</w:t>
            </w:r>
          </w:p>
          <w:p w:rsidR="00000000" w:rsidRPr="005C5749" w:rsidP="005C5749">
            <w:pPr>
              <w:pStyle w:val="BodyText"/>
            </w:pPr>
            <w:r w:rsidRPr="005C5749">
              <w:t>T4</w:t>
            </w:r>
            <w:r w:rsidRPr="005C5749">
              <w:tab/>
              <w:t>Relay manufacturer specifications encompassing:</w:t>
            </w:r>
          </w:p>
          <w:p w:rsidR="00000000" w:rsidRPr="005C5749" w:rsidP="005C5749">
            <w:pPr>
              <w:pStyle w:val="ListBullet"/>
            </w:pPr>
            <w:r w:rsidRPr="005C5749">
              <w:t>Standards, codes, Commonwealth, State/Territory and local government legislation, supply auth</w:t>
            </w:r>
            <w:r w:rsidRPr="005C5749">
              <w:t>ority regulations and or enterprise requirements applicable to the use and application of relay manufacturer specifications</w:t>
            </w:r>
          </w:p>
          <w:p w:rsidR="00000000" w:rsidRPr="005C5749" w:rsidP="005C5749">
            <w:pPr>
              <w:pStyle w:val="ListBullet"/>
            </w:pPr>
            <w:r w:rsidRPr="005C5749">
              <w:t>Requirements for the use of relay manufacturer manuals, system diagrams/plans and drawings</w:t>
            </w:r>
          </w:p>
          <w:p w:rsidR="00000000" w:rsidRPr="005C5749" w:rsidP="005C5749">
            <w:pPr>
              <w:pStyle w:val="ListBullet"/>
            </w:pPr>
            <w:r w:rsidRPr="005C5749">
              <w:t>Types, function and characteristics of sp</w:t>
            </w:r>
            <w:r w:rsidRPr="005C5749">
              <w:t>ecific relays - differences between specific relays used for the same functionality</w:t>
            </w:r>
          </w:p>
          <w:p w:rsidR="00000000" w:rsidRPr="005C5749" w:rsidP="005C5749">
            <w:pPr>
              <w:pStyle w:val="BodyText"/>
            </w:pPr>
            <w:r w:rsidRPr="005C5749">
              <w:t>T5</w:t>
            </w:r>
            <w:r w:rsidRPr="005C5749">
              <w:tab/>
              <w:t>Safe handling and/or disposing of insulation materials used in power distribution devices, which are potential environmental pollutants encompassing:</w:t>
            </w:r>
          </w:p>
          <w:p w:rsidR="00000000" w:rsidRPr="005C5749" w:rsidP="005C5749">
            <w:pPr>
              <w:pStyle w:val="ListBullet"/>
            </w:pPr>
            <w:r w:rsidRPr="005C5749">
              <w:t xml:space="preserve">Standards, codes, </w:t>
            </w:r>
            <w:r w:rsidRPr="005C5749">
              <w:t>Commonwealth, State/Territory and local government legislation, supply authority regulations and or enterprise requirements applicable to the handling and disposing of insulation or heat dissipation materials used in power distribution devices</w:t>
            </w:r>
          </w:p>
          <w:p w:rsidR="00000000" w:rsidRPr="005C5749" w:rsidP="005C5749">
            <w:pPr>
              <w:pStyle w:val="ListBullet"/>
            </w:pPr>
            <w:r w:rsidRPr="005C5749">
              <w:t>Identification of environmental issues associated with the handling and disposing of insulation materials</w:t>
            </w:r>
          </w:p>
          <w:p w:rsidR="00000000" w:rsidRPr="005C5749" w:rsidP="005C5749">
            <w:pPr>
              <w:pStyle w:val="ListBullet"/>
            </w:pPr>
            <w:r w:rsidRPr="005C5749">
              <w:t>Safety precautions when handling and disposing of heat dissipation materials - safe working practices, Occupational Health and Safety hazards and prec</w:t>
            </w:r>
            <w:r w:rsidRPr="005C5749">
              <w:t>autions, identification of hazards, assessing and controlling risks, types, selection, maintenance and uses of personnel protective equipment, permit to work systems and isolation procedures, types and function of specialised equipment, safe working practi</w:t>
            </w:r>
            <w:r w:rsidRPr="005C5749">
              <w:t>ces when using specialised equipment, emergency response and rescue including First Aid etc.</w:t>
            </w:r>
          </w:p>
          <w:p w:rsidR="00000000" w:rsidRPr="005C5749" w:rsidP="005C5749">
            <w:pPr>
              <w:pStyle w:val="ListBullet"/>
            </w:pPr>
            <w:r w:rsidRPr="005C5749">
              <w:t>Techniques in the handling and disposing of insulation materials - Polychlorinated Bi-Phenyls (PCB’s), asbestos, insulating Oil, SF6 gas.</w:t>
            </w:r>
          </w:p>
        </w:tc>
      </w:tr>
    </w:tbl>
    <w:p w:rsidR="00000000" w:rsidRPr="005C5749" w:rsidP="005C5749">
      <w:pPr>
        <w:pStyle w:val="BodyText"/>
      </w:pPr>
    </w:p>
    <w:p w:rsidR="00000000" w:rsidRPr="005C5749" w:rsidP="005C5749">
      <w:pPr>
        <w:pStyle w:val="AllowPageBreak"/>
      </w:pPr>
    </w:p>
    <w:p w:rsidR="00000000" w:rsidRPr="005C5749" w:rsidP="005C5749">
      <w:pPr>
        <w:pStyle w:val="Heading1"/>
      </w:pPr>
      <w:bookmarkStart w:id="10" w:name="O_459870"/>
      <w:bookmarkEnd w:id="10"/>
      <w:r w:rsidRPr="005C5749">
        <w:t>Eviden</w:t>
      </w:r>
      <w:r w:rsidRPr="005C5749">
        <w:t>ce Guide</w:t>
      </w:r>
    </w:p>
    <w:tbl>
      <w:tblPr>
        <w:tblW w:w="0" w:type="auto"/>
        <w:tblLayout w:type="fixed"/>
        <w:tblCellMar>
          <w:left w:w="62" w:type="dxa"/>
          <w:right w:w="62" w:type="dxa"/>
        </w:tblCellMar>
        <w:tblLook w:val="0000"/>
      </w:tblPr>
      <w:tblGrid>
        <w:gridCol w:w="8460"/>
      </w:tblGrid>
      <w:tr w:rsidTr="0048122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EVIDENCE GUIDE</w:t>
            </w:r>
          </w:p>
        </w:tc>
      </w:tr>
      <w:tr w:rsidTr="004812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9)</w:t>
            </w:r>
            <w:r w:rsidRPr="005C5749">
              <w:t xml:space="preserve"> This provides essential advice for assessment of the competency standard unit and must be read in conjunction with the Performance Criteria and the Range Statement of the competency standard</w:t>
            </w:r>
            <w:r w:rsidRPr="005C5749">
              <w:t xml:space="preserve"> unit and the Training Package Assessment Guidelines.</w:t>
            </w:r>
          </w:p>
          <w:p w:rsidR="00000000" w:rsidRPr="005C5749" w:rsidP="005C5749">
            <w:pPr>
              <w:pStyle w:val="BodyText"/>
            </w:pPr>
            <w:r w:rsidRPr="005C5749">
              <w:t>The Evidence Guide forms an integral part of this Competency Standard Unit and shall be used in conjunction with all component parts of this unit and, performed in accordance with the Assessment Guideli</w:t>
            </w:r>
            <w:r w:rsidRPr="005C5749">
              <w:t>nes of this Training Package.</w:t>
            </w:r>
          </w:p>
        </w:tc>
      </w:tr>
    </w:tbl>
    <w:p w:rsidR="00000000" w:rsidRPr="005C5749" w:rsidP="005C5749">
      <w:pPr>
        <w:pStyle w:val="BodyText"/>
      </w:pPr>
    </w:p>
    <w:tbl>
      <w:tblPr>
        <w:tblW w:w="0" w:type="auto"/>
        <w:tblLayout w:type="fixed"/>
        <w:tblCellMar>
          <w:left w:w="62" w:type="dxa"/>
          <w:right w:w="62" w:type="dxa"/>
        </w:tblCellMar>
        <w:tblLook w:val="0000"/>
      </w:tblPr>
      <w:tblGrid>
        <w:gridCol w:w="1890"/>
        <w:gridCol w:w="6570"/>
      </w:tblGrid>
      <w:tr w:rsidTr="004812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9.1)</w:t>
            </w:r>
          </w:p>
        </w:tc>
      </w:tr>
      <w:tr w:rsidTr="004812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Longitudinal competency development approaches to assessment, such as Profiling, require data to be reliably gathered in a form that can be consistently interpreted over time. This approach is b</w:t>
            </w:r>
            <w:r w:rsidRPr="005C5749">
              <w:t>est utilised in Apprenticeship programs and reduces assessment intervention. It is the Industry’s preferred model for apprenticeships. However, where summative (or final) assessment is used it is to include the application of the competency in the normal w</w:t>
            </w:r>
            <w:r w:rsidRPr="005C5749">
              <w:t xml:space="preserve">ork environment or, at a minimum, the application of the competency in a realistically simulated work environment. It is recognised that, in some circumstances, assessment in part or full can occur outside the workplace. However, it must be in accord with </w:t>
            </w:r>
            <w:r w:rsidRPr="005C5749">
              <w:t>Industry and, Regulatory policy in this regard.</w:t>
            </w:r>
          </w:p>
          <w:p w:rsidR="00000000" w:rsidRPr="005C5749" w:rsidP="005C5749">
            <w:pPr>
              <w:pStyle w:val="BodyText"/>
            </w:pPr>
            <w:r w:rsidRPr="005C5749">
              <w:t>Methods chosen for a particular assessment will be influenced by various factors. These include the extent of the assessment, the most effective locations for the assessment activities to take place, access t</w:t>
            </w:r>
            <w:r w:rsidRPr="005C5749">
              <w:t>o physical resources, additional safety measures that may be required and the critical nature of the competencies being assessed.</w:t>
            </w:r>
          </w:p>
          <w:p w:rsidR="00000000" w:rsidRPr="005C5749" w:rsidP="005C5749">
            <w:pPr>
              <w:pStyle w:val="BodyText"/>
            </w:pPr>
            <w:r w:rsidRPr="005C5749">
              <w:t>The critical safety nature of working with electricity, electrical equipment, gas or any other hazardous substance/material ca</w:t>
            </w:r>
            <w:r w:rsidRPr="005C5749">
              <w:t>rries risk in deeming a person competent. Hence, sources of evidence need to be ‘rich’ in nature so as to minimise error in judgment.</w:t>
            </w:r>
          </w:p>
          <w:p w:rsidR="00000000" w:rsidRPr="005C5749" w:rsidP="005C5749">
            <w:pPr>
              <w:pStyle w:val="BodyText"/>
            </w:pPr>
            <w:r w:rsidRPr="005C5749">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5C5749">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5C5749">
              <w:t>of this Training Package.</w:t>
            </w:r>
          </w:p>
        </w:tc>
      </w:tr>
    </w:tbl>
    <w:p w:rsidR="00000000" w:rsidRPr="005C5749" w:rsidP="005C5749">
      <w:pPr>
        <w:pStyle w:val="BodyText"/>
      </w:pPr>
    </w:p>
    <w:tbl>
      <w:tblPr>
        <w:tblW w:w="0" w:type="auto"/>
        <w:tblLayout w:type="fixed"/>
        <w:tblCellMar>
          <w:left w:w="62" w:type="dxa"/>
          <w:right w:w="62" w:type="dxa"/>
        </w:tblCellMar>
        <w:tblLook w:val="0000"/>
      </w:tblPr>
      <w:tblGrid>
        <w:gridCol w:w="1890"/>
        <w:gridCol w:w="10"/>
        <w:gridCol w:w="710"/>
        <w:gridCol w:w="1260"/>
        <w:gridCol w:w="2160"/>
        <w:gridCol w:w="2430"/>
        <w:gridCol w:w="45"/>
      </w:tblGrid>
      <w:tr w:rsidTr="0048122E">
        <w:tblPrEx>
          <w:tblW w:w="0" w:type="auto"/>
          <w:tblLayout w:type="fixed"/>
          <w:tblCellMar>
            <w:left w:w="62" w:type="dxa"/>
            <w:right w:w="62" w:type="dxa"/>
          </w:tblCellMar>
          <w:tblLook w:val="0000"/>
        </w:tblPrEx>
        <w:trPr>
          <w:gridAfter w:val="1"/>
          <w:wAfter w:w="45" w:type="dxa"/>
        </w:trPr>
        <w:tc>
          <w:tcPr>
            <w:tcW w:w="189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Critical aspects of evidence required to demonstrate competency in this unit</w:t>
            </w:r>
          </w:p>
        </w:tc>
        <w:tc>
          <w:tcPr>
            <w:tcW w:w="6570" w:type="dxa"/>
            <w:gridSpan w:val="5"/>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9.2)</w:t>
            </w:r>
          </w:p>
        </w:tc>
      </w:tr>
      <w:tr w:rsidTr="0048122E">
        <w:tblPrEx>
          <w:tblW w:w="0" w:type="auto"/>
          <w:tblLayout w:type="fixed"/>
          <w:tblCellMar>
            <w:left w:w="62" w:type="dxa"/>
            <w:right w:w="62" w:type="dxa"/>
          </w:tblCellMar>
          <w:tblLook w:val="0000"/>
        </w:tblPrEx>
        <w:trPr>
          <w:gridAfter w:val="1"/>
          <w:wAfter w:w="45"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5"/>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Before the critical aspects of evidence are considered all prerequisites shall be met.</w:t>
            </w:r>
          </w:p>
          <w:p w:rsidR="00000000" w:rsidRPr="005C5749" w:rsidP="005C5749">
            <w:pPr>
              <w:pStyle w:val="BodyText"/>
            </w:pPr>
            <w:r w:rsidRPr="005C5749">
              <w:t>Evidence for competence in this unit shall be consider</w:t>
            </w:r>
            <w:r w:rsidRPr="005C5749">
              <w:t>ed holistically. Each element and associated Performance Criteria shall be demonstrated on at least two occasions in accordance with the “Assessment Guidelines – UET12”. Evidence shall also comprise:</w:t>
            </w:r>
          </w:p>
          <w:p w:rsidR="00000000" w:rsidRPr="005C5749" w:rsidP="005C5749">
            <w:pPr>
              <w:pStyle w:val="ListBullet"/>
            </w:pPr>
            <w:r w:rsidRPr="005C5749">
              <w:t>A representative body of Performance Criteria demonstra</w:t>
            </w:r>
            <w:r w:rsidRPr="005C5749">
              <w:t>ted within the timeframes typically expected of the discipline, work function and industrial environment. In particular this shall incorporate evidence that shows a candidate is able to:</w:t>
            </w:r>
          </w:p>
          <w:p w:rsidR="00000000" w:rsidRPr="005C5749" w:rsidP="005C5749">
            <w:pPr>
              <w:pStyle w:val="ListBullet2"/>
            </w:pPr>
            <w:r w:rsidRPr="005C5749">
              <w:t>Implement Occupational Health and Safety workplace procedures and practices including the use of risk control measures as specified in the Performance Criteria and range; and</w:t>
            </w:r>
          </w:p>
          <w:p w:rsidR="00000000" w:rsidRPr="005C5749" w:rsidP="005C5749">
            <w:pPr>
              <w:pStyle w:val="ListBullet2"/>
            </w:pPr>
            <w:r w:rsidRPr="005C5749">
              <w:t>Apply sustainable energy principles and practices as specified in the Performance</w:t>
            </w:r>
            <w:r w:rsidRPr="005C5749">
              <w:t xml:space="preserve"> Criteria and range; and</w:t>
            </w:r>
          </w:p>
          <w:p w:rsidR="00000000" w:rsidRPr="005C5749" w:rsidP="005C5749">
            <w:pPr>
              <w:pStyle w:val="ListBullet2"/>
            </w:pPr>
            <w:r w:rsidRPr="005C5749">
              <w:t>Demonstrate an understanding of the essential knowledge and associated skills as described in this unit to such an extent that the learner’s performance outcome is reported in accordance with the preferred approach; namely a percen</w:t>
            </w:r>
            <w:r w:rsidRPr="005C5749">
              <w:t>tile graded result, where required by the regulated environment; and</w:t>
            </w:r>
          </w:p>
          <w:p w:rsidR="00000000" w:rsidRPr="005C5749" w:rsidP="005C5749">
            <w:pPr>
              <w:pStyle w:val="ListBullet2"/>
            </w:pPr>
            <w:r w:rsidRPr="005C5749">
              <w:t>Demonstrate an appropriate level of employability skills; and</w:t>
            </w:r>
          </w:p>
          <w:p w:rsidR="00000000" w:rsidRPr="005C5749" w:rsidP="005C5749">
            <w:pPr>
              <w:pStyle w:val="ListBullet"/>
            </w:pPr>
            <w:r w:rsidRPr="005C5749">
              <w:t>Conduct work observing the relevant Anti Discrimination legislation, regulations, policies and workplace procedures; and</w:t>
            </w:r>
          </w:p>
          <w:p w:rsidR="00000000" w:rsidP="005C5749">
            <w:pPr>
              <w:pStyle w:val="ListBullet2"/>
              <w:rPr>
                <w:lang w:val="en-NZ"/>
              </w:rPr>
            </w:pPr>
            <w:r w:rsidRPr="005C5749">
              <w:t>De</w:t>
            </w:r>
            <w:r w:rsidRPr="005C5749">
              <w:t>monstrated performance across a representative range of contexts from the prescribed items below:</w:t>
            </w:r>
          </w:p>
        </w:tc>
      </w:tr>
      <w:tr w:rsidTr="0048122E">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0" w:type="dxa"/>
            <w:tcBorders>
              <w:top w:val="nil"/>
              <w:left w:val="nil"/>
              <w:bottom w:val="nil"/>
              <w:right w:val="single" w:sz="4" w:space="0" w:color="auto"/>
            </w:tcBorders>
            <w:tcMar>
              <w:top w:w="0" w:type="dxa"/>
              <w:left w:w="62" w:type="dxa"/>
              <w:bottom w:w="0" w:type="dxa"/>
              <w:right w:w="62" w:type="dxa"/>
            </w:tcMar>
          </w:tcPr>
          <w:p w:rsidR="00000000" w:rsidRPr="005C5749">
            <w:pPr>
              <w:pStyle w:val="BodyText"/>
              <w:keepNext w:val="0"/>
              <w:keepLines w:val="0"/>
              <w:contextualSpacing w:val="0"/>
            </w:pPr>
          </w:p>
        </w:tc>
        <w:tc>
          <w:tcPr>
            <w:tcW w:w="5895"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749">
            <w:pPr>
              <w:pStyle w:val="BodyText"/>
              <w:rPr>
                <w:lang w:val="en-NZ"/>
              </w:rPr>
            </w:pPr>
            <w:r w:rsidRPr="005C5749">
              <w:rPr>
                <w:rStyle w:val="SpecialBold"/>
              </w:rPr>
              <w:t>Range of tools/equipment/materials/procedures/workplaces/other variables</w:t>
            </w:r>
          </w:p>
        </w:tc>
      </w:tr>
      <w:tr w:rsidTr="0048122E">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0" w:type="dxa"/>
            <w:tcBorders>
              <w:top w:val="nil"/>
              <w:left w:val="nil"/>
              <w:bottom w:val="nil"/>
              <w:right w:val="single" w:sz="4" w:space="0" w:color="auto"/>
            </w:tcBorders>
            <w:tcMar>
              <w:top w:w="0" w:type="dxa"/>
              <w:left w:w="62" w:type="dxa"/>
              <w:bottom w:w="0" w:type="dxa"/>
              <w:right w:w="62" w:type="dxa"/>
            </w:tcMar>
          </w:tcPr>
          <w:p w:rsidR="00000000" w:rsidRPr="005C5749">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749" w:rsidP="005C5749">
            <w:pPr>
              <w:pStyle w:val="BodyText"/>
            </w:pPr>
            <w:r w:rsidRPr="005C574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749" w:rsidP="005C5749">
            <w:pPr>
              <w:pStyle w:val="BodyText"/>
            </w:pPr>
            <w:r w:rsidRPr="005C5749">
              <w:rPr>
                <w:rStyle w:val="SpecialBold"/>
              </w:rPr>
              <w:t>The minimum number of items on which skill is to be demonstrated</w:t>
            </w:r>
          </w:p>
        </w:tc>
        <w:tc>
          <w:tcPr>
            <w:tcW w:w="24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749">
            <w:pPr>
              <w:pStyle w:val="BodyText"/>
              <w:rPr>
                <w:lang w:val="en-NZ"/>
              </w:rPr>
            </w:pPr>
            <w:r w:rsidRPr="005C5749">
              <w:rPr>
                <w:rStyle w:val="SpecialBold"/>
              </w:rPr>
              <w:t>Item List</w:t>
            </w:r>
          </w:p>
        </w:tc>
      </w:tr>
      <w:tr w:rsidTr="0048122E">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749">
            <w:pPr>
              <w:pStyle w:val="BodyText"/>
              <w:rPr>
                <w:lang w:val="en-NZ"/>
              </w:rPr>
            </w:pPr>
            <w:r w:rsidRPr="005C574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749">
            <w:pPr>
              <w:pStyle w:val="BodyText"/>
              <w:rPr>
                <w:lang w:val="en-NZ"/>
              </w:rPr>
            </w:pPr>
            <w:r w:rsidRPr="005C5749">
              <w:t>All of the following:</w:t>
            </w:r>
          </w:p>
        </w:tc>
        <w:tc>
          <w:tcPr>
            <w:tcW w:w="24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749" w:rsidP="005C5749">
            <w:pPr>
              <w:pStyle w:val="BodyText"/>
            </w:pPr>
            <w:r w:rsidRPr="005C5749">
              <w:t>Assembly</w:t>
            </w:r>
          </w:p>
          <w:p w:rsidR="00000000" w:rsidRPr="005C5749" w:rsidP="005C5749">
            <w:pPr>
              <w:pStyle w:val="BodyText"/>
            </w:pPr>
            <w:r w:rsidRPr="005C5749">
              <w:t>Functional checks</w:t>
            </w:r>
          </w:p>
          <w:p w:rsidR="00000000" w:rsidRPr="005C5749" w:rsidP="005C5749">
            <w:pPr>
              <w:pStyle w:val="BodyText"/>
            </w:pPr>
            <w:r w:rsidRPr="005C5749">
              <w:t>Applying device settings</w:t>
            </w:r>
          </w:p>
          <w:p w:rsidR="00000000" w:rsidRPr="005C5749" w:rsidP="005C5749">
            <w:pPr>
              <w:pStyle w:val="BodyText"/>
            </w:pPr>
            <w:r w:rsidRPr="005C5749">
              <w:t>Secondary injections</w:t>
            </w:r>
          </w:p>
          <w:p w:rsidR="00000000" w:rsidRPr="005C5749" w:rsidP="005C5749">
            <w:pPr>
              <w:pStyle w:val="BodyText"/>
            </w:pPr>
            <w:r w:rsidRPr="005C5749">
              <w:t>Timing</w:t>
            </w:r>
          </w:p>
          <w:p w:rsidR="00000000" w:rsidP="005C5749">
            <w:pPr>
              <w:pStyle w:val="BodyText"/>
              <w:rPr>
                <w:lang w:val="en-NZ"/>
              </w:rPr>
            </w:pPr>
            <w:r w:rsidRPr="005C5749">
              <w:t>Remote operations</w:t>
            </w:r>
          </w:p>
        </w:tc>
      </w:tr>
      <w:tr w:rsidTr="0048122E">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749">
            <w:pPr>
              <w:pStyle w:val="BodyText"/>
              <w:rPr>
                <w:lang w:val="en-NZ"/>
              </w:rPr>
            </w:pPr>
            <w:r w:rsidRPr="005C574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749">
            <w:pPr>
              <w:pStyle w:val="BodyText"/>
              <w:rPr>
                <w:lang w:val="en-NZ"/>
              </w:rPr>
            </w:pPr>
            <w:r w:rsidRPr="005C5749">
              <w:t>At least three of the following:</w:t>
            </w:r>
          </w:p>
        </w:tc>
        <w:tc>
          <w:tcPr>
            <w:tcW w:w="24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749" w:rsidP="005C5749">
            <w:pPr>
              <w:pStyle w:val="BodyText"/>
            </w:pPr>
            <w:r w:rsidRPr="005C5749">
              <w:t>ACRs</w:t>
            </w:r>
          </w:p>
          <w:p w:rsidR="00000000" w:rsidRPr="005C5749" w:rsidP="005C5749">
            <w:pPr>
              <w:pStyle w:val="BodyText"/>
            </w:pPr>
            <w:r w:rsidRPr="005C5749">
              <w:t>Gas switches</w:t>
            </w:r>
          </w:p>
          <w:p w:rsidR="00000000" w:rsidRPr="005C5749" w:rsidP="005C5749">
            <w:pPr>
              <w:pStyle w:val="BodyText"/>
            </w:pPr>
            <w:r w:rsidRPr="005C5749">
              <w:t>Regulators</w:t>
            </w:r>
          </w:p>
          <w:p w:rsidR="00000000" w:rsidRPr="005C5749" w:rsidP="005C5749">
            <w:pPr>
              <w:pStyle w:val="BodyText"/>
            </w:pPr>
            <w:r w:rsidRPr="005C5749">
              <w:t>Line capacitors</w:t>
            </w:r>
          </w:p>
          <w:p w:rsidR="00000000" w:rsidRPr="005C5749" w:rsidP="005C5749">
            <w:pPr>
              <w:pStyle w:val="BodyText"/>
            </w:pPr>
            <w:r w:rsidRPr="005C5749">
              <w:t>Mobile phone systems</w:t>
            </w:r>
          </w:p>
          <w:p w:rsidR="00000000" w:rsidP="005C5749">
            <w:pPr>
              <w:pStyle w:val="BodyText"/>
              <w:rPr>
                <w:lang w:val="en-NZ"/>
              </w:rPr>
            </w:pPr>
            <w:r w:rsidRPr="005C5749">
              <w:t>TMR radio systems</w:t>
            </w:r>
          </w:p>
        </w:tc>
      </w:tr>
      <w:tr w:rsidTr="0048122E">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749">
            <w:pPr>
              <w:pStyle w:val="BodyText"/>
              <w:rPr>
                <w:lang w:val="en-NZ"/>
              </w:rPr>
            </w:pPr>
            <w:r w:rsidRPr="005C5749">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749">
            <w:pPr>
              <w:pStyle w:val="BodyText"/>
              <w:rPr>
                <w:lang w:val="en-NZ"/>
              </w:rPr>
            </w:pPr>
            <w:r w:rsidRPr="005C5749">
              <w:t>At least one occasion</w:t>
            </w:r>
          </w:p>
        </w:tc>
        <w:tc>
          <w:tcPr>
            <w:tcW w:w="24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749" w:rsidP="005C5749">
            <w:pPr>
              <w:pStyle w:val="BodyText"/>
            </w:pPr>
            <w:r w:rsidRPr="005C5749">
              <w:t xml:space="preserve">Dealing with an unplanned event by drawing on essential knowledge and associated skills to provide </w:t>
            </w:r>
            <w:r w:rsidRPr="005C5749">
              <w:t>appropriate solutions incorporated in the holistic assessment with the above listed items.</w:t>
            </w:r>
          </w:p>
        </w:tc>
      </w:tr>
    </w:tbl>
    <w:p w:rsidR="00000000" w:rsidRPr="005C5749" w:rsidP="005C5749">
      <w:pPr>
        <w:pStyle w:val="BodyText"/>
      </w:pPr>
    </w:p>
    <w:tbl>
      <w:tblPr>
        <w:tblW w:w="0" w:type="auto"/>
        <w:tblLayout w:type="fixed"/>
        <w:tblCellMar>
          <w:left w:w="62" w:type="dxa"/>
          <w:right w:w="62" w:type="dxa"/>
        </w:tblCellMar>
        <w:tblLook w:val="0000"/>
      </w:tblPr>
      <w:tblGrid>
        <w:gridCol w:w="1890"/>
        <w:gridCol w:w="6570"/>
      </w:tblGrid>
      <w:tr w:rsidTr="0048122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Context of and specific resources fo</w:t>
            </w:r>
            <w:r w:rsidRPr="005C5749">
              <w:rPr>
                <w:rStyle w:val="SpecialBold"/>
              </w:rPr>
              <w:t>r assessment</w:t>
            </w:r>
          </w:p>
        </w:tc>
        <w:tc>
          <w:tcPr>
            <w:tcW w:w="657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9.3)</w:t>
            </w:r>
          </w:p>
        </w:tc>
      </w:tr>
      <w:tr w:rsidTr="0048122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This unit should be assessed as it relates to normal work practice using procedures, information and resources typical of a workplace. This should include:</w:t>
            </w:r>
          </w:p>
          <w:p w:rsidR="00000000" w:rsidRPr="005C5749" w:rsidP="005C5749">
            <w:pPr>
              <w:pStyle w:val="ListBullet"/>
            </w:pPr>
            <w:r w:rsidRPr="005C5749">
              <w:t>OHS policy and work procedures and instructions.</w:t>
            </w:r>
          </w:p>
          <w:p w:rsidR="00000000" w:rsidRPr="005C5749" w:rsidP="005C5749">
            <w:pPr>
              <w:pStyle w:val="ListBullet"/>
            </w:pPr>
            <w:r w:rsidRPr="005C5749">
              <w:t>Suitable work environment, facilities, equipment and materials to undertake actual maintenance of distribution network field devices.</w:t>
            </w:r>
          </w:p>
          <w:p w:rsidR="00000000" w:rsidRPr="005C5749" w:rsidP="005C5749">
            <w:pPr>
              <w:pStyle w:val="BodyText"/>
            </w:pPr>
            <w:r w:rsidRPr="005C5749">
              <w:t>In addition to the resources listed above, in Context of and specific resources for assessment, evidence should show demon</w:t>
            </w:r>
            <w:r w:rsidRPr="005C5749">
              <w:t xml:space="preserve">strated competency working: </w:t>
            </w:r>
          </w:p>
          <w:p w:rsidR="00000000" w:rsidRPr="005C5749" w:rsidP="005C5749">
            <w:pPr>
              <w:pStyle w:val="BodyText"/>
            </w:pPr>
            <w:r w:rsidRPr="005C5749">
              <w:t>At realistic heights above ground, i.e. above 3 metres, in limited spaces, with different structural/construction types and method and in a variety of environments.</w:t>
            </w:r>
          </w:p>
        </w:tc>
      </w:tr>
    </w:tbl>
    <w:p w:rsidR="00000000" w:rsidRPr="005C5749" w:rsidP="005C5749">
      <w:pPr>
        <w:pStyle w:val="BodyText"/>
      </w:pPr>
    </w:p>
    <w:tbl>
      <w:tblPr>
        <w:tblW w:w="0" w:type="auto"/>
        <w:tblLayout w:type="fixed"/>
        <w:tblCellMar>
          <w:left w:w="62" w:type="dxa"/>
          <w:right w:w="62" w:type="dxa"/>
        </w:tblCellMar>
        <w:tblLook w:val="0000"/>
      </w:tblPr>
      <w:tblGrid>
        <w:gridCol w:w="1890"/>
        <w:gridCol w:w="6570"/>
      </w:tblGrid>
      <w:tr w:rsidTr="004812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9.4)</w:t>
            </w:r>
          </w:p>
        </w:tc>
      </w:tr>
      <w:tr w:rsidTr="004812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This Competency Standard Unit shall be assessed by methods given in Volume 1, Part 3 “Assessment Guidelines”.</w:t>
            </w:r>
          </w:p>
          <w:p w:rsidR="00000000" w:rsidRPr="005C5749" w:rsidP="005C5749">
            <w:pPr>
              <w:pStyle w:val="BodyText"/>
            </w:pPr>
            <w:r w:rsidRPr="005C5749">
              <w:t>Note:</w:t>
            </w:r>
          </w:p>
          <w:p w:rsidR="00000000" w:rsidRPr="005C5749" w:rsidP="005C5749">
            <w:pPr>
              <w:pStyle w:val="BodyText"/>
            </w:pPr>
            <w:r w:rsidRPr="005C5749">
              <w:t>Competent performance with inherent safe working practices is expected in the Transmission, Distribution and Rail Traction Industry. This re</w:t>
            </w:r>
            <w:r w:rsidRPr="005C5749">
              <w:t>quires that the specified essential knowledge and associated skills are assessed in a structured environment which is primarily intended for learning/assessment and incorporates all necessary equipment and facilities for learners to develop and demonstrate</w:t>
            </w:r>
            <w:r w:rsidRPr="005C5749">
              <w:t xml:space="preserve"> the essential knowledge and associated skills described in this unit.</w:t>
            </w:r>
          </w:p>
        </w:tc>
      </w:tr>
    </w:tbl>
    <w:p w:rsidR="00000000" w:rsidRPr="005C5749" w:rsidP="005C5749">
      <w:pPr>
        <w:pStyle w:val="BodyText"/>
      </w:pPr>
    </w:p>
    <w:tbl>
      <w:tblPr>
        <w:tblW w:w="0" w:type="auto"/>
        <w:tblLayout w:type="fixed"/>
        <w:tblCellMar>
          <w:left w:w="62" w:type="dxa"/>
          <w:right w:w="62" w:type="dxa"/>
        </w:tblCellMar>
        <w:tblLook w:val="0000"/>
      </w:tblPr>
      <w:tblGrid>
        <w:gridCol w:w="1890"/>
        <w:gridCol w:w="6570"/>
      </w:tblGrid>
      <w:tr w:rsidTr="004812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9.5)</w:t>
            </w:r>
          </w:p>
        </w:tc>
      </w:tr>
      <w:tr w:rsidTr="004812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There are no concurrent assessment recommendations for this unit.</w:t>
            </w:r>
          </w:p>
        </w:tc>
      </w:tr>
    </w:tbl>
    <w:p w:rsidR="00000000" w:rsidRPr="005C5749" w:rsidP="005C5749">
      <w:pPr>
        <w:pStyle w:val="BodyText"/>
      </w:pPr>
    </w:p>
    <w:p w:rsidR="00000000" w:rsidRPr="005C5749" w:rsidP="005C5749">
      <w:pPr>
        <w:pStyle w:val="AllowPageBreak"/>
      </w:pPr>
    </w:p>
    <w:p w:rsidR="00000000" w:rsidRPr="005C5749" w:rsidP="005C5749">
      <w:pPr>
        <w:pStyle w:val="Heading1"/>
      </w:pPr>
      <w:bookmarkStart w:id="11" w:name="O_459874"/>
      <w:bookmarkEnd w:id="11"/>
      <w:r w:rsidRPr="005C5749">
        <w:t>Range Statement</w:t>
      </w:r>
    </w:p>
    <w:tbl>
      <w:tblPr>
        <w:tblW w:w="0" w:type="auto"/>
        <w:tblLayout w:type="fixed"/>
        <w:tblCellMar>
          <w:left w:w="62" w:type="dxa"/>
          <w:right w:w="62" w:type="dxa"/>
        </w:tblCellMar>
        <w:tblLook w:val="0000"/>
      </w:tblPr>
      <w:tblGrid>
        <w:gridCol w:w="8460"/>
      </w:tblGrid>
      <w:tr w:rsidTr="0048122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RANGE STATEMENT</w:t>
            </w:r>
          </w:p>
        </w:tc>
      </w:tr>
      <w:tr w:rsidTr="004812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10)</w:t>
            </w:r>
            <w:r w:rsidRPr="005C5749">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5C5749" w:rsidP="005C5749">
            <w:pPr>
              <w:pStyle w:val="BodyText"/>
            </w:pPr>
            <w:r w:rsidRPr="005C5749">
              <w:t>This Competency Stand</w:t>
            </w:r>
            <w:r w:rsidRPr="005C5749">
              <w:t>ard Unit may be demonstrated in relation to the maintenance of distribution field devices. These devices may include:</w:t>
            </w:r>
          </w:p>
          <w:p w:rsidR="00000000" w:rsidRPr="005C5749" w:rsidP="005C5749">
            <w:pPr>
              <w:pStyle w:val="BodyText"/>
            </w:pPr>
            <w:r w:rsidRPr="005C5749">
              <w:t xml:space="preserve">Automatic circuit reclosers (ACRs), gas switches, secondary injection tests, primary injection tests, TMR radio’s, SCADA, remote control, </w:t>
            </w:r>
            <w:r w:rsidRPr="005C5749">
              <w:t>overcurrent, earth fault, sensitive earth fault, inverse time curves, definite time curves, tripping, reclose, DC supplies, AC supplies, alarms.</w:t>
            </w:r>
          </w:p>
          <w:p w:rsidR="00000000" w:rsidRPr="005C5749" w:rsidP="005C5749">
            <w:pPr>
              <w:pStyle w:val="BodyText"/>
            </w:pPr>
            <w:r w:rsidRPr="005C5749">
              <w:t>The following constants and variables included in the element/Performance Criteria in this unit are fully descr</w:t>
            </w:r>
            <w:r w:rsidRPr="005C5749">
              <w:t>ibed in the Definitions Section 1 of this volume and form an integral part of the Range Statement of this unit:</w:t>
            </w:r>
          </w:p>
          <w:p w:rsidR="00000000" w:rsidRPr="005C5749" w:rsidP="005C5749">
            <w:pPr>
              <w:pStyle w:val="ListBullet3"/>
            </w:pPr>
            <w:r w:rsidRPr="005C5749">
              <w:t>Appropriate and relevant persons (see Personnel)</w:t>
            </w:r>
          </w:p>
          <w:p w:rsidR="00000000" w:rsidRPr="005C5749" w:rsidP="005C5749">
            <w:pPr>
              <w:pStyle w:val="ListBullet3"/>
            </w:pPr>
            <w:r w:rsidRPr="005C5749">
              <w:t>Appropriate authorities</w:t>
            </w:r>
          </w:p>
          <w:p w:rsidR="00000000" w:rsidRPr="005C5749" w:rsidP="005C5749">
            <w:pPr>
              <w:pStyle w:val="ListBullet3"/>
            </w:pPr>
            <w:r w:rsidRPr="005C5749">
              <w:t>Appropriate work platform</w:t>
            </w:r>
          </w:p>
          <w:p w:rsidR="00000000" w:rsidRPr="005C5749" w:rsidP="005C5749">
            <w:pPr>
              <w:pStyle w:val="ListBullet3"/>
            </w:pPr>
            <w:r w:rsidRPr="005C5749">
              <w:t>Assessing risk</w:t>
            </w:r>
          </w:p>
          <w:p w:rsidR="00000000" w:rsidRPr="005C5749" w:rsidP="005C5749">
            <w:pPr>
              <w:pStyle w:val="ListBullet3"/>
            </w:pPr>
            <w:r w:rsidRPr="005C5749">
              <w:t>Assessment</w:t>
            </w:r>
          </w:p>
          <w:p w:rsidR="00000000" w:rsidRPr="005C5749" w:rsidP="005C5749">
            <w:pPr>
              <w:pStyle w:val="ListBullet3"/>
            </w:pPr>
            <w:r w:rsidRPr="005C5749">
              <w:t>Authorisation</w:t>
            </w:r>
          </w:p>
          <w:p w:rsidR="00000000" w:rsidRPr="005C5749" w:rsidP="005C5749">
            <w:pPr>
              <w:pStyle w:val="ListBullet3"/>
            </w:pPr>
            <w:r w:rsidRPr="005C5749">
              <w:t>Conf</w:t>
            </w:r>
            <w:r w:rsidRPr="005C5749">
              <w:t>ined space</w:t>
            </w:r>
          </w:p>
          <w:p w:rsidR="00000000" w:rsidRPr="005C5749" w:rsidP="005C5749">
            <w:pPr>
              <w:pStyle w:val="ListBullet3"/>
            </w:pPr>
            <w:r w:rsidRPr="005C5749">
              <w:t>Diagnostic, testing and restoration</w:t>
            </w:r>
          </w:p>
          <w:p w:rsidR="00000000" w:rsidRPr="005C5749" w:rsidP="005C5749">
            <w:pPr>
              <w:pStyle w:val="ListBullet3"/>
            </w:pPr>
            <w:r w:rsidRPr="005C5749">
              <w:t>Documenting detail work events, record keeping and or storage of information</w:t>
            </w:r>
          </w:p>
          <w:p w:rsidR="00000000" w:rsidRPr="005C5749" w:rsidP="005C5749">
            <w:pPr>
              <w:pStyle w:val="ListBullet3"/>
            </w:pPr>
            <w:r w:rsidRPr="005C5749">
              <w:t>Drawings and specifications</w:t>
            </w:r>
          </w:p>
          <w:p w:rsidR="00000000" w:rsidRPr="005C5749" w:rsidP="005C5749">
            <w:pPr>
              <w:pStyle w:val="ListBullet3"/>
            </w:pPr>
            <w:r w:rsidRPr="005C5749">
              <w:t>Emergency</w:t>
            </w:r>
          </w:p>
          <w:p w:rsidR="00000000" w:rsidRPr="005C5749" w:rsidP="005C5749">
            <w:pPr>
              <w:pStyle w:val="ListBullet3"/>
            </w:pPr>
            <w:r w:rsidRPr="005C5749">
              <w:t>Environmental and sustainable energy procedures</w:t>
            </w:r>
          </w:p>
          <w:p w:rsidR="00000000" w:rsidRPr="005C5749" w:rsidP="005C5749">
            <w:pPr>
              <w:pStyle w:val="ListBullet3"/>
            </w:pPr>
            <w:r w:rsidRPr="005C5749">
              <w:t>Environmental legislation</w:t>
            </w:r>
          </w:p>
          <w:p w:rsidR="00000000" w:rsidRPr="005C5749" w:rsidP="005C5749">
            <w:pPr>
              <w:pStyle w:val="ListBullet3"/>
            </w:pPr>
            <w:r w:rsidRPr="005C5749">
              <w:t>Environmental management documentation</w:t>
            </w:r>
          </w:p>
          <w:p w:rsidR="00000000" w:rsidRPr="005C5749" w:rsidP="005C5749">
            <w:pPr>
              <w:pStyle w:val="ListBullet3"/>
            </w:pPr>
            <w:r w:rsidRPr="005C5749">
              <w:t>Established procedures</w:t>
            </w:r>
          </w:p>
          <w:p w:rsidR="00000000" w:rsidRPr="005C5749" w:rsidP="005C5749">
            <w:pPr>
              <w:pStyle w:val="ListBullet3"/>
            </w:pPr>
            <w:r w:rsidRPr="005C5749">
              <w:t>Fall prevention</w:t>
            </w:r>
          </w:p>
          <w:p w:rsidR="00000000" w:rsidRPr="005C5749" w:rsidP="005C5749">
            <w:pPr>
              <w:pStyle w:val="ListBullet3"/>
            </w:pPr>
            <w:r w:rsidRPr="005C5749">
              <w:t>Hazards</w:t>
            </w:r>
          </w:p>
          <w:p w:rsidR="00000000" w:rsidRPr="005C5749" w:rsidP="005C5749">
            <w:pPr>
              <w:pStyle w:val="ListBullet3"/>
            </w:pPr>
            <w:r w:rsidRPr="005C5749">
              <w:t>Identifying hazards</w:t>
            </w:r>
          </w:p>
          <w:p w:rsidR="00000000" w:rsidRPr="005C5749" w:rsidP="005C5749">
            <w:pPr>
              <w:pStyle w:val="ListBullet3"/>
            </w:pPr>
            <w:r w:rsidRPr="005C5749">
              <w:t>Inspect</w:t>
            </w:r>
          </w:p>
          <w:p w:rsidR="00000000" w:rsidRPr="005C5749" w:rsidP="005C5749">
            <w:pPr>
              <w:pStyle w:val="ListBullet3"/>
            </w:pPr>
            <w:r w:rsidRPr="005C5749">
              <w:t>Legislation</w:t>
            </w:r>
          </w:p>
          <w:p w:rsidR="00000000" w:rsidRPr="005C5749" w:rsidP="005C5749">
            <w:pPr>
              <w:pStyle w:val="ListBullet3"/>
            </w:pPr>
            <w:r w:rsidRPr="005C5749">
              <w:t>MSDS</w:t>
            </w:r>
          </w:p>
          <w:p w:rsidR="00000000" w:rsidRPr="005C5749" w:rsidP="005C5749">
            <w:pPr>
              <w:pStyle w:val="ListBullet3"/>
            </w:pPr>
            <w:r w:rsidRPr="005C5749">
              <w:t>Notification.</w:t>
            </w:r>
          </w:p>
          <w:p w:rsidR="00000000" w:rsidRPr="005C5749" w:rsidP="005C5749">
            <w:pPr>
              <w:pStyle w:val="ListBullet3"/>
            </w:pPr>
            <w:r w:rsidRPr="005C5749">
              <w:t>OHS practices</w:t>
            </w:r>
          </w:p>
          <w:p w:rsidR="00000000" w:rsidRPr="005C5749" w:rsidP="005C5749">
            <w:pPr>
              <w:pStyle w:val="ListBullet3"/>
            </w:pPr>
            <w:r w:rsidRPr="005C5749">
              <w:t>OHS issues</w:t>
            </w:r>
          </w:p>
          <w:p w:rsidR="00000000" w:rsidRPr="005C5749" w:rsidP="005C5749">
            <w:pPr>
              <w:pStyle w:val="ListBullet3"/>
            </w:pPr>
            <w:r w:rsidRPr="005C5749">
              <w:t>Permits and/or permits to work</w:t>
            </w:r>
          </w:p>
          <w:p w:rsidR="00000000" w:rsidRPr="005C5749" w:rsidP="005C5749">
            <w:pPr>
              <w:pStyle w:val="ListBullet3"/>
            </w:pPr>
            <w:r w:rsidRPr="005C5749">
              <w:t>Personnel</w:t>
            </w:r>
          </w:p>
          <w:p w:rsidR="00000000" w:rsidRPr="005C5749" w:rsidP="005C5749">
            <w:pPr>
              <w:pStyle w:val="ListBullet3"/>
            </w:pPr>
            <w:r w:rsidRPr="005C5749">
              <w:t>Quality assurance systems</w:t>
            </w:r>
          </w:p>
          <w:p w:rsidR="00000000" w:rsidRPr="005C5749" w:rsidP="005C5749">
            <w:pPr>
              <w:pStyle w:val="ListBullet3"/>
            </w:pPr>
            <w:r w:rsidRPr="005C5749">
              <w:t>Requirements</w:t>
            </w:r>
          </w:p>
          <w:p w:rsidR="00000000" w:rsidRPr="005C5749" w:rsidP="005C5749">
            <w:pPr>
              <w:pStyle w:val="ListBullet3"/>
            </w:pPr>
            <w:r w:rsidRPr="005C5749">
              <w:t>Testin</w:t>
            </w:r>
            <w:r w:rsidRPr="005C5749">
              <w:t>g procedures</w:t>
            </w:r>
          </w:p>
          <w:p w:rsidR="00000000" w:rsidRPr="005C5749" w:rsidP="005C5749">
            <w:pPr>
              <w:pStyle w:val="ListBullet3"/>
            </w:pPr>
            <w:r w:rsidRPr="005C5749">
              <w:t>Work clearance systems</w:t>
            </w:r>
          </w:p>
        </w:tc>
      </w:tr>
    </w:tbl>
    <w:p w:rsidR="00000000" w:rsidRPr="005C5749" w:rsidP="005C5749">
      <w:pPr>
        <w:pStyle w:val="BodyText"/>
      </w:pPr>
    </w:p>
    <w:p w:rsidR="00000000" w:rsidRPr="005C5749" w:rsidP="005C5749">
      <w:pPr>
        <w:pStyle w:val="AllowPageBreak"/>
      </w:pPr>
    </w:p>
    <w:p w:rsidR="00000000" w:rsidRPr="005C5749" w:rsidP="005C5749">
      <w:pPr>
        <w:pStyle w:val="Heading1"/>
      </w:pPr>
      <w:bookmarkStart w:id="12" w:name="O_459877"/>
      <w:bookmarkEnd w:id="12"/>
      <w:r w:rsidRPr="005C5749">
        <w:t>Unit Sector(s)</w:t>
      </w:r>
    </w:p>
    <w:p w:rsidR="00000000" w:rsidRPr="005C5749" w:rsidP="005C5749">
      <w:pPr>
        <w:pStyle w:val="BodyText"/>
      </w:pPr>
      <w:r w:rsidRPr="005C5749">
        <w:t>Not applicable.</w:t>
      </w:r>
    </w:p>
    <w:p w:rsidR="00000000" w:rsidRPr="005C5749" w:rsidP="005C5749">
      <w:pPr>
        <w:pStyle w:val="AllowPageBreak"/>
      </w:pPr>
    </w:p>
    <w:p w:rsidR="00000000" w:rsidRPr="005C5749" w:rsidP="005C5749">
      <w:pPr>
        <w:pStyle w:val="Heading1"/>
      </w:pPr>
      <w:bookmarkStart w:id="13" w:name="O_459866"/>
      <w:bookmarkEnd w:id="13"/>
      <w:r w:rsidRPr="005C5749">
        <w:t>Competency Field</w:t>
      </w:r>
    </w:p>
    <w:tbl>
      <w:tblPr>
        <w:tblW w:w="0" w:type="auto"/>
        <w:tblLayout w:type="fixed"/>
        <w:tblCellMar>
          <w:left w:w="62" w:type="dxa"/>
          <w:right w:w="62" w:type="dxa"/>
        </w:tblCellMar>
        <w:tblLook w:val="0000"/>
      </w:tblPr>
      <w:tblGrid>
        <w:gridCol w:w="2700"/>
        <w:gridCol w:w="5760"/>
      </w:tblGrid>
      <w:tr w:rsidTr="004812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C5749">
            <w:pPr>
              <w:pStyle w:val="BodyText"/>
              <w:rPr>
                <w:lang w:val="en-NZ"/>
              </w:rPr>
            </w:pPr>
            <w:r w:rsidRPr="005C5749">
              <w:rPr>
                <w:rStyle w:val="SpecialBold"/>
              </w:rPr>
              <w:t xml:space="preserve">11) </w:t>
            </w:r>
          </w:p>
        </w:tc>
      </w:tr>
      <w:tr w:rsidTr="004812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5749" w:rsidP="005C5749">
            <w:pPr>
              <w:pStyle w:val="BodyText"/>
            </w:pPr>
            <w:r w:rsidRPr="005C5749">
              <w:t>Substation Units</w:t>
            </w:r>
          </w:p>
        </w:tc>
      </w:tr>
    </w:tbl>
    <w:p w:rsidR="00000000" w:rsidRPr="005C5749" w:rsidP="005C5749">
      <w:pPr>
        <w:pStyle w:val="BodyText"/>
      </w:pPr>
    </w:p>
    <w:p w:rsidR="00000000" w:rsidRPr="005C5749" w:rsidP="005C5749"/>
    <w:sectPr w:rsidSect="005C5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22E" w:rsidP="00481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2E" w:rsidP="005C5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8122E" w:rsidP="005C57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8122E" w:rsidP="005C57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22E" w:rsidP="0048122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2E" w:rsidP="005C5749">
    <w:pPr>
      <w:pStyle w:val="Header"/>
      <w:framePr w:wrap="around"/>
    </w:pPr>
    <w:r>
      <w:fldChar w:fldCharType="begin"/>
    </w:r>
    <w:r>
      <w:instrText xml:space="preserve"> TITLE   \* MERGEFORMAT </w:instrText>
    </w:r>
    <w:r>
      <w:fldChar w:fldCharType="separate"/>
    </w:r>
    <w:r>
      <w:t>UETTDRSB37A Maintain power system distribution field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122E" w:rsidP="005C57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C3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A9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A3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7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5749"/>
    <w:pPr>
      <w:spacing w:before="360" w:after="60"/>
      <w:outlineLvl w:val="0"/>
    </w:pPr>
    <w:rPr>
      <w:sz w:val="32"/>
    </w:rPr>
  </w:style>
  <w:style w:type="paragraph" w:styleId="Heading2">
    <w:name w:val="heading 2"/>
    <w:basedOn w:val="HeadingBase"/>
    <w:next w:val="BodyText"/>
    <w:link w:val="Heading2Char"/>
    <w:qFormat/>
    <w:rsid w:val="005C5749"/>
    <w:pPr>
      <w:keepLines/>
      <w:spacing w:before="240" w:after="120"/>
      <w:outlineLvl w:val="1"/>
    </w:pPr>
    <w:rPr>
      <w:sz w:val="28"/>
      <w:szCs w:val="40"/>
    </w:rPr>
  </w:style>
  <w:style w:type="paragraph" w:styleId="Heading3">
    <w:name w:val="heading 3"/>
    <w:basedOn w:val="HeadingBase"/>
    <w:next w:val="BodyText"/>
    <w:link w:val="Heading3Char"/>
    <w:qFormat/>
    <w:rsid w:val="005C5749"/>
    <w:pPr>
      <w:spacing w:before="180" w:after="120"/>
      <w:outlineLvl w:val="2"/>
    </w:pPr>
    <w:rPr>
      <w:spacing w:val="-10"/>
      <w:kern w:val="32"/>
    </w:rPr>
  </w:style>
  <w:style w:type="paragraph" w:styleId="Heading4">
    <w:name w:val="heading 4"/>
    <w:basedOn w:val="HeadingBase"/>
    <w:next w:val="BodyText"/>
    <w:link w:val="Heading4Char"/>
    <w:qFormat/>
    <w:rsid w:val="005C5749"/>
    <w:pPr>
      <w:spacing w:before="160" w:after="120"/>
      <w:outlineLvl w:val="3"/>
    </w:pPr>
    <w:rPr>
      <w:sz w:val="22"/>
    </w:rPr>
  </w:style>
  <w:style w:type="paragraph" w:styleId="Heading5">
    <w:name w:val="heading 5"/>
    <w:basedOn w:val="HeadingBase"/>
    <w:next w:val="Normal"/>
    <w:link w:val="Heading5Char"/>
    <w:qFormat/>
    <w:rsid w:val="005C5749"/>
    <w:pPr>
      <w:spacing w:before="80"/>
      <w:outlineLvl w:val="4"/>
    </w:pPr>
    <w:rPr>
      <w:color w:val="918585"/>
      <w:sz w:val="20"/>
    </w:rPr>
  </w:style>
  <w:style w:type="paragraph" w:styleId="Heading6">
    <w:name w:val="heading 6"/>
    <w:basedOn w:val="HeadingBase"/>
    <w:next w:val="Normal"/>
    <w:link w:val="Heading6Char"/>
    <w:qFormat/>
    <w:rsid w:val="005C5749"/>
    <w:pPr>
      <w:spacing w:before="60"/>
      <w:outlineLvl w:val="5"/>
    </w:pPr>
    <w:rPr>
      <w:color w:val="918585"/>
      <w:sz w:val="20"/>
    </w:rPr>
  </w:style>
  <w:style w:type="paragraph" w:styleId="Heading7">
    <w:name w:val="heading 7"/>
    <w:basedOn w:val="Normal"/>
    <w:next w:val="Normal"/>
    <w:link w:val="Heading7Char"/>
    <w:qFormat/>
    <w:rsid w:val="005C5749"/>
    <w:pPr>
      <w:ind w:left="720"/>
      <w:outlineLvl w:val="6"/>
    </w:pPr>
    <w:rPr>
      <w:i/>
    </w:rPr>
  </w:style>
  <w:style w:type="paragraph" w:styleId="Heading8">
    <w:name w:val="heading 8"/>
    <w:basedOn w:val="Normal"/>
    <w:next w:val="Normal"/>
    <w:link w:val="Heading8Char"/>
    <w:qFormat/>
    <w:rsid w:val="005C5749"/>
    <w:pPr>
      <w:ind w:left="720"/>
      <w:outlineLvl w:val="7"/>
    </w:pPr>
    <w:rPr>
      <w:i/>
    </w:rPr>
  </w:style>
  <w:style w:type="paragraph" w:styleId="Heading9">
    <w:name w:val="heading 9"/>
    <w:basedOn w:val="Normal"/>
    <w:next w:val="Normal"/>
    <w:link w:val="Heading9Char"/>
    <w:qFormat/>
    <w:rsid w:val="005C5749"/>
    <w:pPr>
      <w:ind w:left="720"/>
      <w:outlineLvl w:val="8"/>
    </w:pPr>
    <w:rPr>
      <w:i/>
    </w:rPr>
  </w:style>
  <w:style w:type="character" w:default="1" w:styleId="DefaultParagraphFont">
    <w:name w:val="Default Paragraph Font"/>
    <w:uiPriority w:val="1"/>
    <w:unhideWhenUsed/>
    <w:rsid w:val="005C5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749"/>
  </w:style>
  <w:style w:type="character" w:customStyle="1" w:styleId="Heading1Char">
    <w:name w:val="Heading 1 Char"/>
    <w:basedOn w:val="DefaultParagraphFont"/>
    <w:link w:val="Heading1"/>
    <w:rsid w:val="005C5749"/>
    <w:rPr>
      <w:rFonts w:ascii="Times New Roman" w:eastAsia="Times New Roman" w:hAnsi="Times New Roman" w:cs="Times New Roman"/>
      <w:b/>
      <w:sz w:val="32"/>
      <w:szCs w:val="20"/>
      <w:lang w:eastAsia="en-US"/>
    </w:rPr>
  </w:style>
  <w:style w:type="paragraph" w:styleId="BodyText">
    <w:name w:val="Body Text"/>
    <w:basedOn w:val="Normal"/>
    <w:link w:val="BodyTextChar"/>
    <w:rsid w:val="005C57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5749"/>
    <w:rPr>
      <w:rFonts w:ascii="Times New Roman" w:eastAsia="Times New Roman" w:hAnsi="Times New Roman" w:cs="Times New Roman"/>
      <w:sz w:val="24"/>
      <w:lang w:val="en-US" w:eastAsia="en-US"/>
    </w:rPr>
  </w:style>
  <w:style w:type="paragraph" w:styleId="Footer">
    <w:name w:val="footer"/>
    <w:basedOn w:val="Normal"/>
    <w:link w:val="FooterChar"/>
    <w:rsid w:val="005C5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749"/>
    <w:rPr>
      <w:rFonts w:ascii="Times New Roman" w:eastAsia="Times New Roman" w:hAnsi="Times New Roman" w:cs="Times New Roman"/>
      <w:sz w:val="16"/>
      <w:lang w:val="en-US" w:eastAsia="en-US"/>
    </w:rPr>
  </w:style>
  <w:style w:type="paragraph" w:styleId="ListBullet">
    <w:name w:val="List Bullet"/>
    <w:basedOn w:val="List"/>
    <w:rsid w:val="005C5749"/>
    <w:pPr>
      <w:numPr>
        <w:numId w:val="14"/>
      </w:numPr>
      <w:tabs>
        <w:tab w:val="clear" w:pos="340"/>
      </w:tabs>
      <w:spacing w:before="40" w:after="40"/>
    </w:pPr>
  </w:style>
  <w:style w:type="character" w:customStyle="1" w:styleId="SpecialBold">
    <w:name w:val="Special Bold"/>
    <w:basedOn w:val="DefaultParagraphFont"/>
    <w:rsid w:val="005C5749"/>
    <w:rPr>
      <w:b/>
      <w:spacing w:val="0"/>
    </w:rPr>
  </w:style>
  <w:style w:type="paragraph" w:styleId="ListBullet2">
    <w:name w:val="List Bullet 2"/>
    <w:basedOn w:val="List2"/>
    <w:rsid w:val="005C5749"/>
    <w:pPr>
      <w:numPr>
        <w:numId w:val="15"/>
      </w:numPr>
      <w:tabs>
        <w:tab w:val="clear" w:pos="680"/>
      </w:tabs>
    </w:pPr>
  </w:style>
  <w:style w:type="paragraph" w:styleId="Header">
    <w:name w:val="header"/>
    <w:basedOn w:val="Normal"/>
    <w:link w:val="HeaderChar"/>
    <w:rsid w:val="005C5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7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5749"/>
    <w:pPr>
      <w:spacing w:before="240" w:after="120"/>
      <w:outlineLvl w:val="0"/>
    </w:pPr>
    <w:rPr>
      <w:rFonts w:ascii="Times New Roman" w:hAnsi="Times New Roman"/>
      <w:b/>
      <w:sz w:val="28"/>
    </w:rPr>
  </w:style>
  <w:style w:type="paragraph" w:customStyle="1" w:styleId="AllowPageBreak">
    <w:name w:val="AllowPageBreak"/>
    <w:rsid w:val="005C57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5749"/>
    <w:pPr>
      <w:numPr>
        <w:numId w:val="3"/>
      </w:numPr>
      <w:tabs>
        <w:tab w:val="clear" w:pos="1021"/>
      </w:tabs>
      <w:ind w:left="1037" w:hanging="357"/>
    </w:pPr>
  </w:style>
  <w:style w:type="character" w:customStyle="1" w:styleId="Heading2Char">
    <w:name w:val="Heading 2 Char"/>
    <w:basedOn w:val="DefaultParagraphFont"/>
    <w:link w:val="Heading2"/>
    <w:rsid w:val="005C5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7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57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5749"/>
    <w:rPr>
      <w:rFonts w:ascii="Courier New" w:eastAsia="Times New Roman" w:hAnsi="Courier New" w:cs="Times New Roman"/>
      <w:i/>
      <w:szCs w:val="20"/>
      <w:lang w:val="en-US" w:eastAsia="en-US"/>
    </w:rPr>
  </w:style>
  <w:style w:type="paragraph" w:customStyle="1" w:styleId="HeadingBase">
    <w:name w:val="Heading Base"/>
    <w:rsid w:val="005C5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749"/>
    <w:pPr>
      <w:tabs>
        <w:tab w:val="right" w:leader="dot" w:pos="9072"/>
      </w:tabs>
      <w:ind w:left="567"/>
    </w:pPr>
    <w:rPr>
      <w:szCs w:val="22"/>
    </w:rPr>
  </w:style>
  <w:style w:type="paragraph" w:customStyle="1" w:styleId="TOCBase">
    <w:name w:val="TOC Base"/>
    <w:rsid w:val="005C5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749"/>
    <w:pPr>
      <w:tabs>
        <w:tab w:val="right" w:leader="dot" w:pos="9072"/>
      </w:tabs>
      <w:spacing w:before="40" w:after="40"/>
      <w:ind w:left="284"/>
    </w:pPr>
    <w:rPr>
      <w:rFonts w:ascii="Times New Roman" w:hAnsi="Times New Roman"/>
    </w:rPr>
  </w:style>
  <w:style w:type="paragraph" w:styleId="TOC1">
    <w:name w:val="toc 1"/>
    <w:basedOn w:val="TOCBase"/>
    <w:next w:val="Normal"/>
    <w:rsid w:val="005C57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5749"/>
    <w:pPr>
      <w:spacing w:before="5040"/>
      <w:jc w:val="center"/>
    </w:pPr>
    <w:rPr>
      <w:sz w:val="48"/>
      <w:szCs w:val="72"/>
      <w:lang w:val="en-US"/>
    </w:rPr>
  </w:style>
  <w:style w:type="character" w:customStyle="1" w:styleId="TitleChar">
    <w:name w:val="Title Char"/>
    <w:basedOn w:val="DefaultParagraphFont"/>
    <w:link w:val="Title"/>
    <w:rsid w:val="005C5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749"/>
    <w:pPr>
      <w:tabs>
        <w:tab w:val="left" w:pos="3600"/>
        <w:tab w:val="left" w:pos="3958"/>
      </w:tabs>
    </w:pPr>
  </w:style>
  <w:style w:type="paragraph" w:styleId="List">
    <w:name w:val="List"/>
    <w:basedOn w:val="BodyText"/>
    <w:next w:val="BodyText"/>
    <w:rsid w:val="005C5749"/>
    <w:pPr>
      <w:tabs>
        <w:tab w:val="left" w:pos="340"/>
      </w:tabs>
      <w:spacing w:before="60" w:after="60"/>
      <w:ind w:left="340" w:hanging="340"/>
    </w:pPr>
  </w:style>
  <w:style w:type="paragraph" w:customStyle="1" w:styleId="Note">
    <w:name w:val="Note"/>
    <w:basedOn w:val="BodyText"/>
    <w:rsid w:val="005C5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749"/>
    <w:pPr>
      <w:framePr w:wrap="auto" w:hAnchor="text" w:y="6049"/>
    </w:pPr>
    <w:rPr>
      <w:color w:val="000000"/>
      <w:sz w:val="40"/>
    </w:rPr>
  </w:style>
  <w:style w:type="paragraph" w:customStyle="1" w:styleId="TOCTitle">
    <w:name w:val="TOCTitle"/>
    <w:basedOn w:val="Heading1"/>
    <w:rsid w:val="005C5749"/>
    <w:pPr>
      <w:spacing w:after="240"/>
      <w:jc w:val="center"/>
      <w:outlineLvl w:val="9"/>
    </w:pPr>
    <w:rPr>
      <w:caps/>
    </w:rPr>
  </w:style>
  <w:style w:type="paragraph" w:customStyle="1" w:styleId="Version">
    <w:name w:val="Version"/>
    <w:rsid w:val="005C5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749"/>
    <w:pPr>
      <w:keepNext w:val="0"/>
      <w:tabs>
        <w:tab w:val="right" w:pos="4176"/>
      </w:tabs>
      <w:ind w:left="198" w:hanging="198"/>
    </w:pPr>
    <w:rPr>
      <w:rFonts w:ascii="Garamond" w:hAnsi="Garamond"/>
    </w:rPr>
  </w:style>
  <w:style w:type="paragraph" w:styleId="IndexHeading">
    <w:name w:val="index heading"/>
    <w:basedOn w:val="Normal"/>
    <w:next w:val="Index1"/>
    <w:semiHidden/>
    <w:rsid w:val="005C5749"/>
    <w:pPr>
      <w:spacing w:before="120" w:after="120"/>
    </w:pPr>
    <w:rPr>
      <w:rFonts w:ascii="Arial" w:hAnsi="Arial"/>
      <w:b/>
      <w:color w:val="918585"/>
      <w:sz w:val="24"/>
    </w:rPr>
  </w:style>
  <w:style w:type="paragraph" w:customStyle="1" w:styleId="Chapter">
    <w:name w:val="Chapter"/>
    <w:basedOn w:val="Normal"/>
    <w:rsid w:val="005C5749"/>
    <w:pPr>
      <w:spacing w:before="240"/>
    </w:pPr>
    <w:rPr>
      <w:rFonts w:ascii="Times New Roman" w:hAnsi="Times New Roman"/>
      <w:smallCaps/>
      <w:spacing w:val="80"/>
      <w:sz w:val="28"/>
    </w:rPr>
  </w:style>
  <w:style w:type="paragraph" w:customStyle="1" w:styleId="InChapter">
    <w:name w:val="InChapter"/>
    <w:basedOn w:val="Heading3"/>
    <w:rsid w:val="005C5749"/>
    <w:pPr>
      <w:spacing w:after="240"/>
      <w:outlineLvl w:val="9"/>
    </w:pPr>
    <w:rPr>
      <w:noProof/>
    </w:rPr>
  </w:style>
  <w:style w:type="paragraph" w:styleId="Index2">
    <w:name w:val="index 2"/>
    <w:basedOn w:val="Normal"/>
    <w:next w:val="Normal"/>
    <w:semiHidden/>
    <w:rsid w:val="005C5749"/>
    <w:pPr>
      <w:tabs>
        <w:tab w:val="right" w:pos="4176"/>
      </w:tabs>
      <w:ind w:left="568" w:hanging="284"/>
    </w:pPr>
    <w:rPr>
      <w:rFonts w:ascii="Garamond" w:hAnsi="Garamond"/>
    </w:rPr>
  </w:style>
  <w:style w:type="paragraph" w:customStyle="1" w:styleId="Byline">
    <w:name w:val="Byline"/>
    <w:rsid w:val="005C5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749"/>
    <w:pPr>
      <w:tabs>
        <w:tab w:val="clear" w:pos="3600"/>
        <w:tab w:val="clear" w:pos="3958"/>
      </w:tabs>
      <w:jc w:val="right"/>
    </w:pPr>
  </w:style>
  <w:style w:type="character" w:styleId="Emphasis">
    <w:name w:val="Emphasis"/>
    <w:basedOn w:val="DefaultParagraphFont"/>
    <w:qFormat/>
    <w:rsid w:val="005C5749"/>
    <w:rPr>
      <w:i/>
    </w:rPr>
  </w:style>
  <w:style w:type="paragraph" w:styleId="Caption">
    <w:name w:val="caption"/>
    <w:basedOn w:val="BodyText"/>
    <w:next w:val="Normal"/>
    <w:qFormat/>
    <w:rsid w:val="005C5749"/>
    <w:pPr>
      <w:framePr w:w="2268" w:hSpace="181" w:vSpace="181" w:wrap="around" w:vAnchor="text" w:hAnchor="page" w:x="1135" w:y="285" w:anchorLock="1"/>
    </w:pPr>
    <w:rPr>
      <w:i/>
    </w:rPr>
  </w:style>
  <w:style w:type="paragraph" w:customStyle="1" w:styleId="MiniTOCTitle">
    <w:name w:val="MiniTOCTitle"/>
    <w:basedOn w:val="Heading4"/>
    <w:rsid w:val="005C5749"/>
    <w:pPr>
      <w:spacing w:before="240"/>
      <w:outlineLvl w:val="9"/>
    </w:pPr>
    <w:rPr>
      <w:noProof/>
      <w:sz w:val="24"/>
    </w:rPr>
  </w:style>
  <w:style w:type="paragraph" w:customStyle="1" w:styleId="MiniTOCItem">
    <w:name w:val="MiniTOCItem"/>
    <w:basedOn w:val="ListBullet"/>
    <w:rsid w:val="005C5749"/>
    <w:pPr>
      <w:numPr>
        <w:numId w:val="0"/>
      </w:numPr>
      <w:tabs>
        <w:tab w:val="right" w:leader="dot" w:pos="6521"/>
      </w:tabs>
      <w:spacing w:before="0" w:after="0"/>
    </w:pPr>
  </w:style>
  <w:style w:type="paragraph" w:customStyle="1" w:styleId="TOFTitle">
    <w:name w:val="TOFTitle"/>
    <w:basedOn w:val="TOCTitle"/>
    <w:rsid w:val="005C5749"/>
  </w:style>
  <w:style w:type="paragraph" w:styleId="TableofFigures">
    <w:name w:val="table of figures"/>
    <w:basedOn w:val="Normal"/>
    <w:next w:val="Normal"/>
    <w:semiHidden/>
    <w:rsid w:val="005C5749"/>
    <w:pPr>
      <w:tabs>
        <w:tab w:val="right" w:leader="dot" w:pos="9072"/>
      </w:tabs>
      <w:ind w:left="970" w:hanging="403"/>
    </w:pPr>
    <w:rPr>
      <w:rFonts w:ascii="Times New Roman" w:hAnsi="Times New Roman"/>
      <w:b/>
    </w:rPr>
  </w:style>
  <w:style w:type="paragraph" w:styleId="ListNumber">
    <w:name w:val="List Number"/>
    <w:basedOn w:val="List"/>
    <w:rsid w:val="005C5749"/>
    <w:pPr>
      <w:numPr>
        <w:numId w:val="12"/>
      </w:numPr>
    </w:pPr>
  </w:style>
  <w:style w:type="character" w:customStyle="1" w:styleId="WingdingSymbols">
    <w:name w:val="Wingding Symbols"/>
    <w:rsid w:val="005C5749"/>
    <w:rPr>
      <w:rFonts w:ascii="Wingdings" w:hAnsi="Wingdings"/>
    </w:rPr>
  </w:style>
  <w:style w:type="paragraph" w:customStyle="1" w:styleId="TableHeading">
    <w:name w:val="Table Heading"/>
    <w:basedOn w:val="HeadingBase"/>
    <w:rsid w:val="005C5749"/>
    <w:pPr>
      <w:keepLines/>
      <w:pBdr>
        <w:bottom w:val="single" w:sz="6" w:space="1" w:color="918585"/>
      </w:pBdr>
      <w:spacing w:before="240"/>
    </w:pPr>
  </w:style>
  <w:style w:type="character" w:customStyle="1" w:styleId="HotSpot">
    <w:name w:val="HotSpot"/>
    <w:rsid w:val="005C5749"/>
    <w:rPr>
      <w:color w:val="0033CC"/>
      <w:u w:val="none"/>
    </w:rPr>
  </w:style>
  <w:style w:type="paragraph" w:customStyle="1" w:styleId="BodyTextRight">
    <w:name w:val="Body Text Right"/>
    <w:basedOn w:val="BodyText"/>
    <w:rsid w:val="005C5749"/>
    <w:pPr>
      <w:spacing w:before="0" w:after="0"/>
      <w:jc w:val="right"/>
    </w:pPr>
  </w:style>
  <w:style w:type="paragraph" w:styleId="Index3">
    <w:name w:val="index 3"/>
    <w:basedOn w:val="ListNumber2"/>
    <w:next w:val="Normal"/>
    <w:semiHidden/>
    <w:rsid w:val="005C5749"/>
    <w:pPr>
      <w:numPr>
        <w:numId w:val="0"/>
      </w:numPr>
      <w:tabs>
        <w:tab w:val="right" w:leader="dot" w:pos="4176"/>
      </w:tabs>
    </w:pPr>
  </w:style>
  <w:style w:type="paragraph" w:styleId="ListNumber2">
    <w:name w:val="List Number 2"/>
    <w:basedOn w:val="List2"/>
    <w:rsid w:val="005C5749"/>
    <w:pPr>
      <w:numPr>
        <w:numId w:val="11"/>
      </w:numPr>
      <w:tabs>
        <w:tab w:val="clear" w:pos="1060"/>
      </w:tabs>
    </w:pPr>
  </w:style>
  <w:style w:type="paragraph" w:customStyle="1" w:styleId="MarginNote">
    <w:name w:val="Margin Note"/>
    <w:basedOn w:val="BodyText"/>
    <w:rsid w:val="005C5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7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5749"/>
    <w:rPr>
      <w:sz w:val="32"/>
    </w:rPr>
  </w:style>
  <w:style w:type="paragraph" w:customStyle="1" w:styleId="HeadingProcedure">
    <w:name w:val="Heading Procedure"/>
    <w:basedOn w:val="HeadingBase"/>
    <w:next w:val="Normal"/>
    <w:rsid w:val="005C5749"/>
    <w:pPr>
      <w:tabs>
        <w:tab w:val="left" w:pos="0"/>
      </w:tabs>
      <w:spacing w:before="120" w:after="60"/>
    </w:pPr>
    <w:rPr>
      <w:i/>
      <w:color w:val="918585"/>
      <w:sz w:val="22"/>
    </w:rPr>
  </w:style>
  <w:style w:type="paragraph" w:customStyle="1" w:styleId="TableBodyText">
    <w:name w:val="Table Body Text"/>
    <w:basedOn w:val="BodyText"/>
    <w:rsid w:val="005C5749"/>
    <w:pPr>
      <w:spacing w:before="60" w:after="60"/>
    </w:pPr>
  </w:style>
  <w:style w:type="paragraph" w:styleId="ListContinue">
    <w:name w:val="List Continue"/>
    <w:basedOn w:val="List"/>
    <w:rsid w:val="005C5749"/>
    <w:pPr>
      <w:ind w:firstLine="0"/>
    </w:pPr>
  </w:style>
  <w:style w:type="paragraph" w:customStyle="1" w:styleId="ListNote">
    <w:name w:val="List Note"/>
    <w:basedOn w:val="List"/>
    <w:rsid w:val="005C5749"/>
    <w:pPr>
      <w:pBdr>
        <w:top w:val="single" w:sz="6" w:space="2" w:color="918585"/>
        <w:bottom w:val="single" w:sz="6" w:space="2" w:color="918585"/>
      </w:pBdr>
      <w:tabs>
        <w:tab w:val="left" w:pos="1021"/>
      </w:tabs>
      <w:ind w:firstLine="0"/>
    </w:pPr>
  </w:style>
  <w:style w:type="paragraph" w:customStyle="1" w:styleId="Warning">
    <w:name w:val="Warning"/>
    <w:basedOn w:val="BodyText"/>
    <w:rsid w:val="005C5749"/>
    <w:pPr>
      <w:shd w:val="clear" w:color="auto" w:fill="D9D9D9"/>
      <w:tabs>
        <w:tab w:val="left" w:pos="992"/>
      </w:tabs>
      <w:ind w:left="119" w:right="119"/>
    </w:pPr>
    <w:rPr>
      <w:sz w:val="20"/>
    </w:rPr>
  </w:style>
  <w:style w:type="paragraph" w:customStyle="1" w:styleId="MarginIcons">
    <w:name w:val="Margin Icons"/>
    <w:basedOn w:val="BodyText"/>
    <w:rsid w:val="005C5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749"/>
    <w:rPr>
      <w:rFonts w:ascii="Courier New" w:hAnsi="Courier New"/>
    </w:rPr>
  </w:style>
  <w:style w:type="paragraph" w:customStyle="1" w:styleId="NoteBullet">
    <w:name w:val="Note Bullet"/>
    <w:basedOn w:val="Note"/>
    <w:rsid w:val="005C5749"/>
    <w:pPr>
      <w:tabs>
        <w:tab w:val="clear" w:pos="680"/>
      </w:tabs>
      <w:spacing w:before="60" w:after="60"/>
    </w:pPr>
  </w:style>
  <w:style w:type="paragraph" w:customStyle="1" w:styleId="SubHeading2">
    <w:name w:val="SubHeading2"/>
    <w:basedOn w:val="HeadingBase"/>
    <w:rsid w:val="005C5749"/>
    <w:pPr>
      <w:spacing w:before="240" w:after="60"/>
    </w:pPr>
    <w:rPr>
      <w:sz w:val="20"/>
    </w:rPr>
  </w:style>
  <w:style w:type="paragraph" w:customStyle="1" w:styleId="SubHeading1">
    <w:name w:val="SubHeading1"/>
    <w:basedOn w:val="HeadingBase"/>
    <w:rsid w:val="005C5749"/>
    <w:pPr>
      <w:spacing w:before="240" w:after="60"/>
    </w:pPr>
    <w:rPr>
      <w:color w:val="918585"/>
      <w:sz w:val="22"/>
    </w:rPr>
  </w:style>
  <w:style w:type="paragraph" w:customStyle="1" w:styleId="SideHeading">
    <w:name w:val="Side Heading"/>
    <w:basedOn w:val="HeadingBase"/>
    <w:rsid w:val="005C5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749"/>
    <w:pPr>
      <w:numPr>
        <w:numId w:val="13"/>
      </w:numPr>
    </w:pPr>
  </w:style>
  <w:style w:type="paragraph" w:styleId="PlainText">
    <w:name w:val="Plain Text"/>
    <w:basedOn w:val="Normal"/>
    <w:link w:val="PlainTextChar"/>
    <w:rsid w:val="005C5749"/>
    <w:rPr>
      <w:sz w:val="20"/>
    </w:rPr>
  </w:style>
  <w:style w:type="character" w:customStyle="1" w:styleId="PlainTextChar">
    <w:name w:val="Plain Text Char"/>
    <w:basedOn w:val="DefaultParagraphFont"/>
    <w:link w:val="PlainText"/>
    <w:rsid w:val="005C57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5749"/>
    <w:rPr>
      <w:b/>
      <w:smallCaps/>
    </w:rPr>
  </w:style>
  <w:style w:type="paragraph" w:customStyle="1" w:styleId="TableListNumber">
    <w:name w:val="Table List Number"/>
    <w:basedOn w:val="ListNumber"/>
    <w:rsid w:val="005C5749"/>
    <w:pPr>
      <w:numPr>
        <w:numId w:val="0"/>
      </w:numPr>
    </w:pPr>
  </w:style>
  <w:style w:type="paragraph" w:styleId="TOC4">
    <w:name w:val="toc 4"/>
    <w:basedOn w:val="TOCBase"/>
    <w:next w:val="Normal"/>
    <w:semiHidden/>
    <w:rsid w:val="005C5749"/>
    <w:pPr>
      <w:tabs>
        <w:tab w:val="right" w:leader="dot" w:pos="9071"/>
      </w:tabs>
      <w:ind w:left="1701"/>
    </w:pPr>
  </w:style>
  <w:style w:type="paragraph" w:customStyle="1" w:styleId="ListAlpha">
    <w:name w:val="List Alpha"/>
    <w:basedOn w:val="List"/>
    <w:rsid w:val="005C5749"/>
    <w:pPr>
      <w:numPr>
        <w:numId w:val="10"/>
      </w:numPr>
    </w:pPr>
  </w:style>
  <w:style w:type="paragraph" w:customStyle="1" w:styleId="ListAlpha2">
    <w:name w:val="List Alpha 2"/>
    <w:basedOn w:val="List2"/>
    <w:rsid w:val="005C5749"/>
    <w:pPr>
      <w:numPr>
        <w:numId w:val="9"/>
      </w:numPr>
    </w:pPr>
  </w:style>
  <w:style w:type="paragraph" w:styleId="List2">
    <w:name w:val="List 2"/>
    <w:basedOn w:val="BodyText"/>
    <w:rsid w:val="005C5749"/>
    <w:pPr>
      <w:tabs>
        <w:tab w:val="left" w:pos="680"/>
      </w:tabs>
      <w:spacing w:before="60" w:after="60"/>
      <w:ind w:left="680" w:hanging="340"/>
    </w:pPr>
  </w:style>
  <w:style w:type="paragraph" w:styleId="List3">
    <w:name w:val="List 3"/>
    <w:basedOn w:val="BodyText"/>
    <w:rsid w:val="005C5749"/>
    <w:pPr>
      <w:tabs>
        <w:tab w:val="left" w:pos="1021"/>
      </w:tabs>
      <w:spacing w:before="60" w:after="60"/>
      <w:ind w:left="1020" w:hanging="340"/>
    </w:pPr>
  </w:style>
  <w:style w:type="paragraph" w:styleId="List4">
    <w:name w:val="List 4"/>
    <w:basedOn w:val="BodyText"/>
    <w:rsid w:val="005C5749"/>
    <w:pPr>
      <w:tabs>
        <w:tab w:val="left" w:pos="1361"/>
      </w:tabs>
      <w:spacing w:before="60" w:after="60"/>
      <w:ind w:left="1361" w:hanging="340"/>
    </w:pPr>
  </w:style>
  <w:style w:type="paragraph" w:styleId="List5">
    <w:name w:val="List 5"/>
    <w:basedOn w:val="BodyText"/>
    <w:rsid w:val="005C5749"/>
    <w:pPr>
      <w:tabs>
        <w:tab w:val="left" w:pos="1701"/>
      </w:tabs>
      <w:spacing w:before="60" w:after="60"/>
      <w:ind w:left="1701" w:hanging="340"/>
    </w:pPr>
  </w:style>
  <w:style w:type="paragraph" w:styleId="ListBullet4">
    <w:name w:val="List Bullet 4"/>
    <w:basedOn w:val="List4"/>
    <w:rsid w:val="005C5749"/>
    <w:pPr>
      <w:numPr>
        <w:numId w:val="4"/>
      </w:numPr>
    </w:pPr>
  </w:style>
  <w:style w:type="paragraph" w:styleId="ListBullet5">
    <w:name w:val="List Bullet 5"/>
    <w:basedOn w:val="List5"/>
    <w:rsid w:val="005C5749"/>
    <w:pPr>
      <w:numPr>
        <w:numId w:val="5"/>
      </w:numPr>
    </w:pPr>
  </w:style>
  <w:style w:type="paragraph" w:styleId="ListContinue2">
    <w:name w:val="List Continue 2"/>
    <w:basedOn w:val="List2"/>
    <w:rsid w:val="005C5749"/>
    <w:pPr>
      <w:ind w:firstLine="0"/>
    </w:pPr>
  </w:style>
  <w:style w:type="paragraph" w:styleId="ListContinue3">
    <w:name w:val="List Continue 3"/>
    <w:basedOn w:val="List3"/>
    <w:rsid w:val="005C5749"/>
    <w:pPr>
      <w:ind w:left="1021" w:firstLine="0"/>
    </w:pPr>
  </w:style>
  <w:style w:type="paragraph" w:styleId="ListContinue4">
    <w:name w:val="List Continue 4"/>
    <w:basedOn w:val="List4"/>
    <w:rsid w:val="005C5749"/>
    <w:pPr>
      <w:ind w:firstLine="0"/>
    </w:pPr>
  </w:style>
  <w:style w:type="paragraph" w:styleId="ListContinue5">
    <w:name w:val="List Continue 5"/>
    <w:basedOn w:val="List5"/>
    <w:rsid w:val="005C5749"/>
    <w:pPr>
      <w:ind w:firstLine="0"/>
    </w:pPr>
  </w:style>
  <w:style w:type="paragraph" w:styleId="ListNumber3">
    <w:name w:val="List Number 3"/>
    <w:basedOn w:val="List3"/>
    <w:rsid w:val="005C5749"/>
    <w:pPr>
      <w:numPr>
        <w:numId w:val="6"/>
      </w:numPr>
    </w:pPr>
  </w:style>
  <w:style w:type="paragraph" w:styleId="ListNumber4">
    <w:name w:val="List Number 4"/>
    <w:basedOn w:val="List4"/>
    <w:rsid w:val="005C5749"/>
    <w:pPr>
      <w:numPr>
        <w:numId w:val="7"/>
      </w:numPr>
    </w:pPr>
  </w:style>
  <w:style w:type="paragraph" w:styleId="ListNumber5">
    <w:name w:val="List Number 5"/>
    <w:basedOn w:val="List5"/>
    <w:rsid w:val="005C5749"/>
    <w:pPr>
      <w:numPr>
        <w:numId w:val="8"/>
      </w:numPr>
    </w:pPr>
  </w:style>
  <w:style w:type="paragraph" w:styleId="BlockText">
    <w:name w:val="Block Text"/>
    <w:basedOn w:val="Normal"/>
    <w:rsid w:val="005C5749"/>
    <w:pPr>
      <w:spacing w:after="120"/>
      <w:ind w:left="1440" w:right="1440"/>
    </w:pPr>
  </w:style>
  <w:style w:type="character" w:customStyle="1" w:styleId="Subscript">
    <w:name w:val="Subscript"/>
    <w:basedOn w:val="DefaultParagraphFont"/>
    <w:rsid w:val="005C5749"/>
    <w:rPr>
      <w:sz w:val="16"/>
      <w:vertAlign w:val="subscript"/>
    </w:rPr>
  </w:style>
  <w:style w:type="character" w:customStyle="1" w:styleId="Superscript">
    <w:name w:val="Superscript"/>
    <w:basedOn w:val="DefaultParagraphFont"/>
    <w:rsid w:val="005C5749"/>
    <w:rPr>
      <w:sz w:val="16"/>
      <w:vertAlign w:val="superscript"/>
    </w:rPr>
  </w:style>
  <w:style w:type="character" w:customStyle="1" w:styleId="Symbols">
    <w:name w:val="Symbols"/>
    <w:basedOn w:val="DefaultParagraphFont"/>
    <w:rsid w:val="005C5749"/>
    <w:rPr>
      <w:rFonts w:ascii="Symbol" w:hAnsi="Symbol"/>
    </w:rPr>
  </w:style>
  <w:style w:type="character" w:customStyle="1" w:styleId="MenuOptions">
    <w:name w:val="Menu Options"/>
    <w:basedOn w:val="DefaultParagraphFont"/>
    <w:rsid w:val="005C5749"/>
    <w:rPr>
      <w:rFonts w:ascii="Arial Narrow" w:hAnsi="Arial Narrow"/>
      <w:smallCaps/>
    </w:rPr>
  </w:style>
  <w:style w:type="character" w:customStyle="1" w:styleId="Buttons">
    <w:name w:val="Buttons"/>
    <w:basedOn w:val="DefaultParagraphFont"/>
    <w:rsid w:val="005C5749"/>
    <w:rPr>
      <w:b/>
    </w:rPr>
  </w:style>
  <w:style w:type="character" w:customStyle="1" w:styleId="Underlined">
    <w:name w:val="Underlined"/>
    <w:basedOn w:val="DefaultParagraphFont"/>
    <w:rsid w:val="005C5749"/>
    <w:rPr>
      <w:u w:val="single"/>
    </w:rPr>
  </w:style>
  <w:style w:type="paragraph" w:customStyle="1" w:styleId="TableBodyTextRight">
    <w:name w:val="Table Body Text Right"/>
    <w:basedOn w:val="TableBodyText"/>
    <w:rsid w:val="005C5749"/>
    <w:pPr>
      <w:widowControl w:val="0"/>
      <w:autoSpaceDE w:val="0"/>
      <w:autoSpaceDN w:val="0"/>
      <w:adjustRightInd w:val="0"/>
      <w:jc w:val="right"/>
    </w:pPr>
    <w:rPr>
      <w:rFonts w:cs="Arial"/>
      <w:szCs w:val="18"/>
    </w:rPr>
  </w:style>
  <w:style w:type="paragraph" w:customStyle="1" w:styleId="CopyrightText">
    <w:name w:val="Copyright Text"/>
    <w:basedOn w:val="BodyText"/>
    <w:rsid w:val="005C5749"/>
    <w:rPr>
      <w:sz w:val="18"/>
    </w:rPr>
  </w:style>
  <w:style w:type="paragraph" w:customStyle="1" w:styleId="BodySmallRight">
    <w:name w:val="Body Small Right"/>
    <w:basedOn w:val="BodyTextRight"/>
    <w:rsid w:val="005C5749"/>
    <w:rPr>
      <w:sz w:val="18"/>
      <w:szCs w:val="18"/>
    </w:rPr>
  </w:style>
  <w:style w:type="paragraph" w:customStyle="1" w:styleId="MarginEdition">
    <w:name w:val="Margin Edition"/>
    <w:basedOn w:val="MarginNote"/>
    <w:rsid w:val="005C5749"/>
    <w:pPr>
      <w:spacing w:before="0" w:after="0"/>
    </w:pPr>
    <w:rPr>
      <w:rFonts w:ascii="Times New Roman" w:hAnsi="Times New Roman"/>
      <w:color w:val="999999"/>
    </w:rPr>
  </w:style>
  <w:style w:type="paragraph" w:customStyle="1" w:styleId="Spacer">
    <w:name w:val="Spacer"/>
    <w:basedOn w:val="Normal"/>
    <w:rsid w:val="005C5749"/>
    <w:rPr>
      <w:sz w:val="2"/>
      <w:szCs w:val="2"/>
    </w:rPr>
  </w:style>
  <w:style w:type="character" w:customStyle="1" w:styleId="Small">
    <w:name w:val="Small"/>
    <w:basedOn w:val="DefaultParagraphFont"/>
    <w:rsid w:val="005C5749"/>
    <w:rPr>
      <w:sz w:val="16"/>
    </w:rPr>
  </w:style>
  <w:style w:type="paragraph" w:customStyle="1" w:styleId="WideTable">
    <w:name w:val="Wide Table"/>
    <w:basedOn w:val="Normal"/>
    <w:rsid w:val="005C5749"/>
    <w:pPr>
      <w:ind w:left="-1418"/>
    </w:pPr>
    <w:rPr>
      <w:sz w:val="2"/>
      <w:szCs w:val="2"/>
    </w:rPr>
  </w:style>
  <w:style w:type="character" w:styleId="PageNumber">
    <w:name w:val="page number"/>
    <w:basedOn w:val="DefaultParagraphFont"/>
    <w:rsid w:val="005C5749"/>
  </w:style>
  <w:style w:type="paragraph" w:styleId="Quote">
    <w:name w:val="Quote"/>
    <w:basedOn w:val="Heading1"/>
    <w:link w:val="QuoteChar"/>
    <w:qFormat/>
    <w:rsid w:val="005C5749"/>
    <w:rPr>
      <w:b w:val="0"/>
      <w:sz w:val="72"/>
      <w:szCs w:val="72"/>
      <w:lang w:val="en-NZ"/>
    </w:rPr>
  </w:style>
  <w:style w:type="character" w:customStyle="1" w:styleId="QuoteChar">
    <w:name w:val="Quote Char"/>
    <w:basedOn w:val="DefaultParagraphFont"/>
    <w:link w:val="Quote"/>
    <w:rsid w:val="005C5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749"/>
    <w:pPr>
      <w:pageBreakBefore/>
    </w:pPr>
  </w:style>
  <w:style w:type="paragraph" w:customStyle="1" w:styleId="Border">
    <w:name w:val="Border"/>
    <w:basedOn w:val="Normal"/>
    <w:qFormat/>
    <w:rsid w:val="005C5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749"/>
    <w:rPr>
      <w:b/>
      <w:bCs/>
      <w:i/>
      <w:iCs/>
      <w:color w:val="auto"/>
    </w:rPr>
  </w:style>
  <w:style w:type="paragraph" w:styleId="IntenseQuote">
    <w:name w:val="Intense Quote"/>
    <w:basedOn w:val="Normal"/>
    <w:next w:val="Normal"/>
    <w:link w:val="IntenseQuoteChar"/>
    <w:uiPriority w:val="30"/>
    <w:qFormat/>
    <w:rsid w:val="005C5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7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5749"/>
    <w:rPr>
      <w:smallCaps/>
      <w:color w:val="auto"/>
      <w:u w:val="single"/>
    </w:rPr>
  </w:style>
  <w:style w:type="character" w:styleId="IntenseReference">
    <w:name w:val="Intense Reference"/>
    <w:basedOn w:val="DefaultParagraphFont"/>
    <w:uiPriority w:val="32"/>
    <w:qFormat/>
    <w:rsid w:val="005C5749"/>
    <w:rPr>
      <w:b/>
      <w:bCs/>
      <w:smallCaps/>
      <w:color w:val="auto"/>
      <w:spacing w:val="5"/>
      <w:u w:val="single"/>
    </w:rPr>
  </w:style>
  <w:style w:type="paragraph" w:customStyle="1" w:styleId="2ColumnHeading">
    <w:name w:val="2Column Heading"/>
    <w:basedOn w:val="BodyText"/>
    <w:qFormat/>
    <w:rsid w:val="005C5749"/>
    <w:pPr>
      <w:spacing w:after="60"/>
      <w:ind w:left="-2268"/>
    </w:pPr>
    <w:rPr>
      <w:b/>
    </w:rPr>
  </w:style>
  <w:style w:type="paragraph" w:customStyle="1" w:styleId="Heading1TOC">
    <w:name w:val="Heading1 TOC"/>
    <w:basedOn w:val="Normal"/>
    <w:qFormat/>
    <w:rsid w:val="005C5749"/>
    <w:pPr>
      <w:spacing w:before="240" w:after="120"/>
    </w:pPr>
    <w:rPr>
      <w:rFonts w:ascii="Times New Roman" w:hAnsi="Times New Roman"/>
      <w:b/>
      <w:sz w:val="32"/>
    </w:rPr>
  </w:style>
  <w:style w:type="paragraph" w:customStyle="1" w:styleId="Heading2TOC">
    <w:name w:val="Heading2 TOC"/>
    <w:basedOn w:val="Normal"/>
    <w:qFormat/>
    <w:rsid w:val="005C5749"/>
    <w:pPr>
      <w:spacing w:before="240" w:after="60"/>
    </w:pPr>
    <w:rPr>
      <w:rFonts w:ascii="Times New Roman" w:hAnsi="Times New Roman"/>
      <w:b/>
      <w:sz w:val="28"/>
    </w:rPr>
  </w:style>
  <w:style w:type="character" w:customStyle="1" w:styleId="Underline">
    <w:name w:val="Underline"/>
    <w:basedOn w:val="DefaultParagraphFont"/>
    <w:qFormat/>
    <w:rsid w:val="005C5749"/>
    <w:rPr>
      <w:u w:val="single"/>
    </w:rPr>
  </w:style>
  <w:style w:type="character" w:customStyle="1" w:styleId="BoldandItalics">
    <w:name w:val="Bold and Italics"/>
    <w:qFormat/>
    <w:rsid w:val="005C5749"/>
    <w:rPr>
      <w:b/>
      <w:i/>
      <w:u w:val="none"/>
    </w:rPr>
  </w:style>
  <w:style w:type="paragraph" w:styleId="BalloonText">
    <w:name w:val="Balloon Text"/>
    <w:basedOn w:val="Normal"/>
    <w:link w:val="BalloonTextChar"/>
    <w:rsid w:val="005C5749"/>
    <w:rPr>
      <w:rFonts w:ascii="Tahoma" w:hAnsi="Tahoma" w:cs="Tahoma"/>
      <w:sz w:val="16"/>
      <w:szCs w:val="16"/>
    </w:rPr>
  </w:style>
  <w:style w:type="character" w:customStyle="1" w:styleId="BalloonTextChar">
    <w:name w:val="Balloon Text Char"/>
    <w:basedOn w:val="DefaultParagraphFont"/>
    <w:link w:val="BalloonText"/>
    <w:rsid w:val="005C57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57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57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2664</Words>
  <Characters>17183</Characters>
  <Application>Microsoft Office Word</Application>
  <DocSecurity>0</DocSecurity>
  <Lines>672</Lines>
  <Paragraphs>272</Paragraphs>
  <ScaleCrop>false</ScaleCrop>
  <Company>Author-it Software Corporation Ltd.</Company>
  <LinksUpToDate>false</LinksUpToDate>
  <CharactersWithSpaces>19644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UETTDRSB37A Maintain power system distribution field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2012-05-26T12:20:00Z</dcterms:created>
  <dcterms:modified xsi:type="dcterms:W3CDTF">2012-05-26T12:20:00Z</dcterms:modified>
</cp:coreProperties>
</file>