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05B" w:rsidP="0047005B">
      <w:pPr>
        <w:pStyle w:val="Title"/>
      </w:pPr>
      <w:r>
        <w:fldChar w:fldCharType="begin"/>
      </w:r>
      <w:r>
        <w:instrText xml:space="preserve"> TITLE   \* MERGEFORMAT </w:instrText>
      </w:r>
      <w:r>
        <w:fldChar w:fldCharType="separate"/>
      </w:r>
      <w:r>
        <w:t>UETTDRSB36A Commission discrete control and protection systems</w:t>
      </w:r>
      <w:r>
        <w:fldChar w:fldCharType="end"/>
      </w:r>
    </w:p>
    <w:p w:rsidR="0047005B" w:rsidP="0047005B">
      <w:pPr>
        <w:pStyle w:val="Version"/>
        <w:sectPr w:rsidSect="00B51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C0C" w:rsidP="00B51C0C">
      <w:pPr>
        <w:pStyle w:val="SuperHeading"/>
      </w:pPr>
      <w:r w:rsidRPr="00B51C0C">
        <w:t>UETTDRSB36A Commission discrete control and protection systems</w:t>
      </w:r>
    </w:p>
    <w:p w:rsidR="00000000" w:rsidRPr="00B51C0C" w:rsidP="00B51C0C">
      <w:pPr>
        <w:pStyle w:val="Heading1"/>
      </w:pPr>
      <w:bookmarkStart w:id="1" w:name="O_459848"/>
      <w:bookmarkEnd w:id="1"/>
      <w:r w:rsidRPr="00B51C0C">
        <w:t>Modification History</w:t>
      </w:r>
    </w:p>
    <w:p w:rsidR="00000000" w:rsidRPr="00B51C0C" w:rsidP="00B51C0C">
      <w:pPr>
        <w:pStyle w:val="BodyText"/>
      </w:pPr>
      <w:r w:rsidRPr="00B51C0C">
        <w:t>Not applicable.</w:t>
      </w:r>
    </w:p>
    <w:p w:rsidR="00000000" w:rsidRPr="00B51C0C" w:rsidP="00B51C0C">
      <w:pPr>
        <w:pStyle w:val="AllowPageBreak"/>
      </w:pPr>
    </w:p>
    <w:p w:rsidR="00000000" w:rsidRPr="00B51C0C" w:rsidP="00B51C0C">
      <w:pPr>
        <w:pStyle w:val="Heading1"/>
      </w:pPr>
      <w:bookmarkStart w:id="2" w:name="O_459846"/>
      <w:bookmarkEnd w:id="2"/>
      <w:r w:rsidRPr="00B51C0C">
        <w:t>Unit Descriptor</w:t>
      </w:r>
    </w:p>
    <w:tbl>
      <w:tblPr>
        <w:tblW w:w="0" w:type="auto"/>
        <w:tblLayout w:type="fixed"/>
        <w:tblCellMar>
          <w:left w:w="62" w:type="dxa"/>
          <w:right w:w="62" w:type="dxa"/>
        </w:tblCellMar>
        <w:tblLook w:val="0000"/>
      </w:tblPr>
      <w:tblGrid>
        <w:gridCol w:w="2700"/>
        <w:gridCol w:w="5760"/>
      </w:tblGrid>
      <w:tr w:rsidTr="0047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1)</w:t>
            </w:r>
            <w:r w:rsidRPr="00B51C0C">
              <w:t xml:space="preserve"> </w:t>
            </w:r>
            <w:r w:rsidRPr="00B51C0C">
              <w:rPr>
                <w:rStyle w:val="SpecialBold"/>
              </w:rPr>
              <w:t>Scope:</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1C0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1.1) Descriptor</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This Competency Standard Unit covers the commissioning/testing of discrete protection and control systems and includes isolation, inspection, monitoring, testing, adjustment and functional checks on systems such as over-current, overloads, earth fault, ala</w:t>
            </w:r>
            <w:r w:rsidRPr="00B51C0C">
              <w:t>rms and controls.</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3" w:name="O_459835"/>
      <w:bookmarkEnd w:id="3"/>
      <w:r w:rsidRPr="00B51C0C">
        <w:t>Application of the Unit</w:t>
      </w:r>
    </w:p>
    <w:tbl>
      <w:tblPr>
        <w:tblW w:w="0" w:type="auto"/>
        <w:tblLayout w:type="fixed"/>
        <w:tblCellMar>
          <w:left w:w="62" w:type="dxa"/>
          <w:right w:w="62" w:type="dxa"/>
        </w:tblCellMar>
        <w:tblLook w:val="0000"/>
      </w:tblPr>
      <w:tblGrid>
        <w:gridCol w:w="2672"/>
        <w:gridCol w:w="5699"/>
      </w:tblGrid>
      <w:tr w:rsidTr="004700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2)</w:t>
            </w:r>
          </w:p>
        </w:tc>
      </w:tr>
      <w:tr w:rsidTr="004700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 xml:space="preserve">This Competency Standard Unit is intended to augment formally acquired competencies. It is suitable for employment-based programs under an </w:t>
            </w:r>
            <w:r w:rsidRPr="00B51C0C">
              <w:t>approved contract of training.</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4" w:name="O_459842"/>
      <w:bookmarkEnd w:id="4"/>
      <w:r w:rsidRPr="00B51C0C">
        <w:t>Licensing/Regulatory Information</w:t>
      </w:r>
    </w:p>
    <w:tbl>
      <w:tblPr>
        <w:tblW w:w="0" w:type="auto"/>
        <w:tblLayout w:type="fixed"/>
        <w:tblCellMar>
          <w:left w:w="62" w:type="dxa"/>
          <w:right w:w="62" w:type="dxa"/>
        </w:tblCellMar>
        <w:tblLook w:val="0000"/>
      </w:tblPr>
      <w:tblGrid>
        <w:gridCol w:w="2700"/>
        <w:gridCol w:w="5760"/>
      </w:tblGrid>
      <w:tr w:rsidTr="0047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 xml:space="preserve">3) </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The skills and knowledge described in this unit requires a licence/registration to practice in the work place subject to regulations for undertakin</w:t>
            </w:r>
            <w:r w:rsidRPr="00B51C0C">
              <w:t xml:space="preserve">g of electrical work. Practice in workplace and during training is also subject to regulations directly related to Occupational Health and Safety, electricity/telecommunications/gas/water industry safety and compliance, industrial relations, environmental </w:t>
            </w:r>
            <w:r w:rsidRPr="00B51C0C">
              <w:t xml:space="preserve">protection, anti discrimination and training. Commonwealth, State/Territory or Local Government </w:t>
            </w:r>
            <w:r w:rsidRPr="00B51C0C">
              <w:t>legislation and regulations may exist that limits the age of operating certain equipment.</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5" w:name="O_459843"/>
      <w:bookmarkEnd w:id="5"/>
      <w:r w:rsidRPr="00B51C0C">
        <w:t>Pre-Requisites</w:t>
      </w:r>
    </w:p>
    <w:tbl>
      <w:tblPr>
        <w:tblW w:w="0" w:type="auto"/>
        <w:tblLayout w:type="fixed"/>
        <w:tblCellMar>
          <w:left w:w="62" w:type="dxa"/>
          <w:right w:w="62" w:type="dxa"/>
        </w:tblCellMar>
        <w:tblLook w:val="0000"/>
      </w:tblPr>
      <w:tblGrid>
        <w:gridCol w:w="2700"/>
        <w:gridCol w:w="2070"/>
        <w:gridCol w:w="3690"/>
      </w:tblGrid>
      <w:tr w:rsidTr="0047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 xml:space="preserve">4) </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4.1)</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Granting of competency in this unit shall be made only after competency in the following unit(s) has/have been confirmed.</w:t>
            </w:r>
          </w:p>
          <w:p w:rsidR="00000000" w:rsidRPr="00B51C0C" w:rsidP="00B51C0C">
            <w:pPr>
              <w:pStyle w:val="BodyText"/>
            </w:pPr>
            <w:r w:rsidRPr="00B51C0C">
              <w:t>Where pre-requisite pathways have been identified. All competencies in the Common Unit Group must be have been completed plus all the competencies in one (1) of the identified Pathway Unit Group(s):</w:t>
            </w:r>
          </w:p>
          <w:p w:rsidR="00000000" w:rsidP="00B51C0C">
            <w:pPr>
              <w:pStyle w:val="BodyText"/>
              <w:rPr>
                <w:lang w:val="en-NZ"/>
              </w:rPr>
            </w:pPr>
            <w:r w:rsidRPr="00B51C0C">
              <w:t>Common Unit Group</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Unit Code</w:t>
            </w:r>
            <w:r w:rsidRPr="00B51C0C">
              <w:tab/>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Unit Title</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Apply Occupational Health and Safety regulations, codes and practices in the workplace</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Fabricate, assemble and dismantle utilities industry components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Solve problems in d.c. Circuits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Fix and secure electrotechnology equipment</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Use drawings, diagrams, schedules, standards, codes and specifications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Document and apply measures to control OHS risks associated with electrotechnology work</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Solve problems in single and three phase low voltage machines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Solve problems in single and three phase electrical apparatus and circuits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Arrange circuits, control and protection for general electrical installations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Solve problems in electromagnetic devices and related circuits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Solve problems in electromagnetic devices and related circuits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Terminate cables, cords and accessories for low voltage circuits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Trouble-shoot and repair faults in low voltage electrical apparatus and circuits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Develop and connect electrical control circuits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Apply environmentally and sustainable energy procedures in the energy sector</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51C0C">
            <w:pPr>
              <w:pStyle w:val="BodyText"/>
              <w:rPr>
                <w:lang w:val="en-NZ"/>
              </w:rPr>
            </w:pPr>
            <w:r w:rsidRPr="00B51C0C">
              <w:t xml:space="preserve">UETTDRSB25A </w:t>
            </w:r>
          </w:p>
        </w:tc>
        <w:tc>
          <w:tcPr>
            <w:tcW w:w="3690" w:type="dxa"/>
            <w:tcBorders>
              <w:top w:val="nil"/>
              <w:left w:val="nil"/>
              <w:bottom w:val="nil"/>
              <w:right w:val="nil"/>
            </w:tcBorders>
            <w:tcMar>
              <w:top w:w="0" w:type="dxa"/>
              <w:left w:w="62" w:type="dxa"/>
              <w:bottom w:w="0" w:type="dxa"/>
              <w:right w:w="62" w:type="dxa"/>
            </w:tcMar>
            <w:vAlign w:val="center"/>
          </w:tcPr>
          <w:p w:rsidR="00000000" w:rsidP="00B51C0C">
            <w:pPr>
              <w:pStyle w:val="BodyText"/>
              <w:rPr>
                <w:lang w:val="en-NZ"/>
              </w:rPr>
            </w:pPr>
            <w:r w:rsidRPr="00B51C0C">
              <w:t>Maintai</w:t>
            </w:r>
            <w:r w:rsidRPr="00B51C0C">
              <w:t>n high voltage power and instrument transformers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51C0C">
            <w:pPr>
              <w:pStyle w:val="BodyText"/>
              <w:rPr>
                <w:lang w:val="en-NZ"/>
              </w:rPr>
            </w:pPr>
            <w:r w:rsidRPr="00B51C0C">
              <w:t>UETTDRSB29A</w:t>
            </w:r>
          </w:p>
        </w:tc>
        <w:tc>
          <w:tcPr>
            <w:tcW w:w="3690" w:type="dxa"/>
            <w:tcBorders>
              <w:top w:val="nil"/>
              <w:left w:val="nil"/>
              <w:bottom w:val="nil"/>
              <w:right w:val="nil"/>
            </w:tcBorders>
            <w:tcMar>
              <w:top w:w="0" w:type="dxa"/>
              <w:left w:w="62" w:type="dxa"/>
              <w:bottom w:w="0" w:type="dxa"/>
              <w:right w:w="62" w:type="dxa"/>
            </w:tcMar>
            <w:vAlign w:val="center"/>
          </w:tcPr>
          <w:p w:rsidR="00000000" w:rsidP="00B51C0C">
            <w:pPr>
              <w:pStyle w:val="BodyText"/>
              <w:rPr>
                <w:lang w:val="en-NZ"/>
              </w:rPr>
            </w:pPr>
            <w:r w:rsidRPr="00B51C0C">
              <w:t>Maintain capacitor bank equipment for voltage regulation</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Pathway 1 - Electrician</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Install low voltage wiring and accessories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Install appliances, switchgear and associated accessories for low voltage electrical installations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Verify compliance and functionality of low voltage general electrical installations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Select wiring systems and cables for low volt</w:t>
            </w:r>
            <w:r w:rsidRPr="00B51C0C">
              <w:t>age general electrical installations</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Pathway 2 – Electrical Fitter</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B51C0C">
            <w:pPr>
              <w:pStyle w:val="BodyText"/>
              <w:rPr>
                <w:lang w:val="en-NZ"/>
              </w:rPr>
            </w:pPr>
            <w:r w:rsidRPr="00B51C0C">
              <w:t>UEENEEG199A</w:t>
            </w:r>
          </w:p>
        </w:tc>
        <w:tc>
          <w:tcPr>
            <w:tcW w:w="3690" w:type="dxa"/>
            <w:tcBorders>
              <w:top w:val="nil"/>
              <w:left w:val="nil"/>
              <w:bottom w:val="nil"/>
              <w:right w:val="nil"/>
            </w:tcBorders>
            <w:tcMar>
              <w:top w:w="0" w:type="dxa"/>
              <w:left w:w="62" w:type="dxa"/>
              <w:bottom w:w="0" w:type="dxa"/>
              <w:right w:w="62" w:type="dxa"/>
            </w:tcMar>
            <w:vAlign w:val="bottom"/>
          </w:tcPr>
          <w:p w:rsidR="00000000" w:rsidRPr="00B51C0C" w:rsidP="00B51C0C">
            <w:pPr>
              <w:pStyle w:val="BodyText"/>
            </w:pPr>
            <w:r w:rsidRPr="00B51C0C">
              <w:t>Conduct compliance and functional verification of electrical apparatus and existing circuits</w:t>
            </w:r>
          </w:p>
        </w:tc>
      </w:tr>
    </w:tbl>
    <w:p w:rsidR="00000000" w:rsidRPr="00B51C0C" w:rsidP="00B51C0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7005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 xml:space="preserve">4.2) </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Participants are best equipped to achieve this unit if they have reading, writing and numeracy skills indicated by the following scales. Description of each scale is given in Volume 2, Part 3 “Literacy and Numeracy”</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Reading</w:t>
            </w:r>
          </w:p>
        </w:tc>
        <w:tc>
          <w:tcPr>
            <w:tcW w:w="81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4</w:t>
            </w:r>
          </w:p>
        </w:tc>
        <w:tc>
          <w:tcPr>
            <w:tcW w:w="99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Writing</w:t>
            </w:r>
          </w:p>
        </w:tc>
        <w:tc>
          <w:tcPr>
            <w:tcW w:w="9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4</w:t>
            </w:r>
          </w:p>
        </w:tc>
        <w:tc>
          <w:tcPr>
            <w:tcW w:w="12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Numeracy</w:t>
            </w:r>
          </w:p>
        </w:tc>
        <w:tc>
          <w:tcPr>
            <w:tcW w:w="72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4</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6" w:name="O_459839"/>
      <w:bookmarkEnd w:id="6"/>
      <w:r w:rsidRPr="00B51C0C">
        <w:t>Employability Skills Information</w:t>
      </w:r>
    </w:p>
    <w:tbl>
      <w:tblPr>
        <w:tblW w:w="0" w:type="auto"/>
        <w:tblLayout w:type="fixed"/>
        <w:tblCellMar>
          <w:left w:w="62" w:type="dxa"/>
          <w:right w:w="62" w:type="dxa"/>
        </w:tblCellMar>
        <w:tblLook w:val="0000"/>
      </w:tblPr>
      <w:tblGrid>
        <w:gridCol w:w="2700"/>
        <w:gridCol w:w="5760"/>
      </w:tblGrid>
      <w:tr w:rsidTr="0047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 xml:space="preserve">5) </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The required outcomes described in this unit of competency contain applicable facets of Employability Skills. The Employability Skills Summary of the qualification in which this u</w:t>
            </w:r>
            <w:r w:rsidRPr="00B51C0C">
              <w:t>nit of competency is packaged will assist in identifying Employability Skill requirements.</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7" w:name="O_459838"/>
      <w:bookmarkEnd w:id="7"/>
      <w:r w:rsidRPr="00B51C0C">
        <w:t>Elements and Performance Criteria Pre-Content</w:t>
      </w:r>
    </w:p>
    <w:tbl>
      <w:tblPr>
        <w:tblW w:w="0" w:type="auto"/>
        <w:tblLayout w:type="fixed"/>
        <w:tblCellMar>
          <w:left w:w="62" w:type="dxa"/>
          <w:right w:w="62" w:type="dxa"/>
        </w:tblCellMar>
        <w:tblLook w:val="0000"/>
      </w:tblPr>
      <w:tblGrid>
        <w:gridCol w:w="2700"/>
        <w:gridCol w:w="5760"/>
      </w:tblGrid>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6)</w:t>
            </w:r>
            <w:r w:rsidRPr="00B51C0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Performance Criteria describe the required performance needed to demonstrate achievement of the element. Assessment of performance is to be consistent with the Evidence Guide.</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8" w:name="O_459837"/>
      <w:bookmarkEnd w:id="8"/>
      <w:r w:rsidRPr="00B51C0C">
        <w:t>Elements and Performance Criteria</w:t>
      </w:r>
    </w:p>
    <w:tbl>
      <w:tblPr>
        <w:tblW w:w="0" w:type="auto"/>
        <w:tblLayout w:type="fixed"/>
        <w:tblCellMar>
          <w:left w:w="62" w:type="dxa"/>
          <w:right w:w="62" w:type="dxa"/>
        </w:tblCellMar>
        <w:tblLook w:val="0000"/>
      </w:tblPr>
      <w:tblGrid>
        <w:gridCol w:w="403"/>
        <w:gridCol w:w="2297"/>
        <w:gridCol w:w="800"/>
        <w:gridCol w:w="4960"/>
      </w:tblGrid>
      <w:tr w:rsidTr="004700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PERFORMANCE CRITER</w:t>
            </w:r>
            <w:r w:rsidRPr="00B51C0C">
              <w:rPr>
                <w:rStyle w:val="SpecialBold"/>
              </w:rPr>
              <w:t>IA</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w:t>
            </w:r>
          </w:p>
        </w:tc>
        <w:tc>
          <w:tcPr>
            <w:tcW w:w="2297"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Plan for the commissioning/testing of discrete protection and control systems</w:t>
            </w: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1.1</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Work schedules including drawings, plans, requirements procedures and material lists are acquired, analysed and the extent of work determined.</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1.2</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Relevant requirements and established procedures for the work are communicated to all personnel and identified for all work sites.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1.3</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Hazards are identified, OHS risks assessed and control measures are prioritised, implemented and monitored including e</w:t>
            </w:r>
            <w:r w:rsidRPr="00B51C0C">
              <w:t>mergency exits kept clear, to ensure safe systems of work are followed and according to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1.4</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Work is prioritised and sequenced for the most efficient and effective outcome following consultation with others for completion within acceptable timeframes, to agreed quality standards and in accordance with established policies and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1.5</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Ri</w:t>
            </w:r>
            <w:r w:rsidRPr="00B51C0C">
              <w:t>sk control measures are identified, prioritised, implemented and evaluated against the work schedule.</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1.6</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Resources including personnel, equipment, tools and personal protective equipment required for the job are identified, acquired and confirmed in sa</w:t>
            </w:r>
            <w:r w:rsidRPr="00B51C0C">
              <w:t>fe/technical working order.</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1.7</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Liaison issues with other personnel and/or authorities are resolved and activities coordinated to facilitate the work.</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1.8</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Personnel participating in the work including plant operators and contractors are fully briefed, their respective responsibilities explained and coordinated and appropriate authorisation checked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1.9</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Work site i</w:t>
            </w:r>
            <w:r w:rsidRPr="00B51C0C">
              <w:t>s prepared according to the work schedule and to minimise risk and damage to property and personnel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w:t>
            </w:r>
          </w:p>
        </w:tc>
        <w:tc>
          <w:tcPr>
            <w:tcW w:w="2297"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Carry out the commissioning/testing of discrete protection and control systems</w:t>
            </w: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2.1</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 xml:space="preserve">OHS and sustainable energy </w:t>
            </w:r>
            <w:r w:rsidRPr="00B51C0C">
              <w:t>principles and practices to reduce the incidence of accidents and minimise waste are implemented and monitored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2.2</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CPR, Rescue from live electrical apparatus and other related safety procedures are in place acc</w:t>
            </w:r>
            <w:r w:rsidRPr="00B51C0C">
              <w:t>ording to requirements and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2.3</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Safe working documentation is acquired and requirements completed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2.4</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Lifting, use of power tools/equipment techniques and practices are safely exercised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2.5</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Hazard warnings and safety signs are recognised and hazards and assessed OHS risks are reported to the immediate authorise</w:t>
            </w:r>
            <w:r w:rsidRPr="00B51C0C">
              <w:t>d persons for directions according to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2.6</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Commissioning/testing of discrete protection and control systems is undertaken according to requirements and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2.7</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Data is analysed and compared with compliance s</w:t>
            </w:r>
            <w:r w:rsidRPr="00B51C0C">
              <w:t>pecifications to ensure commissioning/testing of the discrete system is completed within an agreed timeframe and according to requirements.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2.8</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Essential knowledge and associated skills are applied for the safe commissioning/testing of discrete protection and control systems to ensure completion in an agreed timeframe and to quality standards with a minimum of waste according to requirements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2.</w:t>
            </w:r>
            <w:r w:rsidRPr="00B51C0C">
              <w:t>9</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Unplanned events or conditions are responded to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3</w:t>
            </w:r>
          </w:p>
        </w:tc>
        <w:tc>
          <w:tcPr>
            <w:tcW w:w="2297"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Complete the commissioning/testing of discrete protection and control systems</w:t>
            </w: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3.1</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Final inspections and functional testing of the discrete protection and contro</w:t>
            </w:r>
            <w:r w:rsidRPr="00B51C0C">
              <w:t>l systems are completed and checked to ensure compliance with all requirements.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3.2</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Anomalies between requirements and measured performance are reported and solutions identified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3.3</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Safe working documentation is surrendered and discrete protection and control systems are made ready for service.</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3.4</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Work site is rehabilitated, cleaned up and confirmed safe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3.5</w:t>
            </w:r>
          </w:p>
        </w:tc>
        <w:tc>
          <w:tcPr>
            <w:tcW w:w="49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Tools, equipment and any su</w:t>
            </w:r>
            <w:r w:rsidRPr="00B51C0C">
              <w:t>rplus resources and materials are cleaned, checked and returned to storage in accordance with established procedures.</w:t>
            </w:r>
          </w:p>
        </w:tc>
      </w:tr>
      <w:tr w:rsidTr="004700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t>3.6</w:t>
            </w:r>
          </w:p>
        </w:tc>
        <w:tc>
          <w:tcPr>
            <w:tcW w:w="49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 xml:space="preserve">Required works completion records, reports and/or documentation and information are completed, processed and appropriate personnel </w:t>
            </w:r>
            <w:r w:rsidRPr="00B51C0C">
              <w:t>notified in accordance with established procedures.</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9" w:name="O_459845"/>
      <w:bookmarkEnd w:id="9"/>
      <w:r w:rsidRPr="00B51C0C">
        <w:t>Required Skills and Knowledge</w:t>
      </w:r>
    </w:p>
    <w:tbl>
      <w:tblPr>
        <w:tblW w:w="0" w:type="auto"/>
        <w:tblLayout w:type="fixed"/>
        <w:tblCellMar>
          <w:left w:w="62" w:type="dxa"/>
          <w:right w:w="62" w:type="dxa"/>
        </w:tblCellMar>
        <w:tblLook w:val="0000"/>
      </w:tblPr>
      <w:tblGrid>
        <w:gridCol w:w="8460"/>
      </w:tblGrid>
      <w:tr w:rsidTr="004700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REQUIRED SKILLS AND KNOWLEDGE</w:t>
            </w:r>
          </w:p>
        </w:tc>
      </w:tr>
      <w:tr w:rsidTr="0047005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8)</w:t>
            </w:r>
            <w:r w:rsidRPr="00B51C0C">
              <w:t xml:space="preserve"> Essential Knowledge and Associated Skills (EKAS): This describes the essential skills and knowledge </w:t>
            </w:r>
            <w:r w:rsidRPr="00B51C0C">
              <w:t>and their level, required for this unit.</w:t>
            </w:r>
          </w:p>
          <w:p w:rsidR="00000000" w:rsidRPr="00B51C0C" w:rsidP="00B51C0C">
            <w:pPr>
              <w:pStyle w:val="BodyText"/>
            </w:pPr>
            <w:r w:rsidRPr="00B51C0C">
              <w:t xml:space="preserve">Evidence shall show that knowledge has been acquired of commissioning/testing discrete protection and control systems. </w:t>
            </w:r>
          </w:p>
          <w:p w:rsidR="00000000" w:rsidRPr="00B51C0C" w:rsidP="00B51C0C">
            <w:pPr>
              <w:pStyle w:val="BodyText"/>
            </w:pPr>
            <w:r w:rsidRPr="00B51C0C">
              <w:t>All knowledge and skills detailed in this unit should be contextualised to current industry pra</w:t>
            </w:r>
            <w:r w:rsidRPr="00B51C0C">
              <w:t>ctices and technologies.</w:t>
            </w:r>
          </w:p>
          <w:p w:rsidR="00000000" w:rsidRPr="00B51C0C" w:rsidP="00B51C0C">
            <w:pPr>
              <w:pStyle w:val="BodyText"/>
            </w:pPr>
            <w:r w:rsidRPr="00B51C0C">
              <w:t xml:space="preserve">KS01-TSB36A </w:t>
            </w:r>
            <w:r w:rsidRPr="00B51C0C">
              <w:tab/>
              <w:t>Discrete control and protection systems - commissioning</w:t>
            </w:r>
          </w:p>
          <w:p w:rsidR="00000000" w:rsidRPr="00B51C0C" w:rsidP="00B51C0C">
            <w:pPr>
              <w:pStyle w:val="BodyText"/>
            </w:pPr>
            <w:r w:rsidRPr="00B51C0C">
              <w:t xml:space="preserve">Evidence shall show an understanding of discrete control and protection systems - commissioning to an extent indicated by the following aspects: </w:t>
            </w:r>
          </w:p>
          <w:p w:rsidR="00000000" w:rsidRPr="00B51C0C" w:rsidP="00B51C0C">
            <w:pPr>
              <w:pStyle w:val="BodyText"/>
            </w:pPr>
            <w:r w:rsidRPr="00B51C0C">
              <w:t>T1</w:t>
            </w:r>
            <w:r w:rsidRPr="00B51C0C">
              <w:tab/>
              <w:t>Commissioning</w:t>
            </w:r>
            <w:r w:rsidRPr="00B51C0C">
              <w:t xml:space="preserve"> procedures associated with discrete protection schemes encompassing:</w:t>
            </w:r>
          </w:p>
          <w:p w:rsidR="00000000" w:rsidRPr="00B51C0C" w:rsidP="00B51C0C">
            <w:pPr>
              <w:pStyle w:val="ListBullet"/>
            </w:pPr>
            <w:r w:rsidRPr="00B51C0C">
              <w:t>Standards, codes, Commonwealth/State/Territory legislation, supply authority regulations and or enterprise requirements associated with the commissioning procedures</w:t>
            </w:r>
          </w:p>
          <w:p w:rsidR="00000000" w:rsidRPr="00B51C0C" w:rsidP="00B51C0C">
            <w:pPr>
              <w:pStyle w:val="ListBullet"/>
            </w:pPr>
            <w:r w:rsidRPr="00B51C0C">
              <w:t>Requirements for the</w:t>
            </w:r>
            <w:r w:rsidRPr="00B51C0C">
              <w:t xml:space="preserve"> use of commissioning manuals, system diagrams/plans and drawings</w:t>
            </w:r>
          </w:p>
          <w:p w:rsidR="00000000" w:rsidRPr="00B51C0C" w:rsidP="00B51C0C">
            <w:pPr>
              <w:pStyle w:val="ListBullet"/>
            </w:pPr>
            <w:r w:rsidRPr="00B51C0C">
              <w:t>Techniques in commissioning procedures – planning, policy, testing techniques</w:t>
            </w:r>
          </w:p>
          <w:p w:rsidR="00000000" w:rsidRPr="00B51C0C" w:rsidP="00B51C0C">
            <w:pPr>
              <w:pStyle w:val="ListBullet"/>
            </w:pPr>
            <w:r w:rsidRPr="00B51C0C">
              <w:t>Close out requirements</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10" w:name="O_459840"/>
      <w:bookmarkEnd w:id="10"/>
      <w:r w:rsidRPr="00B51C0C">
        <w:t>Evidence Guide</w:t>
      </w:r>
    </w:p>
    <w:tbl>
      <w:tblPr>
        <w:tblW w:w="0" w:type="auto"/>
        <w:tblLayout w:type="fixed"/>
        <w:tblCellMar>
          <w:left w:w="62" w:type="dxa"/>
          <w:right w:w="62" w:type="dxa"/>
        </w:tblCellMar>
        <w:tblLook w:val="0000"/>
      </w:tblPr>
      <w:tblGrid>
        <w:gridCol w:w="8460"/>
      </w:tblGrid>
      <w:tr w:rsidTr="004700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EVIDENCE GUIDE</w:t>
            </w:r>
          </w:p>
        </w:tc>
      </w:tr>
      <w:tr w:rsidTr="004700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9)</w:t>
            </w:r>
            <w:r w:rsidRPr="00B51C0C">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B51C0C" w:rsidP="00B51C0C">
            <w:pPr>
              <w:pStyle w:val="BodyText"/>
            </w:pPr>
            <w:r w:rsidRPr="00B51C0C">
              <w:t>The Evidenc</w:t>
            </w:r>
            <w:r w:rsidRPr="00B51C0C">
              <w:t>e Guide forms an integral part of this Competency Standard Unit and shall be used in conjunction with all component parts of this unit and, performed in accordance with the Assessment Guidelines of this Training Package.</w:t>
            </w:r>
          </w:p>
        </w:tc>
      </w:tr>
    </w:tbl>
    <w:p w:rsidR="00000000" w:rsidRPr="00B51C0C" w:rsidP="00B51C0C">
      <w:pPr>
        <w:pStyle w:val="BodyText"/>
      </w:pPr>
    </w:p>
    <w:tbl>
      <w:tblPr>
        <w:tblW w:w="0" w:type="auto"/>
        <w:tblLayout w:type="fixed"/>
        <w:tblCellMar>
          <w:left w:w="62" w:type="dxa"/>
          <w:right w:w="62" w:type="dxa"/>
        </w:tblCellMar>
        <w:tblLook w:val="0000"/>
      </w:tblPr>
      <w:tblGrid>
        <w:gridCol w:w="1890"/>
        <w:gridCol w:w="6570"/>
      </w:tblGrid>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9.1)</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Longitudinal competency development approaches to assessment, such as Profiling, require data to be reliably gathered in a form that can be consistently interpreted over time. This approach is best utilised in Apprenticeship programs and reduces assessment</w:t>
            </w:r>
            <w:r w:rsidRPr="00B51C0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51C0C">
              <w:t>tency in a realistically simulated work environment. It is recognised that, in some circumstances, assessment in part or full can occur outside the workplace. However, it must be in accord with Industry and, Regulatory policy in this regard.</w:t>
            </w:r>
          </w:p>
          <w:p w:rsidR="00000000" w:rsidRPr="00B51C0C" w:rsidP="00B51C0C">
            <w:pPr>
              <w:pStyle w:val="BodyText"/>
            </w:pPr>
            <w:r w:rsidRPr="00B51C0C">
              <w:t>Methods chosen</w:t>
            </w:r>
            <w:r w:rsidRPr="00B51C0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51C0C">
              <w:t>equired and the critical nature of the competencies being assessed.</w:t>
            </w:r>
          </w:p>
          <w:p w:rsidR="00000000" w:rsidRPr="00B51C0C" w:rsidP="00B51C0C">
            <w:pPr>
              <w:pStyle w:val="BodyText"/>
            </w:pPr>
            <w:r w:rsidRPr="00B51C0C">
              <w:t>The critical safety nature of working with electricity, electrical equipment, gas or any other hazardous substance/material carries risk in deeming a person competent. Hence, sources of ev</w:t>
            </w:r>
            <w:r w:rsidRPr="00B51C0C">
              <w:t>idence need to be ‘rich’ in nature so as to minimise error in judgment.</w:t>
            </w:r>
          </w:p>
          <w:p w:rsidR="00000000" w:rsidRPr="00B51C0C" w:rsidP="00B51C0C">
            <w:pPr>
              <w:pStyle w:val="BodyText"/>
            </w:pPr>
            <w:r w:rsidRPr="00B51C0C">
              <w:t>Activities associated with normal every day work have a bearing on the decision as to how much and how detailed the data gathered will contribute to its ‘richness’. Some skills are mor</w:t>
            </w:r>
            <w:r w:rsidRPr="00B51C0C">
              <w:t>e critical to safety and operational requirements while the same skills may be more or less frequently practiced. These points are raised for the assessors to consider when choosing an assessment method and developing assessment instruments. Sample assessm</w:t>
            </w:r>
            <w:r w:rsidRPr="00B51C0C">
              <w:t>ent instruments are included for Assessors in the Assessment Guidelines of this Training Package.</w:t>
            </w:r>
          </w:p>
        </w:tc>
      </w:tr>
    </w:tbl>
    <w:p w:rsidR="00000000" w:rsidRPr="00B51C0C" w:rsidP="00B51C0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9.2)</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Before the critical aspects of evidence are considered all prerequisi</w:t>
            </w:r>
            <w:r w:rsidRPr="00B51C0C">
              <w:t>tes shall be met.</w:t>
            </w:r>
          </w:p>
          <w:p w:rsidR="00000000" w:rsidRPr="00B51C0C" w:rsidP="00B51C0C">
            <w:pPr>
              <w:pStyle w:val="BodyText"/>
            </w:pPr>
            <w:r w:rsidRPr="00B51C0C">
              <w:t xml:space="preserve">Evidence for competence in this unit shall be considered holistically. Each element and associated Performance Criteria shall be demonstrated on at least two occasions in accordance with the “Assessment Guidelines – UET12”. Evidence </w:t>
            </w:r>
            <w:r w:rsidRPr="00B51C0C">
              <w:t>shall also comprise:</w:t>
            </w:r>
          </w:p>
          <w:p w:rsidR="00000000" w:rsidRPr="00B51C0C" w:rsidP="00B51C0C">
            <w:pPr>
              <w:pStyle w:val="ListBullet"/>
            </w:pPr>
            <w:r w:rsidRPr="00B51C0C">
              <w:t>A representative body of Performance Criteria demonstrated within the timeframes typically expected of the discipline, work function and industrial environment. In particular this shall incorporate evidence that shows a candidate is a</w:t>
            </w:r>
            <w:r w:rsidRPr="00B51C0C">
              <w:t>ble to:</w:t>
            </w:r>
          </w:p>
          <w:p w:rsidR="00000000" w:rsidRPr="00B51C0C" w:rsidP="00B51C0C">
            <w:pPr>
              <w:pStyle w:val="ListBullet2"/>
            </w:pPr>
            <w:r w:rsidRPr="00B51C0C">
              <w:t>Implement Occupational Health and Safety workplace procedures and practices including the use of risk control measures as specified in the Performance Criteria and range; and</w:t>
            </w:r>
          </w:p>
          <w:p w:rsidR="00000000" w:rsidRPr="00B51C0C" w:rsidP="00B51C0C">
            <w:pPr>
              <w:pStyle w:val="ListBullet2"/>
            </w:pPr>
            <w:r w:rsidRPr="00B51C0C">
              <w:t>Apply sustainable energy principles and practices as specified in the Pe</w:t>
            </w:r>
            <w:r w:rsidRPr="00B51C0C">
              <w:t>rformance Criteria and range; and</w:t>
            </w:r>
          </w:p>
          <w:p w:rsidR="00000000" w:rsidRPr="00B51C0C" w:rsidP="00B51C0C">
            <w:pPr>
              <w:pStyle w:val="ListBullet2"/>
            </w:pPr>
            <w:r w:rsidRPr="00B51C0C">
              <w:t>Demonstrate an understanding of the essential knowledge and associated skills as described in this unit to such an extent that the learner’s performance outcome is reported in accordance with the preferred approach; namely</w:t>
            </w:r>
            <w:r w:rsidRPr="00B51C0C">
              <w:t xml:space="preserve"> a percentile graded result, where required by the regulated environment; and</w:t>
            </w:r>
          </w:p>
          <w:p w:rsidR="00000000" w:rsidRPr="00B51C0C" w:rsidP="00B51C0C">
            <w:pPr>
              <w:pStyle w:val="ListBullet2"/>
            </w:pPr>
            <w:r w:rsidRPr="00B51C0C">
              <w:t>Demonstrate an appropriate level of employability skills; and</w:t>
            </w:r>
          </w:p>
          <w:p w:rsidR="00000000" w:rsidRPr="00B51C0C" w:rsidP="00B51C0C">
            <w:pPr>
              <w:pStyle w:val="ListBullet"/>
            </w:pPr>
            <w:r w:rsidRPr="00B51C0C">
              <w:t>Conduct work observing the relevant Anti Discrimination legislation, regulations, policies and workplace procedures</w:t>
            </w:r>
            <w:r w:rsidRPr="00B51C0C">
              <w:t>; and</w:t>
            </w:r>
          </w:p>
          <w:p w:rsidR="00000000" w:rsidP="00B51C0C">
            <w:pPr>
              <w:pStyle w:val="ListBullet2"/>
              <w:rPr>
                <w:lang w:val="en-NZ"/>
              </w:rPr>
            </w:pPr>
            <w:r w:rsidRPr="00B51C0C">
              <w:t>Demonstrated performance across a representative range of contexts from the prescribed items below:</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51C0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0C">
            <w:pPr>
              <w:pStyle w:val="BodyText"/>
              <w:rPr>
                <w:lang w:val="en-NZ"/>
              </w:rPr>
            </w:pPr>
            <w:r w:rsidRPr="00B51C0C">
              <w:rPr>
                <w:rStyle w:val="SpecialBold"/>
              </w:rPr>
              <w:t>Range of tools/equipment/materials/procedures/workplaces/other variables</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51C0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0C" w:rsidP="00B51C0C">
            <w:pPr>
              <w:pStyle w:val="BodyText"/>
            </w:pPr>
            <w:r w:rsidRPr="00B51C0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0C" w:rsidP="00B51C0C">
            <w:pPr>
              <w:pStyle w:val="BodyText"/>
            </w:pPr>
            <w:r w:rsidRPr="00B51C0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0C">
            <w:pPr>
              <w:pStyle w:val="BodyText"/>
              <w:rPr>
                <w:lang w:val="en-NZ"/>
              </w:rPr>
            </w:pPr>
            <w:r w:rsidRPr="00B51C0C">
              <w:rPr>
                <w:rStyle w:val="SpecialBold"/>
              </w:rPr>
              <w:t>Item List</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0C">
            <w:pPr>
              <w:pStyle w:val="BodyText"/>
              <w:rPr>
                <w:lang w:val="en-NZ"/>
              </w:rPr>
            </w:pPr>
            <w:r w:rsidRPr="00B51C0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0C">
            <w:pPr>
              <w:pStyle w:val="BodyText"/>
              <w:rPr>
                <w:lang w:val="en-NZ"/>
              </w:rPr>
            </w:pPr>
            <w:r w:rsidRPr="00B51C0C">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0C" w:rsidP="00B51C0C">
            <w:pPr>
              <w:pStyle w:val="BodyText"/>
            </w:pPr>
            <w:r w:rsidRPr="00B51C0C">
              <w:t>Isolate protection</w:t>
            </w:r>
          </w:p>
          <w:p w:rsidR="00000000" w:rsidRPr="00B51C0C" w:rsidP="00B51C0C">
            <w:pPr>
              <w:pStyle w:val="BodyText"/>
            </w:pPr>
            <w:r w:rsidRPr="00B51C0C">
              <w:t>Control and alarms associated with discrete protection and control systems</w:t>
            </w:r>
          </w:p>
          <w:p w:rsidR="00000000" w:rsidRPr="00B51C0C" w:rsidP="00B51C0C">
            <w:pPr>
              <w:pStyle w:val="BodyText"/>
            </w:pPr>
            <w:r w:rsidRPr="00B51C0C">
              <w:t>Isolate current transformers</w:t>
            </w:r>
          </w:p>
          <w:p w:rsidR="00000000" w:rsidRPr="00B51C0C" w:rsidP="00B51C0C">
            <w:pPr>
              <w:pStyle w:val="BodyText"/>
            </w:pPr>
            <w:r w:rsidRPr="00B51C0C">
              <w:t>Calibrate discrete protection and control relays</w:t>
            </w:r>
          </w:p>
          <w:p w:rsidR="00000000" w:rsidRPr="00B51C0C" w:rsidP="00B51C0C">
            <w:pPr>
              <w:pStyle w:val="BodyText"/>
            </w:pPr>
            <w:r w:rsidRPr="00B51C0C">
              <w:t>Carry out function tests (trips, alarms etc.) on discrete protection and control systems without assistance</w:t>
            </w:r>
          </w:p>
          <w:p w:rsidR="00000000" w:rsidP="00B51C0C">
            <w:pPr>
              <w:pStyle w:val="BodyText"/>
              <w:rPr>
                <w:lang w:val="en-NZ"/>
              </w:rPr>
            </w:pPr>
            <w:r w:rsidRPr="00B51C0C">
              <w:t>Write reports on the performance of discrete protection and control systems</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0C">
            <w:pPr>
              <w:pStyle w:val="BodyText"/>
              <w:rPr>
                <w:lang w:val="en-NZ"/>
              </w:rPr>
            </w:pPr>
            <w:r w:rsidRPr="00B51C0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0C">
            <w:pPr>
              <w:pStyle w:val="BodyText"/>
              <w:rPr>
                <w:lang w:val="en-NZ"/>
              </w:rPr>
            </w:pPr>
            <w:r w:rsidRPr="00B51C0C">
              <w:t xml:space="preserve">At least three of </w:t>
            </w:r>
            <w:r w:rsidRPr="00B51C0C">
              <w:t>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0C" w:rsidP="00B51C0C">
            <w:pPr>
              <w:pStyle w:val="BodyText"/>
            </w:pPr>
            <w:r w:rsidRPr="00B51C0C">
              <w:t xml:space="preserve">Overcurrent </w:t>
            </w:r>
          </w:p>
          <w:p w:rsidR="00000000" w:rsidRPr="00B51C0C" w:rsidP="00B51C0C">
            <w:pPr>
              <w:pStyle w:val="BodyText"/>
            </w:pPr>
            <w:r w:rsidRPr="00B51C0C">
              <w:t>Frame leakage</w:t>
            </w:r>
          </w:p>
          <w:p w:rsidR="00000000" w:rsidRPr="00B51C0C" w:rsidP="00B51C0C">
            <w:pPr>
              <w:pStyle w:val="BodyText"/>
            </w:pPr>
            <w:r w:rsidRPr="00B51C0C">
              <w:t>Cooling controls</w:t>
            </w:r>
          </w:p>
          <w:p w:rsidR="00000000" w:rsidRPr="00B51C0C" w:rsidP="00B51C0C">
            <w:pPr>
              <w:pStyle w:val="BodyText"/>
            </w:pPr>
            <w:r w:rsidRPr="00B51C0C">
              <w:t>Buchholz/surge protection</w:t>
            </w:r>
          </w:p>
          <w:p w:rsidR="00000000" w:rsidRPr="00B51C0C" w:rsidP="00B51C0C">
            <w:pPr>
              <w:pStyle w:val="BodyText"/>
            </w:pPr>
            <w:r w:rsidRPr="00B51C0C">
              <w:t>Dc supplies control</w:t>
            </w:r>
          </w:p>
          <w:p w:rsidR="00000000" w:rsidRPr="00B51C0C" w:rsidP="00B51C0C">
            <w:pPr>
              <w:pStyle w:val="BodyText"/>
            </w:pPr>
            <w:r w:rsidRPr="00B51C0C">
              <w:t>Neutral displacement CB reclose</w:t>
            </w:r>
          </w:p>
          <w:p w:rsidR="00000000" w:rsidRPr="00B51C0C" w:rsidP="00B51C0C">
            <w:pPr>
              <w:pStyle w:val="BodyText"/>
            </w:pPr>
            <w:r w:rsidRPr="00B51C0C">
              <w:t>DC frame leakage</w:t>
            </w:r>
          </w:p>
          <w:p w:rsidR="00000000" w:rsidRPr="00B51C0C" w:rsidP="00B51C0C">
            <w:pPr>
              <w:pStyle w:val="BodyText"/>
            </w:pPr>
            <w:r w:rsidRPr="00B51C0C">
              <w:t>CEL fail</w:t>
            </w:r>
          </w:p>
          <w:p w:rsidR="00000000" w:rsidP="00B51C0C">
            <w:pPr>
              <w:pStyle w:val="BodyText"/>
              <w:rPr>
                <w:lang w:val="en-NZ"/>
              </w:rPr>
            </w:pPr>
            <w:r w:rsidRPr="00B51C0C">
              <w:t>Earth fault</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0C">
            <w:pPr>
              <w:pStyle w:val="BodyText"/>
              <w:rPr>
                <w:lang w:val="en-NZ"/>
              </w:rPr>
            </w:pPr>
            <w:r w:rsidRPr="00B51C0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C0C">
            <w:pPr>
              <w:pStyle w:val="BodyText"/>
              <w:rPr>
                <w:lang w:val="en-NZ"/>
              </w:rPr>
            </w:pPr>
            <w:r w:rsidRPr="00B51C0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C0C" w:rsidP="00B51C0C">
            <w:pPr>
              <w:pStyle w:val="BodyText"/>
            </w:pPr>
            <w:r w:rsidRPr="00B51C0C">
              <w:t>Dealing with an unplanned event by drawing on essential knowledge and associated skills to provide appropriate solutions incorporated in the holistic assessment with the above listed items.</w:t>
            </w:r>
          </w:p>
        </w:tc>
      </w:tr>
    </w:tbl>
    <w:p w:rsidR="00000000" w:rsidRPr="00B51C0C" w:rsidP="00B51C0C">
      <w:pPr>
        <w:pStyle w:val="BodyText"/>
      </w:pPr>
    </w:p>
    <w:tbl>
      <w:tblPr>
        <w:tblW w:w="0" w:type="auto"/>
        <w:tblLayout w:type="fixed"/>
        <w:tblCellMar>
          <w:left w:w="62" w:type="dxa"/>
          <w:right w:w="62" w:type="dxa"/>
        </w:tblCellMar>
        <w:tblLook w:val="0000"/>
      </w:tblPr>
      <w:tblGrid>
        <w:gridCol w:w="1890"/>
        <w:gridCol w:w="6570"/>
      </w:tblGrid>
      <w:tr w:rsidTr="0047005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9.3)</w:t>
            </w:r>
          </w:p>
        </w:tc>
      </w:tr>
      <w:tr w:rsidTr="0047005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This unit should be assessed as it relates to normal work practice using procedures, information and resources typical of a workplace. This should include:</w:t>
            </w:r>
          </w:p>
          <w:p w:rsidR="00000000" w:rsidRPr="00B51C0C" w:rsidP="00B51C0C">
            <w:pPr>
              <w:pStyle w:val="ListBullet"/>
            </w:pPr>
            <w:r w:rsidRPr="00B51C0C">
              <w:t>OHS policy and work procedures and instructions.</w:t>
            </w:r>
          </w:p>
          <w:p w:rsidR="00000000" w:rsidRPr="00B51C0C" w:rsidP="00B51C0C">
            <w:pPr>
              <w:pStyle w:val="ListBullet"/>
            </w:pPr>
            <w:r w:rsidRPr="00B51C0C">
              <w:t>Suitable work environment, facilities, equipment a</w:t>
            </w:r>
            <w:r w:rsidRPr="00B51C0C">
              <w:t>nd materials to undertake actual commissioning of discrete protection and control systems.</w:t>
            </w:r>
          </w:p>
          <w:p w:rsidR="00000000" w:rsidRPr="00B51C0C" w:rsidP="00B51C0C">
            <w:pPr>
              <w:pStyle w:val="BodyText"/>
            </w:pPr>
            <w:r w:rsidRPr="00B51C0C">
              <w:t xml:space="preserve">In addition to the resources listed above, in Context of and specific resources for assessment, evidence should show demonstrated competency working: </w:t>
            </w:r>
          </w:p>
          <w:p w:rsidR="00000000" w:rsidRPr="00B51C0C" w:rsidP="00B51C0C">
            <w:pPr>
              <w:pStyle w:val="BodyText"/>
            </w:pPr>
            <w:r w:rsidRPr="00B51C0C">
              <w:t>At realistic h</w:t>
            </w:r>
            <w:r w:rsidRPr="00B51C0C">
              <w:t>eights above ground, i.e. above 3 metres, in limited spaces, with different structural/construction types and method and in a variety of environments.</w:t>
            </w:r>
          </w:p>
        </w:tc>
      </w:tr>
    </w:tbl>
    <w:p w:rsidR="00000000" w:rsidRPr="00B51C0C" w:rsidP="00B51C0C">
      <w:pPr>
        <w:pStyle w:val="BodyText"/>
      </w:pPr>
    </w:p>
    <w:tbl>
      <w:tblPr>
        <w:tblW w:w="0" w:type="auto"/>
        <w:tblLayout w:type="fixed"/>
        <w:tblCellMar>
          <w:left w:w="62" w:type="dxa"/>
          <w:right w:w="62" w:type="dxa"/>
        </w:tblCellMar>
        <w:tblLook w:val="0000"/>
      </w:tblPr>
      <w:tblGrid>
        <w:gridCol w:w="1890"/>
        <w:gridCol w:w="6570"/>
      </w:tblGrid>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9.4)</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This Competency Standard Unit shall be assessed by methods given in Volume 1, Part 3 “Assessment Guidelines”.</w:t>
            </w:r>
          </w:p>
          <w:p w:rsidR="00000000" w:rsidRPr="00B51C0C" w:rsidP="00B51C0C">
            <w:pPr>
              <w:pStyle w:val="BodyText"/>
            </w:pPr>
            <w:r w:rsidRPr="00B51C0C">
              <w:t>Note:</w:t>
            </w:r>
          </w:p>
          <w:p w:rsidR="00000000" w:rsidRPr="00B51C0C" w:rsidP="00B51C0C">
            <w:pPr>
              <w:pStyle w:val="BodyText"/>
            </w:pPr>
            <w:r w:rsidRPr="00B51C0C">
              <w:t>Competent performance with inherent safe working practices is expected in the Transmission, Distribution and Rail Traction Industry. This re</w:t>
            </w:r>
            <w:r w:rsidRPr="00B51C0C">
              <w:t>quires that the specified essential knowledge and associated skills are assessed in a structured environment which is primarily intended for learning/assessment and incorporates all necessary equipment and facilities for learners to develop and demonstrate</w:t>
            </w:r>
            <w:r w:rsidRPr="00B51C0C">
              <w:t xml:space="preserve"> the essential knowledge and associated skills described in this unit.</w:t>
            </w:r>
          </w:p>
        </w:tc>
      </w:tr>
    </w:tbl>
    <w:p w:rsidR="00000000" w:rsidRPr="00B51C0C" w:rsidP="00B51C0C">
      <w:pPr>
        <w:pStyle w:val="BodyText"/>
      </w:pPr>
    </w:p>
    <w:tbl>
      <w:tblPr>
        <w:tblW w:w="0" w:type="auto"/>
        <w:tblLayout w:type="fixed"/>
        <w:tblCellMar>
          <w:left w:w="62" w:type="dxa"/>
          <w:right w:w="62" w:type="dxa"/>
        </w:tblCellMar>
        <w:tblLook w:val="0000"/>
      </w:tblPr>
      <w:tblGrid>
        <w:gridCol w:w="1890"/>
        <w:gridCol w:w="6570"/>
      </w:tblGrid>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9.5)</w:t>
            </w:r>
          </w:p>
        </w:tc>
      </w:tr>
      <w:tr w:rsidTr="004700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There are no concurrent assessment recommendations for this unit.</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11" w:name="O_459844"/>
      <w:bookmarkEnd w:id="11"/>
      <w:r w:rsidRPr="00B51C0C">
        <w:t>Range Statement</w:t>
      </w:r>
    </w:p>
    <w:tbl>
      <w:tblPr>
        <w:tblW w:w="0" w:type="auto"/>
        <w:tblLayout w:type="fixed"/>
        <w:tblCellMar>
          <w:left w:w="62" w:type="dxa"/>
          <w:right w:w="62" w:type="dxa"/>
        </w:tblCellMar>
        <w:tblLook w:val="0000"/>
      </w:tblPr>
      <w:tblGrid>
        <w:gridCol w:w="8460"/>
      </w:tblGrid>
      <w:tr w:rsidTr="004700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RANGE STATEMENT</w:t>
            </w:r>
          </w:p>
        </w:tc>
      </w:tr>
      <w:tr w:rsidTr="004700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 xml:space="preserve">10) </w:t>
            </w:r>
            <w:r w:rsidRPr="00B51C0C">
              <w:t>This relates to the competency standard unit as a whole providing the range of contexts and conditions to which the Performance Criteria apply. It allows for different work environments and situations that will affect performance.</w:t>
            </w:r>
          </w:p>
          <w:p w:rsidR="00000000" w:rsidRPr="00B51C0C" w:rsidP="00B51C0C">
            <w:pPr>
              <w:pStyle w:val="BodyText"/>
            </w:pPr>
            <w:r w:rsidRPr="00B51C0C">
              <w:t>This Competency Stand</w:t>
            </w:r>
            <w:r w:rsidRPr="00B51C0C">
              <w:t>ard Unit may be demonstrated in relation to the maintenance of discrete protection and control devices and may include the following:</w:t>
            </w:r>
          </w:p>
          <w:p w:rsidR="00000000" w:rsidRPr="00B51C0C" w:rsidP="00B51C0C">
            <w:pPr>
              <w:pStyle w:val="BodyText"/>
            </w:pPr>
            <w:r w:rsidRPr="00B51C0C">
              <w:t>Overcurrent, and Earth fault relays, Neutral displacement relays, No-volt changeover devices, Discrete auto reclose device</w:t>
            </w:r>
            <w:r w:rsidRPr="00B51C0C">
              <w:t>s, DC Supplies, Oil surge devices (site maintenance), DC Frame leakage, Trip/control circuits, Alarms and indication, Voltage regulation relays, Circuit isolation (discrete only) Function tests (discrete only) Thermal overload, Transformer temperature cont</w:t>
            </w:r>
            <w:r w:rsidRPr="00B51C0C">
              <w:t>rol devices CEL fail devices.</w:t>
            </w:r>
          </w:p>
          <w:p w:rsidR="00000000" w:rsidRPr="00B51C0C" w:rsidP="00B51C0C">
            <w:pPr>
              <w:pStyle w:val="BodyText"/>
            </w:pPr>
            <w:r w:rsidRPr="00B51C0C">
              <w:t>The following constants and variables included in the element/Performance Criteria in this unit are fully described in the Definitions Section 1 of this volume and form an integral part of the Range Statement of this unit:</w:t>
            </w:r>
          </w:p>
          <w:p w:rsidR="00000000" w:rsidRPr="00B51C0C" w:rsidP="00B51C0C">
            <w:pPr>
              <w:pStyle w:val="ListBullet3"/>
            </w:pPr>
            <w:r w:rsidRPr="00B51C0C">
              <w:t>Ap</w:t>
            </w:r>
            <w:r w:rsidRPr="00B51C0C">
              <w:t>propriate and relevant persons (see Personnel)</w:t>
            </w:r>
          </w:p>
          <w:p w:rsidR="00000000" w:rsidRPr="00B51C0C" w:rsidP="00B51C0C">
            <w:pPr>
              <w:pStyle w:val="ListBullet3"/>
            </w:pPr>
            <w:r w:rsidRPr="00B51C0C">
              <w:t>Appropriate authorities</w:t>
            </w:r>
          </w:p>
          <w:p w:rsidR="00000000" w:rsidRPr="00B51C0C" w:rsidP="00B51C0C">
            <w:pPr>
              <w:pStyle w:val="ListBullet3"/>
            </w:pPr>
            <w:r w:rsidRPr="00B51C0C">
              <w:t>Appropriate work platform</w:t>
            </w:r>
          </w:p>
          <w:p w:rsidR="00000000" w:rsidRPr="00B51C0C" w:rsidP="00B51C0C">
            <w:pPr>
              <w:pStyle w:val="ListBullet3"/>
            </w:pPr>
            <w:r w:rsidRPr="00B51C0C">
              <w:t>Assessing risk</w:t>
            </w:r>
          </w:p>
          <w:p w:rsidR="00000000" w:rsidRPr="00B51C0C" w:rsidP="00B51C0C">
            <w:pPr>
              <w:pStyle w:val="ListBullet3"/>
            </w:pPr>
            <w:r w:rsidRPr="00B51C0C">
              <w:t>Assessment</w:t>
            </w:r>
          </w:p>
          <w:p w:rsidR="00000000" w:rsidRPr="00B51C0C" w:rsidP="00B51C0C">
            <w:pPr>
              <w:pStyle w:val="ListBullet3"/>
            </w:pPr>
            <w:r w:rsidRPr="00B51C0C">
              <w:t>Authorisation</w:t>
            </w:r>
          </w:p>
          <w:p w:rsidR="00000000" w:rsidRPr="00B51C0C" w:rsidP="00B51C0C">
            <w:pPr>
              <w:pStyle w:val="ListBullet3"/>
            </w:pPr>
            <w:r w:rsidRPr="00B51C0C">
              <w:t>Confined space</w:t>
            </w:r>
          </w:p>
          <w:p w:rsidR="00000000" w:rsidRPr="00B51C0C" w:rsidP="00B51C0C">
            <w:pPr>
              <w:pStyle w:val="ListBullet3"/>
            </w:pPr>
            <w:r w:rsidRPr="00B51C0C">
              <w:t>Diagnostic, testing and restoration</w:t>
            </w:r>
          </w:p>
          <w:p w:rsidR="00000000" w:rsidRPr="00B51C0C" w:rsidP="00B51C0C">
            <w:pPr>
              <w:pStyle w:val="ListBullet3"/>
            </w:pPr>
            <w:r w:rsidRPr="00B51C0C">
              <w:t>Documenting detail work events, record keeping and or storage of inf</w:t>
            </w:r>
            <w:r w:rsidRPr="00B51C0C">
              <w:t>ormation</w:t>
            </w:r>
          </w:p>
          <w:p w:rsidR="00000000" w:rsidRPr="00B51C0C" w:rsidP="00B51C0C">
            <w:pPr>
              <w:pStyle w:val="ListBullet3"/>
            </w:pPr>
            <w:r w:rsidRPr="00B51C0C">
              <w:t>Drawings and specifications</w:t>
            </w:r>
          </w:p>
          <w:p w:rsidR="00000000" w:rsidRPr="00B51C0C" w:rsidP="00B51C0C">
            <w:pPr>
              <w:pStyle w:val="ListBullet3"/>
            </w:pPr>
            <w:r w:rsidRPr="00B51C0C">
              <w:t>Emergency</w:t>
            </w:r>
          </w:p>
          <w:p w:rsidR="00000000" w:rsidRPr="00B51C0C" w:rsidP="00B51C0C">
            <w:pPr>
              <w:pStyle w:val="ListBullet3"/>
            </w:pPr>
            <w:r w:rsidRPr="00B51C0C">
              <w:t>Environmental and sustainable energy procedures</w:t>
            </w:r>
          </w:p>
          <w:p w:rsidR="00000000" w:rsidRPr="00B51C0C" w:rsidP="00B51C0C">
            <w:pPr>
              <w:pStyle w:val="ListBullet3"/>
            </w:pPr>
            <w:r w:rsidRPr="00B51C0C">
              <w:t>Environmental legislation</w:t>
            </w:r>
          </w:p>
          <w:p w:rsidR="00000000" w:rsidRPr="00B51C0C" w:rsidP="00B51C0C">
            <w:pPr>
              <w:pStyle w:val="ListBullet3"/>
            </w:pPr>
            <w:r w:rsidRPr="00B51C0C">
              <w:t>Environmental management documentation</w:t>
            </w:r>
          </w:p>
          <w:p w:rsidR="00000000" w:rsidRPr="00B51C0C" w:rsidP="00B51C0C">
            <w:pPr>
              <w:pStyle w:val="ListBullet3"/>
            </w:pPr>
            <w:r w:rsidRPr="00B51C0C">
              <w:t>Established procedures</w:t>
            </w:r>
          </w:p>
          <w:p w:rsidR="00000000" w:rsidRPr="00B51C0C" w:rsidP="00B51C0C">
            <w:pPr>
              <w:pStyle w:val="ListBullet3"/>
            </w:pPr>
            <w:r w:rsidRPr="00B51C0C">
              <w:t>Fall prevention</w:t>
            </w:r>
          </w:p>
          <w:p w:rsidR="00000000" w:rsidRPr="00B51C0C" w:rsidP="00B51C0C">
            <w:pPr>
              <w:pStyle w:val="ListBullet3"/>
            </w:pPr>
            <w:r w:rsidRPr="00B51C0C">
              <w:t>Hazards</w:t>
            </w:r>
          </w:p>
          <w:p w:rsidR="00000000" w:rsidRPr="00B51C0C" w:rsidP="00B51C0C">
            <w:pPr>
              <w:pStyle w:val="ListBullet3"/>
            </w:pPr>
            <w:r w:rsidRPr="00B51C0C">
              <w:t>Identifying hazards</w:t>
            </w:r>
          </w:p>
          <w:p w:rsidR="00000000" w:rsidRPr="00B51C0C" w:rsidP="00B51C0C">
            <w:pPr>
              <w:pStyle w:val="ListBullet3"/>
            </w:pPr>
            <w:r w:rsidRPr="00B51C0C">
              <w:t>Inspect</w:t>
            </w:r>
          </w:p>
          <w:p w:rsidR="00000000" w:rsidRPr="00B51C0C" w:rsidP="00B51C0C">
            <w:pPr>
              <w:pStyle w:val="ListBullet3"/>
            </w:pPr>
            <w:r w:rsidRPr="00B51C0C">
              <w:t>Legislation</w:t>
            </w:r>
          </w:p>
          <w:p w:rsidR="00000000" w:rsidRPr="00B51C0C" w:rsidP="00B51C0C">
            <w:pPr>
              <w:pStyle w:val="ListBullet3"/>
            </w:pPr>
            <w:r w:rsidRPr="00B51C0C">
              <w:t>MSDS</w:t>
            </w:r>
          </w:p>
          <w:p w:rsidR="00000000" w:rsidRPr="00B51C0C" w:rsidP="00B51C0C">
            <w:pPr>
              <w:pStyle w:val="ListBullet3"/>
            </w:pPr>
            <w:r w:rsidRPr="00B51C0C">
              <w:t>Notification</w:t>
            </w:r>
          </w:p>
          <w:p w:rsidR="00000000" w:rsidRPr="00B51C0C" w:rsidP="00B51C0C">
            <w:pPr>
              <w:pStyle w:val="ListBullet3"/>
            </w:pPr>
            <w:r w:rsidRPr="00B51C0C">
              <w:t>OHS practices</w:t>
            </w:r>
          </w:p>
          <w:p w:rsidR="00000000" w:rsidRPr="00B51C0C" w:rsidP="00B51C0C">
            <w:pPr>
              <w:pStyle w:val="ListBullet3"/>
            </w:pPr>
            <w:r w:rsidRPr="00B51C0C">
              <w:t>OHS issues</w:t>
            </w:r>
          </w:p>
          <w:p w:rsidR="00000000" w:rsidRPr="00B51C0C" w:rsidP="00B51C0C">
            <w:pPr>
              <w:pStyle w:val="ListBullet3"/>
            </w:pPr>
            <w:r w:rsidRPr="00B51C0C">
              <w:t>Permits and/or permits to work</w:t>
            </w:r>
          </w:p>
          <w:p w:rsidR="00000000" w:rsidRPr="00B51C0C" w:rsidP="00B51C0C">
            <w:pPr>
              <w:pStyle w:val="ListBullet3"/>
            </w:pPr>
            <w:r w:rsidRPr="00B51C0C">
              <w:t>Personnel</w:t>
            </w:r>
          </w:p>
          <w:p w:rsidR="00000000" w:rsidRPr="00B51C0C" w:rsidP="00B51C0C">
            <w:pPr>
              <w:pStyle w:val="ListBullet3"/>
            </w:pPr>
            <w:r w:rsidRPr="00B51C0C">
              <w:t>Quality assurance systems</w:t>
            </w:r>
          </w:p>
          <w:p w:rsidR="00000000" w:rsidRPr="00B51C0C" w:rsidP="00B51C0C">
            <w:pPr>
              <w:pStyle w:val="ListBullet3"/>
            </w:pPr>
            <w:r w:rsidRPr="00B51C0C">
              <w:t>Requirements</w:t>
            </w:r>
          </w:p>
          <w:p w:rsidR="00000000" w:rsidRPr="00B51C0C" w:rsidP="00B51C0C">
            <w:pPr>
              <w:pStyle w:val="ListBullet3"/>
            </w:pPr>
            <w:r w:rsidRPr="00B51C0C">
              <w:t>Testing procedures</w:t>
            </w:r>
          </w:p>
          <w:p w:rsidR="00000000" w:rsidRPr="00B51C0C" w:rsidP="00B51C0C">
            <w:pPr>
              <w:pStyle w:val="ListBullet3"/>
            </w:pPr>
            <w:r w:rsidRPr="00B51C0C">
              <w:t>Work clearance systems</w:t>
            </w:r>
          </w:p>
        </w:tc>
      </w:tr>
    </w:tbl>
    <w:p w:rsidR="00000000" w:rsidRPr="00B51C0C" w:rsidP="00B51C0C">
      <w:pPr>
        <w:pStyle w:val="BodyText"/>
      </w:pPr>
    </w:p>
    <w:p w:rsidR="00000000" w:rsidRPr="00B51C0C" w:rsidP="00B51C0C">
      <w:pPr>
        <w:pStyle w:val="AllowPageBreak"/>
      </w:pPr>
    </w:p>
    <w:p w:rsidR="00000000" w:rsidRPr="00B51C0C" w:rsidP="00B51C0C">
      <w:pPr>
        <w:pStyle w:val="Heading1"/>
      </w:pPr>
      <w:bookmarkStart w:id="12" w:name="O_459847"/>
      <w:bookmarkEnd w:id="12"/>
      <w:r w:rsidRPr="00B51C0C">
        <w:t>Unit Sector(s)</w:t>
      </w:r>
    </w:p>
    <w:p w:rsidR="00000000" w:rsidRPr="00B51C0C" w:rsidP="00B51C0C">
      <w:pPr>
        <w:pStyle w:val="BodyText"/>
      </w:pPr>
      <w:r w:rsidRPr="00B51C0C">
        <w:t>Not applicable.</w:t>
      </w:r>
    </w:p>
    <w:p w:rsidR="00000000" w:rsidRPr="00B51C0C" w:rsidP="00B51C0C">
      <w:pPr>
        <w:pStyle w:val="AllowPageBreak"/>
      </w:pPr>
    </w:p>
    <w:p w:rsidR="00000000" w:rsidRPr="00B51C0C" w:rsidP="00B51C0C">
      <w:pPr>
        <w:pStyle w:val="Heading1"/>
      </w:pPr>
      <w:bookmarkStart w:id="13" w:name="O_459836"/>
      <w:bookmarkEnd w:id="13"/>
      <w:r w:rsidRPr="00B51C0C">
        <w:t>Competency Field</w:t>
      </w:r>
    </w:p>
    <w:tbl>
      <w:tblPr>
        <w:tblW w:w="0" w:type="auto"/>
        <w:tblLayout w:type="fixed"/>
        <w:tblCellMar>
          <w:left w:w="62" w:type="dxa"/>
          <w:right w:w="62" w:type="dxa"/>
        </w:tblCellMar>
        <w:tblLook w:val="0000"/>
      </w:tblPr>
      <w:tblGrid>
        <w:gridCol w:w="2700"/>
        <w:gridCol w:w="5760"/>
      </w:tblGrid>
      <w:tr w:rsidTr="0047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1C0C">
            <w:pPr>
              <w:pStyle w:val="BodyText"/>
              <w:rPr>
                <w:lang w:val="en-NZ"/>
              </w:rPr>
            </w:pPr>
            <w:r w:rsidRPr="00B51C0C">
              <w:rPr>
                <w:rStyle w:val="SpecialBold"/>
              </w:rPr>
              <w:t xml:space="preserve">11) </w:t>
            </w:r>
          </w:p>
        </w:tc>
      </w:tr>
      <w:tr w:rsidTr="0047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1C0C" w:rsidP="00B51C0C">
            <w:pPr>
              <w:pStyle w:val="BodyText"/>
            </w:pPr>
            <w:r w:rsidRPr="00B51C0C">
              <w:t>Substation Units</w:t>
            </w:r>
          </w:p>
        </w:tc>
      </w:tr>
    </w:tbl>
    <w:p w:rsidR="00000000" w:rsidRPr="00B51C0C" w:rsidP="00B51C0C">
      <w:pPr>
        <w:pStyle w:val="BodyText"/>
      </w:pPr>
    </w:p>
    <w:p w:rsidR="00000000" w:rsidRPr="00B51C0C" w:rsidP="00B51C0C"/>
    <w:sectPr w:rsidSect="00B51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05B" w:rsidP="00470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5B" w:rsidP="00B51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7005B" w:rsidP="00B51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7005B" w:rsidP="00B51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05B" w:rsidP="004700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5B" w:rsidP="00B51C0C">
    <w:pPr>
      <w:pStyle w:val="Header"/>
      <w:framePr w:wrap="around"/>
    </w:pPr>
    <w:r>
      <w:fldChar w:fldCharType="begin"/>
    </w:r>
    <w:r>
      <w:instrText xml:space="preserve"> TITLE   \* MERGEFORMAT </w:instrText>
    </w:r>
    <w:r>
      <w:fldChar w:fldCharType="separate"/>
    </w:r>
    <w:r>
      <w:t>UETTDRSB36A Commission discrete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005B" w:rsidP="00B51C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A6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F2F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84F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C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1C0C"/>
    <w:pPr>
      <w:spacing w:before="360" w:after="60"/>
      <w:outlineLvl w:val="0"/>
    </w:pPr>
    <w:rPr>
      <w:sz w:val="32"/>
    </w:rPr>
  </w:style>
  <w:style w:type="paragraph" w:styleId="Heading2">
    <w:name w:val="heading 2"/>
    <w:basedOn w:val="HeadingBase"/>
    <w:next w:val="BodyText"/>
    <w:link w:val="Heading2Char"/>
    <w:qFormat/>
    <w:rsid w:val="00B51C0C"/>
    <w:pPr>
      <w:keepLines/>
      <w:spacing w:before="240" w:after="120"/>
      <w:outlineLvl w:val="1"/>
    </w:pPr>
    <w:rPr>
      <w:sz w:val="28"/>
      <w:szCs w:val="40"/>
    </w:rPr>
  </w:style>
  <w:style w:type="paragraph" w:styleId="Heading3">
    <w:name w:val="heading 3"/>
    <w:basedOn w:val="HeadingBase"/>
    <w:next w:val="BodyText"/>
    <w:link w:val="Heading3Char"/>
    <w:qFormat/>
    <w:rsid w:val="00B51C0C"/>
    <w:pPr>
      <w:spacing w:before="180" w:after="120"/>
      <w:outlineLvl w:val="2"/>
    </w:pPr>
    <w:rPr>
      <w:spacing w:val="-10"/>
      <w:kern w:val="32"/>
    </w:rPr>
  </w:style>
  <w:style w:type="paragraph" w:styleId="Heading4">
    <w:name w:val="heading 4"/>
    <w:basedOn w:val="HeadingBase"/>
    <w:next w:val="BodyText"/>
    <w:link w:val="Heading4Char"/>
    <w:qFormat/>
    <w:rsid w:val="00B51C0C"/>
    <w:pPr>
      <w:spacing w:before="160" w:after="120"/>
      <w:outlineLvl w:val="3"/>
    </w:pPr>
    <w:rPr>
      <w:sz w:val="22"/>
    </w:rPr>
  </w:style>
  <w:style w:type="paragraph" w:styleId="Heading5">
    <w:name w:val="heading 5"/>
    <w:basedOn w:val="HeadingBase"/>
    <w:next w:val="Normal"/>
    <w:link w:val="Heading5Char"/>
    <w:qFormat/>
    <w:rsid w:val="00B51C0C"/>
    <w:pPr>
      <w:spacing w:before="80"/>
      <w:outlineLvl w:val="4"/>
    </w:pPr>
    <w:rPr>
      <w:color w:val="918585"/>
      <w:sz w:val="20"/>
    </w:rPr>
  </w:style>
  <w:style w:type="paragraph" w:styleId="Heading6">
    <w:name w:val="heading 6"/>
    <w:basedOn w:val="HeadingBase"/>
    <w:next w:val="Normal"/>
    <w:link w:val="Heading6Char"/>
    <w:qFormat/>
    <w:rsid w:val="00B51C0C"/>
    <w:pPr>
      <w:spacing w:before="60"/>
      <w:outlineLvl w:val="5"/>
    </w:pPr>
    <w:rPr>
      <w:color w:val="918585"/>
      <w:sz w:val="20"/>
    </w:rPr>
  </w:style>
  <w:style w:type="paragraph" w:styleId="Heading7">
    <w:name w:val="heading 7"/>
    <w:basedOn w:val="Normal"/>
    <w:next w:val="Normal"/>
    <w:link w:val="Heading7Char"/>
    <w:qFormat/>
    <w:rsid w:val="00B51C0C"/>
    <w:pPr>
      <w:ind w:left="720"/>
      <w:outlineLvl w:val="6"/>
    </w:pPr>
    <w:rPr>
      <w:i/>
    </w:rPr>
  </w:style>
  <w:style w:type="paragraph" w:styleId="Heading8">
    <w:name w:val="heading 8"/>
    <w:basedOn w:val="Normal"/>
    <w:next w:val="Normal"/>
    <w:link w:val="Heading8Char"/>
    <w:qFormat/>
    <w:rsid w:val="00B51C0C"/>
    <w:pPr>
      <w:ind w:left="720"/>
      <w:outlineLvl w:val="7"/>
    </w:pPr>
    <w:rPr>
      <w:i/>
    </w:rPr>
  </w:style>
  <w:style w:type="paragraph" w:styleId="Heading9">
    <w:name w:val="heading 9"/>
    <w:basedOn w:val="Normal"/>
    <w:next w:val="Normal"/>
    <w:link w:val="Heading9Char"/>
    <w:qFormat/>
    <w:rsid w:val="00B51C0C"/>
    <w:pPr>
      <w:ind w:left="720"/>
      <w:outlineLvl w:val="8"/>
    </w:pPr>
    <w:rPr>
      <w:i/>
    </w:rPr>
  </w:style>
  <w:style w:type="character" w:default="1" w:styleId="DefaultParagraphFont">
    <w:name w:val="Default Paragraph Font"/>
    <w:uiPriority w:val="1"/>
    <w:unhideWhenUsed/>
    <w:rsid w:val="00B51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C0C"/>
  </w:style>
  <w:style w:type="character" w:customStyle="1" w:styleId="Heading1Char">
    <w:name w:val="Heading 1 Char"/>
    <w:link w:val="Heading1"/>
    <w:rsid w:val="00B51C0C"/>
    <w:rPr>
      <w:rFonts w:ascii="Times New Roman" w:eastAsia="Times New Roman" w:hAnsi="Times New Roman" w:cs="Times New Roman"/>
      <w:b/>
      <w:sz w:val="32"/>
      <w:szCs w:val="20"/>
      <w:lang w:eastAsia="en-US"/>
    </w:rPr>
  </w:style>
  <w:style w:type="paragraph" w:styleId="BodyText">
    <w:name w:val="Body Text"/>
    <w:basedOn w:val="Normal"/>
    <w:link w:val="BodyTextChar"/>
    <w:rsid w:val="00B51C0C"/>
    <w:pPr>
      <w:spacing w:before="120" w:after="120"/>
      <w:contextualSpacing/>
    </w:pPr>
    <w:rPr>
      <w:rFonts w:ascii="Times New Roman" w:hAnsi="Times New Roman"/>
      <w:sz w:val="24"/>
      <w:szCs w:val="22"/>
    </w:rPr>
  </w:style>
  <w:style w:type="character" w:customStyle="1" w:styleId="BodyTextChar">
    <w:name w:val="Body Text Char"/>
    <w:link w:val="BodyText"/>
    <w:rsid w:val="00B51C0C"/>
    <w:rPr>
      <w:rFonts w:ascii="Times New Roman" w:eastAsia="Times New Roman" w:hAnsi="Times New Roman" w:cs="Times New Roman"/>
      <w:sz w:val="24"/>
      <w:lang w:val="en-US" w:eastAsia="en-US"/>
    </w:rPr>
  </w:style>
  <w:style w:type="paragraph" w:styleId="Footer">
    <w:name w:val="footer"/>
    <w:basedOn w:val="Normal"/>
    <w:link w:val="FooterChar"/>
    <w:rsid w:val="00B51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51C0C"/>
    <w:rPr>
      <w:rFonts w:ascii="Times New Roman" w:eastAsia="Times New Roman" w:hAnsi="Times New Roman" w:cs="Times New Roman"/>
      <w:sz w:val="16"/>
      <w:lang w:val="en-US" w:eastAsia="en-US"/>
    </w:rPr>
  </w:style>
  <w:style w:type="paragraph" w:styleId="ListBullet">
    <w:name w:val="List Bullet"/>
    <w:basedOn w:val="List"/>
    <w:rsid w:val="00B51C0C"/>
    <w:pPr>
      <w:numPr>
        <w:numId w:val="14"/>
      </w:numPr>
      <w:tabs>
        <w:tab w:val="clear" w:pos="340"/>
      </w:tabs>
      <w:spacing w:before="40" w:after="40"/>
    </w:pPr>
  </w:style>
  <w:style w:type="character" w:customStyle="1" w:styleId="SpecialBold">
    <w:name w:val="Special Bold"/>
    <w:rsid w:val="00B51C0C"/>
    <w:rPr>
      <w:b/>
      <w:spacing w:val="0"/>
    </w:rPr>
  </w:style>
  <w:style w:type="paragraph" w:styleId="ListBullet2">
    <w:name w:val="List Bullet 2"/>
    <w:basedOn w:val="List2"/>
    <w:rsid w:val="00B51C0C"/>
    <w:pPr>
      <w:numPr>
        <w:numId w:val="15"/>
      </w:numPr>
      <w:tabs>
        <w:tab w:val="clear" w:pos="680"/>
      </w:tabs>
    </w:pPr>
  </w:style>
  <w:style w:type="paragraph" w:styleId="Header">
    <w:name w:val="header"/>
    <w:basedOn w:val="Normal"/>
    <w:link w:val="HeaderChar"/>
    <w:rsid w:val="00B51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51C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1C0C"/>
    <w:pPr>
      <w:spacing w:before="240" w:after="120"/>
      <w:outlineLvl w:val="0"/>
    </w:pPr>
    <w:rPr>
      <w:rFonts w:ascii="Times New Roman" w:hAnsi="Times New Roman"/>
      <w:b/>
      <w:sz w:val="28"/>
    </w:rPr>
  </w:style>
  <w:style w:type="paragraph" w:customStyle="1" w:styleId="AllowPageBreak">
    <w:name w:val="AllowPageBreak"/>
    <w:rsid w:val="00B51C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1C0C"/>
    <w:pPr>
      <w:numPr>
        <w:numId w:val="3"/>
      </w:numPr>
      <w:tabs>
        <w:tab w:val="clear" w:pos="1021"/>
      </w:tabs>
      <w:ind w:left="1037" w:hanging="357"/>
    </w:pPr>
  </w:style>
  <w:style w:type="character" w:customStyle="1" w:styleId="Heading2Char">
    <w:name w:val="Heading 2 Char"/>
    <w:link w:val="Heading2"/>
    <w:rsid w:val="00B51C0C"/>
    <w:rPr>
      <w:rFonts w:ascii="Times New Roman" w:eastAsia="Times New Roman" w:hAnsi="Times New Roman" w:cs="Times New Roman"/>
      <w:b/>
      <w:sz w:val="28"/>
      <w:szCs w:val="40"/>
      <w:lang w:eastAsia="en-US"/>
    </w:rPr>
  </w:style>
  <w:style w:type="character" w:customStyle="1" w:styleId="Heading3Char">
    <w:name w:val="Heading 3 Char"/>
    <w:link w:val="Heading3"/>
    <w:rsid w:val="00B51C0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51C0C"/>
    <w:rPr>
      <w:rFonts w:ascii="Times New Roman" w:eastAsia="Times New Roman" w:hAnsi="Times New Roman" w:cs="Times New Roman"/>
      <w:b/>
      <w:szCs w:val="20"/>
      <w:lang w:eastAsia="en-US"/>
    </w:rPr>
  </w:style>
  <w:style w:type="character" w:customStyle="1" w:styleId="Heading5Char">
    <w:name w:val="Heading 5 Char"/>
    <w:link w:val="Heading5"/>
    <w:rsid w:val="00B51C0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51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C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1C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1C0C"/>
    <w:rPr>
      <w:rFonts w:ascii="Courier New" w:eastAsia="Times New Roman" w:hAnsi="Courier New" w:cs="Times New Roman"/>
      <w:i/>
      <w:szCs w:val="20"/>
      <w:lang w:val="en-US" w:eastAsia="en-US"/>
    </w:rPr>
  </w:style>
  <w:style w:type="paragraph" w:customStyle="1" w:styleId="HeadingBase">
    <w:name w:val="Heading Base"/>
    <w:rsid w:val="00B51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C0C"/>
    <w:pPr>
      <w:tabs>
        <w:tab w:val="right" w:leader="dot" w:pos="9072"/>
      </w:tabs>
      <w:ind w:left="567"/>
    </w:pPr>
    <w:rPr>
      <w:szCs w:val="22"/>
    </w:rPr>
  </w:style>
  <w:style w:type="paragraph" w:customStyle="1" w:styleId="TOCBase">
    <w:name w:val="TOC Base"/>
    <w:rsid w:val="00B51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C0C"/>
    <w:pPr>
      <w:tabs>
        <w:tab w:val="right" w:leader="dot" w:pos="9072"/>
      </w:tabs>
      <w:spacing w:before="40" w:after="40"/>
      <w:ind w:left="284"/>
    </w:pPr>
    <w:rPr>
      <w:rFonts w:ascii="Times New Roman" w:hAnsi="Times New Roman"/>
    </w:rPr>
  </w:style>
  <w:style w:type="paragraph" w:styleId="TOC1">
    <w:name w:val="toc 1"/>
    <w:basedOn w:val="TOCBase"/>
    <w:next w:val="Normal"/>
    <w:rsid w:val="00B51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1C0C"/>
    <w:pPr>
      <w:spacing w:before="5040"/>
      <w:jc w:val="center"/>
    </w:pPr>
    <w:rPr>
      <w:sz w:val="48"/>
      <w:szCs w:val="72"/>
      <w:lang w:val="en-US"/>
    </w:rPr>
  </w:style>
  <w:style w:type="character" w:customStyle="1" w:styleId="TitleChar">
    <w:name w:val="Title Char"/>
    <w:link w:val="Title"/>
    <w:rsid w:val="00B51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C0C"/>
    <w:pPr>
      <w:tabs>
        <w:tab w:val="left" w:pos="3600"/>
        <w:tab w:val="left" w:pos="3958"/>
      </w:tabs>
    </w:pPr>
  </w:style>
  <w:style w:type="paragraph" w:styleId="List">
    <w:name w:val="List"/>
    <w:basedOn w:val="BodyText"/>
    <w:next w:val="BodyText"/>
    <w:rsid w:val="00B51C0C"/>
    <w:pPr>
      <w:tabs>
        <w:tab w:val="left" w:pos="340"/>
      </w:tabs>
      <w:spacing w:before="60" w:after="60"/>
      <w:ind w:left="340" w:hanging="340"/>
    </w:pPr>
  </w:style>
  <w:style w:type="paragraph" w:customStyle="1" w:styleId="Note">
    <w:name w:val="Note"/>
    <w:basedOn w:val="BodyText"/>
    <w:rsid w:val="00B51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C0C"/>
    <w:pPr>
      <w:framePr w:wrap="auto" w:hAnchor="text" w:y="6049"/>
    </w:pPr>
    <w:rPr>
      <w:color w:val="000000"/>
      <w:sz w:val="40"/>
    </w:rPr>
  </w:style>
  <w:style w:type="paragraph" w:customStyle="1" w:styleId="TOCTitle">
    <w:name w:val="TOCTitle"/>
    <w:basedOn w:val="Heading1"/>
    <w:rsid w:val="00B51C0C"/>
    <w:pPr>
      <w:spacing w:after="240"/>
      <w:jc w:val="center"/>
      <w:outlineLvl w:val="9"/>
    </w:pPr>
    <w:rPr>
      <w:caps/>
    </w:rPr>
  </w:style>
  <w:style w:type="paragraph" w:customStyle="1" w:styleId="Version">
    <w:name w:val="Version"/>
    <w:rsid w:val="00B51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C0C"/>
    <w:pPr>
      <w:keepNext w:val="0"/>
      <w:tabs>
        <w:tab w:val="right" w:pos="4176"/>
      </w:tabs>
      <w:ind w:left="198" w:hanging="198"/>
    </w:pPr>
    <w:rPr>
      <w:rFonts w:ascii="Garamond" w:hAnsi="Garamond"/>
    </w:rPr>
  </w:style>
  <w:style w:type="paragraph" w:styleId="IndexHeading">
    <w:name w:val="index heading"/>
    <w:basedOn w:val="Normal"/>
    <w:next w:val="Index1"/>
    <w:semiHidden/>
    <w:rsid w:val="00B51C0C"/>
    <w:pPr>
      <w:spacing w:before="120" w:after="120"/>
    </w:pPr>
    <w:rPr>
      <w:rFonts w:ascii="Arial" w:hAnsi="Arial"/>
      <w:b/>
      <w:color w:val="918585"/>
      <w:sz w:val="24"/>
    </w:rPr>
  </w:style>
  <w:style w:type="paragraph" w:customStyle="1" w:styleId="Chapter">
    <w:name w:val="Chapter"/>
    <w:basedOn w:val="Normal"/>
    <w:rsid w:val="00B51C0C"/>
    <w:pPr>
      <w:spacing w:before="240"/>
    </w:pPr>
    <w:rPr>
      <w:rFonts w:ascii="Times New Roman" w:hAnsi="Times New Roman"/>
      <w:smallCaps/>
      <w:spacing w:val="80"/>
      <w:sz w:val="28"/>
    </w:rPr>
  </w:style>
  <w:style w:type="paragraph" w:customStyle="1" w:styleId="InChapter">
    <w:name w:val="InChapter"/>
    <w:basedOn w:val="Heading3"/>
    <w:rsid w:val="00B51C0C"/>
    <w:pPr>
      <w:spacing w:after="240"/>
      <w:outlineLvl w:val="9"/>
    </w:pPr>
    <w:rPr>
      <w:noProof/>
    </w:rPr>
  </w:style>
  <w:style w:type="paragraph" w:styleId="Index2">
    <w:name w:val="index 2"/>
    <w:basedOn w:val="Normal"/>
    <w:next w:val="Normal"/>
    <w:semiHidden/>
    <w:rsid w:val="00B51C0C"/>
    <w:pPr>
      <w:tabs>
        <w:tab w:val="right" w:pos="4176"/>
      </w:tabs>
      <w:ind w:left="568" w:hanging="284"/>
    </w:pPr>
    <w:rPr>
      <w:rFonts w:ascii="Garamond" w:hAnsi="Garamond"/>
    </w:rPr>
  </w:style>
  <w:style w:type="paragraph" w:customStyle="1" w:styleId="Byline">
    <w:name w:val="Byline"/>
    <w:rsid w:val="00B51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C0C"/>
    <w:pPr>
      <w:tabs>
        <w:tab w:val="clear" w:pos="3600"/>
        <w:tab w:val="clear" w:pos="3958"/>
      </w:tabs>
      <w:jc w:val="right"/>
    </w:pPr>
  </w:style>
  <w:style w:type="character" w:styleId="Emphasis">
    <w:name w:val="Emphasis"/>
    <w:qFormat/>
    <w:rsid w:val="00B51C0C"/>
    <w:rPr>
      <w:i/>
    </w:rPr>
  </w:style>
  <w:style w:type="paragraph" w:styleId="Caption">
    <w:name w:val="caption"/>
    <w:basedOn w:val="BodyText"/>
    <w:next w:val="Normal"/>
    <w:qFormat/>
    <w:rsid w:val="00B51C0C"/>
    <w:pPr>
      <w:framePr w:w="2268" w:hSpace="181" w:vSpace="181" w:wrap="around" w:vAnchor="text" w:hAnchor="page" w:x="1135" w:y="285" w:anchorLock="1"/>
    </w:pPr>
    <w:rPr>
      <w:i/>
    </w:rPr>
  </w:style>
  <w:style w:type="paragraph" w:customStyle="1" w:styleId="MiniTOCTitle">
    <w:name w:val="MiniTOCTitle"/>
    <w:basedOn w:val="Heading4"/>
    <w:rsid w:val="00B51C0C"/>
    <w:pPr>
      <w:spacing w:before="240"/>
      <w:outlineLvl w:val="9"/>
    </w:pPr>
    <w:rPr>
      <w:noProof/>
      <w:sz w:val="24"/>
    </w:rPr>
  </w:style>
  <w:style w:type="paragraph" w:customStyle="1" w:styleId="MiniTOCItem">
    <w:name w:val="MiniTOCItem"/>
    <w:basedOn w:val="ListBullet"/>
    <w:rsid w:val="00B51C0C"/>
    <w:pPr>
      <w:numPr>
        <w:numId w:val="0"/>
      </w:numPr>
      <w:tabs>
        <w:tab w:val="right" w:leader="dot" w:pos="6521"/>
      </w:tabs>
      <w:spacing w:before="0" w:after="0"/>
    </w:pPr>
  </w:style>
  <w:style w:type="paragraph" w:customStyle="1" w:styleId="TOFTitle">
    <w:name w:val="TOFTitle"/>
    <w:basedOn w:val="TOCTitle"/>
    <w:rsid w:val="00B51C0C"/>
  </w:style>
  <w:style w:type="paragraph" w:styleId="TableofFigures">
    <w:name w:val="table of figures"/>
    <w:basedOn w:val="Normal"/>
    <w:next w:val="Normal"/>
    <w:semiHidden/>
    <w:rsid w:val="00B51C0C"/>
    <w:pPr>
      <w:tabs>
        <w:tab w:val="right" w:leader="dot" w:pos="9072"/>
      </w:tabs>
      <w:ind w:left="970" w:hanging="403"/>
    </w:pPr>
    <w:rPr>
      <w:rFonts w:ascii="Times New Roman" w:hAnsi="Times New Roman"/>
      <w:b/>
    </w:rPr>
  </w:style>
  <w:style w:type="paragraph" w:styleId="ListNumber">
    <w:name w:val="List Number"/>
    <w:basedOn w:val="List"/>
    <w:rsid w:val="00B51C0C"/>
    <w:pPr>
      <w:numPr>
        <w:numId w:val="12"/>
      </w:numPr>
    </w:pPr>
  </w:style>
  <w:style w:type="character" w:customStyle="1" w:styleId="WingdingSymbols">
    <w:name w:val="Wingding Symbols"/>
    <w:rsid w:val="00B51C0C"/>
    <w:rPr>
      <w:rFonts w:ascii="Wingdings" w:hAnsi="Wingdings"/>
    </w:rPr>
  </w:style>
  <w:style w:type="paragraph" w:customStyle="1" w:styleId="TableHeading">
    <w:name w:val="Table Heading"/>
    <w:basedOn w:val="HeadingBase"/>
    <w:rsid w:val="00B51C0C"/>
    <w:pPr>
      <w:keepLines/>
      <w:pBdr>
        <w:bottom w:val="single" w:sz="6" w:space="1" w:color="918585"/>
      </w:pBdr>
      <w:spacing w:before="240"/>
    </w:pPr>
  </w:style>
  <w:style w:type="character" w:customStyle="1" w:styleId="HotSpot">
    <w:name w:val="HotSpot"/>
    <w:rsid w:val="00B51C0C"/>
    <w:rPr>
      <w:color w:val="0033CC"/>
      <w:u w:val="none"/>
    </w:rPr>
  </w:style>
  <w:style w:type="paragraph" w:customStyle="1" w:styleId="BodyTextRight">
    <w:name w:val="Body Text Right"/>
    <w:basedOn w:val="BodyText"/>
    <w:rsid w:val="00B51C0C"/>
    <w:pPr>
      <w:spacing w:before="0" w:after="0"/>
      <w:jc w:val="right"/>
    </w:pPr>
  </w:style>
  <w:style w:type="paragraph" w:styleId="Index3">
    <w:name w:val="index 3"/>
    <w:basedOn w:val="ListNumber2"/>
    <w:next w:val="Normal"/>
    <w:semiHidden/>
    <w:rsid w:val="00B51C0C"/>
    <w:pPr>
      <w:numPr>
        <w:numId w:val="0"/>
      </w:numPr>
      <w:tabs>
        <w:tab w:val="right" w:leader="dot" w:pos="4176"/>
      </w:tabs>
    </w:pPr>
  </w:style>
  <w:style w:type="paragraph" w:styleId="ListNumber2">
    <w:name w:val="List Number 2"/>
    <w:basedOn w:val="List2"/>
    <w:rsid w:val="00B51C0C"/>
    <w:pPr>
      <w:numPr>
        <w:numId w:val="11"/>
      </w:numPr>
      <w:tabs>
        <w:tab w:val="clear" w:pos="1060"/>
      </w:tabs>
    </w:pPr>
  </w:style>
  <w:style w:type="paragraph" w:customStyle="1" w:styleId="MarginNote">
    <w:name w:val="Margin Note"/>
    <w:basedOn w:val="BodyText"/>
    <w:rsid w:val="00B51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51C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1C0C"/>
    <w:rPr>
      <w:sz w:val="32"/>
    </w:rPr>
  </w:style>
  <w:style w:type="paragraph" w:customStyle="1" w:styleId="HeadingProcedure">
    <w:name w:val="Heading Procedure"/>
    <w:basedOn w:val="HeadingBase"/>
    <w:next w:val="Normal"/>
    <w:rsid w:val="00B51C0C"/>
    <w:pPr>
      <w:tabs>
        <w:tab w:val="left" w:pos="0"/>
      </w:tabs>
      <w:spacing w:before="120" w:after="60"/>
    </w:pPr>
    <w:rPr>
      <w:i/>
      <w:color w:val="918585"/>
      <w:sz w:val="22"/>
    </w:rPr>
  </w:style>
  <w:style w:type="paragraph" w:customStyle="1" w:styleId="TableBodyText">
    <w:name w:val="Table Body Text"/>
    <w:basedOn w:val="BodyText"/>
    <w:rsid w:val="00B51C0C"/>
    <w:pPr>
      <w:spacing w:before="60" w:after="60"/>
    </w:pPr>
  </w:style>
  <w:style w:type="paragraph" w:styleId="ListContinue">
    <w:name w:val="List Continue"/>
    <w:basedOn w:val="List"/>
    <w:rsid w:val="00B51C0C"/>
    <w:pPr>
      <w:ind w:firstLine="0"/>
    </w:pPr>
  </w:style>
  <w:style w:type="paragraph" w:customStyle="1" w:styleId="ListNote">
    <w:name w:val="List Note"/>
    <w:basedOn w:val="List"/>
    <w:rsid w:val="00B51C0C"/>
    <w:pPr>
      <w:pBdr>
        <w:top w:val="single" w:sz="6" w:space="2" w:color="918585"/>
        <w:bottom w:val="single" w:sz="6" w:space="2" w:color="918585"/>
      </w:pBdr>
      <w:tabs>
        <w:tab w:val="left" w:pos="1021"/>
      </w:tabs>
      <w:ind w:firstLine="0"/>
    </w:pPr>
  </w:style>
  <w:style w:type="paragraph" w:customStyle="1" w:styleId="Warning">
    <w:name w:val="Warning"/>
    <w:basedOn w:val="BodyText"/>
    <w:rsid w:val="00B51C0C"/>
    <w:pPr>
      <w:shd w:val="clear" w:color="auto" w:fill="D9D9D9"/>
      <w:tabs>
        <w:tab w:val="left" w:pos="992"/>
      </w:tabs>
      <w:ind w:left="119" w:right="119"/>
    </w:pPr>
    <w:rPr>
      <w:sz w:val="20"/>
    </w:rPr>
  </w:style>
  <w:style w:type="paragraph" w:customStyle="1" w:styleId="MarginIcons">
    <w:name w:val="Margin Icons"/>
    <w:basedOn w:val="BodyText"/>
    <w:rsid w:val="00B51C0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51C0C"/>
    <w:rPr>
      <w:rFonts w:ascii="Courier New" w:hAnsi="Courier New"/>
    </w:rPr>
  </w:style>
  <w:style w:type="paragraph" w:customStyle="1" w:styleId="NoteBullet">
    <w:name w:val="Note Bullet"/>
    <w:basedOn w:val="Note"/>
    <w:rsid w:val="00B51C0C"/>
    <w:pPr>
      <w:tabs>
        <w:tab w:val="clear" w:pos="680"/>
      </w:tabs>
      <w:spacing w:before="60" w:after="60"/>
    </w:pPr>
  </w:style>
  <w:style w:type="paragraph" w:customStyle="1" w:styleId="SubHeading2">
    <w:name w:val="SubHeading2"/>
    <w:basedOn w:val="HeadingBase"/>
    <w:rsid w:val="00B51C0C"/>
    <w:pPr>
      <w:spacing w:before="240" w:after="60"/>
    </w:pPr>
    <w:rPr>
      <w:sz w:val="20"/>
    </w:rPr>
  </w:style>
  <w:style w:type="paragraph" w:customStyle="1" w:styleId="SubHeading1">
    <w:name w:val="SubHeading1"/>
    <w:basedOn w:val="HeadingBase"/>
    <w:rsid w:val="00B51C0C"/>
    <w:pPr>
      <w:spacing w:before="240" w:after="60"/>
    </w:pPr>
    <w:rPr>
      <w:color w:val="918585"/>
      <w:sz w:val="22"/>
    </w:rPr>
  </w:style>
  <w:style w:type="paragraph" w:customStyle="1" w:styleId="SideHeading">
    <w:name w:val="Side Heading"/>
    <w:basedOn w:val="HeadingBase"/>
    <w:rsid w:val="00B51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C0C"/>
    <w:pPr>
      <w:numPr>
        <w:numId w:val="13"/>
      </w:numPr>
    </w:pPr>
  </w:style>
  <w:style w:type="paragraph" w:styleId="PlainText">
    <w:name w:val="Plain Text"/>
    <w:basedOn w:val="Normal"/>
    <w:link w:val="PlainTextChar"/>
    <w:rsid w:val="00B51C0C"/>
    <w:rPr>
      <w:sz w:val="20"/>
    </w:rPr>
  </w:style>
  <w:style w:type="character" w:customStyle="1" w:styleId="PlainTextChar">
    <w:name w:val="Plain Text Char"/>
    <w:basedOn w:val="DefaultParagraphFont"/>
    <w:link w:val="PlainText"/>
    <w:rsid w:val="00B51C0C"/>
    <w:rPr>
      <w:rFonts w:ascii="Courier New" w:eastAsia="Times New Roman" w:hAnsi="Courier New" w:cs="Times New Roman"/>
      <w:sz w:val="20"/>
      <w:szCs w:val="20"/>
      <w:lang w:val="en-US" w:eastAsia="en-US"/>
    </w:rPr>
  </w:style>
  <w:style w:type="character" w:customStyle="1" w:styleId="MenuOption">
    <w:name w:val="Menu Option"/>
    <w:rsid w:val="00B51C0C"/>
    <w:rPr>
      <w:b/>
      <w:smallCaps/>
    </w:rPr>
  </w:style>
  <w:style w:type="paragraph" w:customStyle="1" w:styleId="TableListNumber">
    <w:name w:val="Table List Number"/>
    <w:basedOn w:val="ListNumber"/>
    <w:rsid w:val="00B51C0C"/>
    <w:pPr>
      <w:numPr>
        <w:numId w:val="0"/>
      </w:numPr>
    </w:pPr>
  </w:style>
  <w:style w:type="paragraph" w:styleId="TOC4">
    <w:name w:val="toc 4"/>
    <w:basedOn w:val="TOCBase"/>
    <w:next w:val="Normal"/>
    <w:semiHidden/>
    <w:rsid w:val="00B51C0C"/>
    <w:pPr>
      <w:tabs>
        <w:tab w:val="right" w:leader="dot" w:pos="9071"/>
      </w:tabs>
      <w:ind w:left="1701"/>
    </w:pPr>
  </w:style>
  <w:style w:type="paragraph" w:customStyle="1" w:styleId="ListAlpha">
    <w:name w:val="List Alpha"/>
    <w:basedOn w:val="List"/>
    <w:rsid w:val="00B51C0C"/>
    <w:pPr>
      <w:numPr>
        <w:numId w:val="10"/>
      </w:numPr>
    </w:pPr>
  </w:style>
  <w:style w:type="paragraph" w:customStyle="1" w:styleId="ListAlpha2">
    <w:name w:val="List Alpha 2"/>
    <w:basedOn w:val="List2"/>
    <w:rsid w:val="00B51C0C"/>
    <w:pPr>
      <w:numPr>
        <w:numId w:val="9"/>
      </w:numPr>
    </w:pPr>
  </w:style>
  <w:style w:type="paragraph" w:styleId="List2">
    <w:name w:val="List 2"/>
    <w:basedOn w:val="BodyText"/>
    <w:rsid w:val="00B51C0C"/>
    <w:pPr>
      <w:tabs>
        <w:tab w:val="left" w:pos="680"/>
      </w:tabs>
      <w:spacing w:before="60" w:after="60"/>
      <w:ind w:left="680" w:hanging="340"/>
    </w:pPr>
  </w:style>
  <w:style w:type="paragraph" w:styleId="List3">
    <w:name w:val="List 3"/>
    <w:basedOn w:val="BodyText"/>
    <w:rsid w:val="00B51C0C"/>
    <w:pPr>
      <w:tabs>
        <w:tab w:val="left" w:pos="1021"/>
      </w:tabs>
      <w:spacing w:before="60" w:after="60"/>
      <w:ind w:left="1020" w:hanging="340"/>
    </w:pPr>
  </w:style>
  <w:style w:type="paragraph" w:styleId="List4">
    <w:name w:val="List 4"/>
    <w:basedOn w:val="BodyText"/>
    <w:rsid w:val="00B51C0C"/>
    <w:pPr>
      <w:tabs>
        <w:tab w:val="left" w:pos="1361"/>
      </w:tabs>
      <w:spacing w:before="60" w:after="60"/>
      <w:ind w:left="1361" w:hanging="340"/>
    </w:pPr>
  </w:style>
  <w:style w:type="paragraph" w:styleId="List5">
    <w:name w:val="List 5"/>
    <w:basedOn w:val="BodyText"/>
    <w:rsid w:val="00B51C0C"/>
    <w:pPr>
      <w:tabs>
        <w:tab w:val="left" w:pos="1701"/>
      </w:tabs>
      <w:spacing w:before="60" w:after="60"/>
      <w:ind w:left="1701" w:hanging="340"/>
    </w:pPr>
  </w:style>
  <w:style w:type="paragraph" w:styleId="ListBullet4">
    <w:name w:val="List Bullet 4"/>
    <w:basedOn w:val="List4"/>
    <w:rsid w:val="00B51C0C"/>
    <w:pPr>
      <w:numPr>
        <w:numId w:val="4"/>
      </w:numPr>
    </w:pPr>
  </w:style>
  <w:style w:type="paragraph" w:styleId="ListBullet5">
    <w:name w:val="List Bullet 5"/>
    <w:basedOn w:val="List5"/>
    <w:rsid w:val="00B51C0C"/>
    <w:pPr>
      <w:numPr>
        <w:numId w:val="5"/>
      </w:numPr>
    </w:pPr>
  </w:style>
  <w:style w:type="paragraph" w:styleId="ListContinue2">
    <w:name w:val="List Continue 2"/>
    <w:basedOn w:val="List2"/>
    <w:rsid w:val="00B51C0C"/>
    <w:pPr>
      <w:ind w:firstLine="0"/>
    </w:pPr>
  </w:style>
  <w:style w:type="paragraph" w:styleId="ListContinue3">
    <w:name w:val="List Continue 3"/>
    <w:basedOn w:val="List3"/>
    <w:rsid w:val="00B51C0C"/>
    <w:pPr>
      <w:ind w:left="1021" w:firstLine="0"/>
    </w:pPr>
  </w:style>
  <w:style w:type="paragraph" w:styleId="ListContinue4">
    <w:name w:val="List Continue 4"/>
    <w:basedOn w:val="List4"/>
    <w:rsid w:val="00B51C0C"/>
    <w:pPr>
      <w:ind w:firstLine="0"/>
    </w:pPr>
  </w:style>
  <w:style w:type="paragraph" w:styleId="ListContinue5">
    <w:name w:val="List Continue 5"/>
    <w:basedOn w:val="List5"/>
    <w:rsid w:val="00B51C0C"/>
    <w:pPr>
      <w:ind w:firstLine="0"/>
    </w:pPr>
  </w:style>
  <w:style w:type="paragraph" w:styleId="ListNumber3">
    <w:name w:val="List Number 3"/>
    <w:basedOn w:val="List3"/>
    <w:rsid w:val="00B51C0C"/>
    <w:pPr>
      <w:numPr>
        <w:numId w:val="6"/>
      </w:numPr>
    </w:pPr>
  </w:style>
  <w:style w:type="paragraph" w:styleId="ListNumber4">
    <w:name w:val="List Number 4"/>
    <w:basedOn w:val="List4"/>
    <w:rsid w:val="00B51C0C"/>
    <w:pPr>
      <w:numPr>
        <w:numId w:val="7"/>
      </w:numPr>
    </w:pPr>
  </w:style>
  <w:style w:type="paragraph" w:styleId="ListNumber5">
    <w:name w:val="List Number 5"/>
    <w:basedOn w:val="List5"/>
    <w:rsid w:val="00B51C0C"/>
    <w:pPr>
      <w:numPr>
        <w:numId w:val="8"/>
      </w:numPr>
    </w:pPr>
  </w:style>
  <w:style w:type="paragraph" w:styleId="BlockText">
    <w:name w:val="Block Text"/>
    <w:basedOn w:val="Normal"/>
    <w:rsid w:val="00B51C0C"/>
    <w:pPr>
      <w:spacing w:after="120"/>
      <w:ind w:left="1440" w:right="1440"/>
    </w:pPr>
  </w:style>
  <w:style w:type="character" w:customStyle="1" w:styleId="Subscript">
    <w:name w:val="Subscript"/>
    <w:rsid w:val="00B51C0C"/>
    <w:rPr>
      <w:sz w:val="16"/>
      <w:vertAlign w:val="subscript"/>
    </w:rPr>
  </w:style>
  <w:style w:type="character" w:customStyle="1" w:styleId="Superscript">
    <w:name w:val="Superscript"/>
    <w:rsid w:val="00B51C0C"/>
    <w:rPr>
      <w:sz w:val="16"/>
      <w:vertAlign w:val="superscript"/>
    </w:rPr>
  </w:style>
  <w:style w:type="character" w:customStyle="1" w:styleId="Symbols">
    <w:name w:val="Symbols"/>
    <w:rsid w:val="00B51C0C"/>
    <w:rPr>
      <w:rFonts w:ascii="Symbol" w:hAnsi="Symbol"/>
    </w:rPr>
  </w:style>
  <w:style w:type="character" w:customStyle="1" w:styleId="MenuOptions">
    <w:name w:val="Menu Options"/>
    <w:rsid w:val="00B51C0C"/>
    <w:rPr>
      <w:rFonts w:ascii="Arial Narrow" w:hAnsi="Arial Narrow"/>
      <w:smallCaps/>
    </w:rPr>
  </w:style>
  <w:style w:type="character" w:customStyle="1" w:styleId="Buttons">
    <w:name w:val="Buttons"/>
    <w:rsid w:val="00B51C0C"/>
    <w:rPr>
      <w:b/>
    </w:rPr>
  </w:style>
  <w:style w:type="character" w:customStyle="1" w:styleId="Underlined">
    <w:name w:val="Underlined"/>
    <w:rsid w:val="00B51C0C"/>
    <w:rPr>
      <w:u w:val="single"/>
    </w:rPr>
  </w:style>
  <w:style w:type="paragraph" w:customStyle="1" w:styleId="TableBodyTextRight">
    <w:name w:val="Table Body Text Right"/>
    <w:basedOn w:val="TableBodyText"/>
    <w:rsid w:val="00B51C0C"/>
    <w:pPr>
      <w:widowControl w:val="0"/>
      <w:autoSpaceDE w:val="0"/>
      <w:autoSpaceDN w:val="0"/>
      <w:adjustRightInd w:val="0"/>
      <w:jc w:val="right"/>
    </w:pPr>
    <w:rPr>
      <w:rFonts w:cs="Arial"/>
      <w:szCs w:val="18"/>
    </w:rPr>
  </w:style>
  <w:style w:type="paragraph" w:customStyle="1" w:styleId="CopyrightText">
    <w:name w:val="Copyright Text"/>
    <w:basedOn w:val="BodyText"/>
    <w:rsid w:val="00B51C0C"/>
    <w:rPr>
      <w:sz w:val="18"/>
    </w:rPr>
  </w:style>
  <w:style w:type="paragraph" w:customStyle="1" w:styleId="BodySmallRight">
    <w:name w:val="Body Small Right"/>
    <w:basedOn w:val="BodyTextRight"/>
    <w:rsid w:val="00B51C0C"/>
    <w:rPr>
      <w:sz w:val="18"/>
      <w:szCs w:val="18"/>
    </w:rPr>
  </w:style>
  <w:style w:type="paragraph" w:customStyle="1" w:styleId="MarginEdition">
    <w:name w:val="Margin Edition"/>
    <w:basedOn w:val="MarginNote"/>
    <w:rsid w:val="00B51C0C"/>
    <w:pPr>
      <w:spacing w:before="0" w:after="0"/>
    </w:pPr>
    <w:rPr>
      <w:rFonts w:ascii="Times New Roman" w:hAnsi="Times New Roman"/>
      <w:color w:val="999999"/>
    </w:rPr>
  </w:style>
  <w:style w:type="paragraph" w:customStyle="1" w:styleId="Spacer">
    <w:name w:val="Spacer"/>
    <w:basedOn w:val="Normal"/>
    <w:rsid w:val="00B51C0C"/>
    <w:rPr>
      <w:sz w:val="2"/>
      <w:szCs w:val="2"/>
    </w:rPr>
  </w:style>
  <w:style w:type="character" w:customStyle="1" w:styleId="Small">
    <w:name w:val="Small"/>
    <w:rsid w:val="00B51C0C"/>
    <w:rPr>
      <w:sz w:val="16"/>
    </w:rPr>
  </w:style>
  <w:style w:type="paragraph" w:customStyle="1" w:styleId="WideTable">
    <w:name w:val="Wide Table"/>
    <w:basedOn w:val="Normal"/>
    <w:rsid w:val="00B51C0C"/>
    <w:pPr>
      <w:ind w:left="-1418"/>
    </w:pPr>
    <w:rPr>
      <w:sz w:val="2"/>
      <w:szCs w:val="2"/>
    </w:rPr>
  </w:style>
  <w:style w:type="character" w:styleId="PageNumber">
    <w:name w:val="page number"/>
    <w:rsid w:val="00B51C0C"/>
  </w:style>
  <w:style w:type="paragraph" w:styleId="Quote">
    <w:name w:val="Quote"/>
    <w:basedOn w:val="Heading1"/>
    <w:link w:val="QuoteChar"/>
    <w:qFormat/>
    <w:rsid w:val="00B51C0C"/>
    <w:rPr>
      <w:b w:val="0"/>
      <w:sz w:val="72"/>
      <w:szCs w:val="72"/>
      <w:lang w:val="en-NZ"/>
    </w:rPr>
  </w:style>
  <w:style w:type="character" w:customStyle="1" w:styleId="QuoteChar">
    <w:name w:val="Quote Char"/>
    <w:link w:val="Quote"/>
    <w:rsid w:val="00B51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C0C"/>
    <w:pPr>
      <w:pageBreakBefore/>
    </w:pPr>
  </w:style>
  <w:style w:type="paragraph" w:customStyle="1" w:styleId="Border">
    <w:name w:val="Border"/>
    <w:basedOn w:val="Normal"/>
    <w:qFormat/>
    <w:rsid w:val="00B51C0C"/>
    <w:pPr>
      <w:pBdr>
        <w:top w:val="single" w:sz="18" w:space="1" w:color="auto"/>
      </w:pBdr>
    </w:pPr>
    <w:rPr>
      <w:rFonts w:ascii="Times New Roman" w:hAnsi="Times New Roman"/>
      <w:color w:val="FFFFFF"/>
      <w:sz w:val="2"/>
    </w:rPr>
  </w:style>
  <w:style w:type="character" w:styleId="IntenseEmphasis">
    <w:name w:val="Intense Emphasis"/>
    <w:uiPriority w:val="21"/>
    <w:qFormat/>
    <w:rsid w:val="00B51C0C"/>
    <w:rPr>
      <w:b/>
      <w:bCs/>
      <w:i/>
      <w:iCs/>
      <w:color w:val="auto"/>
    </w:rPr>
  </w:style>
  <w:style w:type="paragraph" w:styleId="IntenseQuote">
    <w:name w:val="Intense Quote"/>
    <w:basedOn w:val="Normal"/>
    <w:next w:val="Normal"/>
    <w:link w:val="IntenseQuoteChar"/>
    <w:uiPriority w:val="30"/>
    <w:qFormat/>
    <w:rsid w:val="00B51C0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51C0C"/>
    <w:rPr>
      <w:rFonts w:ascii="Courier New" w:eastAsia="Times New Roman" w:hAnsi="Courier New" w:cs="Times New Roman"/>
      <w:b/>
      <w:bCs/>
      <w:i/>
      <w:iCs/>
      <w:szCs w:val="20"/>
      <w:lang w:val="en-US" w:eastAsia="en-US"/>
    </w:rPr>
  </w:style>
  <w:style w:type="character" w:styleId="SubtleReference">
    <w:name w:val="Subtle Reference"/>
    <w:uiPriority w:val="31"/>
    <w:qFormat/>
    <w:rsid w:val="00B51C0C"/>
    <w:rPr>
      <w:smallCaps/>
      <w:color w:val="auto"/>
      <w:u w:val="single"/>
    </w:rPr>
  </w:style>
  <w:style w:type="character" w:styleId="IntenseReference">
    <w:name w:val="Intense Reference"/>
    <w:uiPriority w:val="32"/>
    <w:qFormat/>
    <w:rsid w:val="00B51C0C"/>
    <w:rPr>
      <w:b/>
      <w:bCs/>
      <w:smallCaps/>
      <w:color w:val="auto"/>
      <w:spacing w:val="5"/>
      <w:u w:val="single"/>
    </w:rPr>
  </w:style>
  <w:style w:type="paragraph" w:customStyle="1" w:styleId="2ColumnHeading">
    <w:name w:val="2Column Heading"/>
    <w:basedOn w:val="BodyText"/>
    <w:qFormat/>
    <w:rsid w:val="00B51C0C"/>
    <w:pPr>
      <w:spacing w:after="60"/>
      <w:ind w:left="-2268"/>
    </w:pPr>
    <w:rPr>
      <w:b/>
    </w:rPr>
  </w:style>
  <w:style w:type="paragraph" w:customStyle="1" w:styleId="Heading1TOC">
    <w:name w:val="Heading1 TOC"/>
    <w:basedOn w:val="Normal"/>
    <w:qFormat/>
    <w:rsid w:val="00B51C0C"/>
    <w:pPr>
      <w:spacing w:before="240" w:after="120"/>
    </w:pPr>
    <w:rPr>
      <w:rFonts w:ascii="Times New Roman" w:hAnsi="Times New Roman"/>
      <w:b/>
      <w:sz w:val="32"/>
    </w:rPr>
  </w:style>
  <w:style w:type="paragraph" w:customStyle="1" w:styleId="Heading2TOC">
    <w:name w:val="Heading2 TOC"/>
    <w:basedOn w:val="Normal"/>
    <w:qFormat/>
    <w:rsid w:val="00B51C0C"/>
    <w:pPr>
      <w:spacing w:before="240" w:after="60"/>
    </w:pPr>
    <w:rPr>
      <w:rFonts w:ascii="Times New Roman" w:hAnsi="Times New Roman"/>
      <w:b/>
      <w:sz w:val="28"/>
    </w:rPr>
  </w:style>
  <w:style w:type="character" w:customStyle="1" w:styleId="Underline">
    <w:name w:val="Underline"/>
    <w:qFormat/>
    <w:rsid w:val="00B51C0C"/>
    <w:rPr>
      <w:u w:val="single"/>
    </w:rPr>
  </w:style>
  <w:style w:type="character" w:customStyle="1" w:styleId="BoldandItalics">
    <w:name w:val="Bold and Italics"/>
    <w:qFormat/>
    <w:rsid w:val="00B51C0C"/>
    <w:rPr>
      <w:b/>
      <w:i/>
      <w:u w:val="none"/>
    </w:rPr>
  </w:style>
  <w:style w:type="paragraph" w:styleId="BalloonText">
    <w:name w:val="Balloon Text"/>
    <w:basedOn w:val="Normal"/>
    <w:link w:val="BalloonTextChar"/>
    <w:rsid w:val="00B51C0C"/>
    <w:rPr>
      <w:rFonts w:ascii="Tahoma" w:hAnsi="Tahoma" w:cs="Tahoma"/>
      <w:sz w:val="16"/>
      <w:szCs w:val="16"/>
    </w:rPr>
  </w:style>
  <w:style w:type="character" w:customStyle="1" w:styleId="BalloonTextChar">
    <w:name w:val="Balloon Text Char"/>
    <w:link w:val="BalloonText"/>
    <w:rsid w:val="00B51C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1C0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51C0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2442</Words>
  <Characters>15563</Characters>
  <Application>Microsoft Office Word</Application>
  <DocSecurity>0</DocSecurity>
  <Lines>663</Lines>
  <Paragraphs>263</Paragraphs>
  <ScaleCrop>false</ScaleCrop>
  <Company>Author-it Software Corporation Ltd.</Company>
  <LinksUpToDate>false</LinksUpToDate>
  <CharactersWithSpaces>17799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UETTDRSB36A Commission discrete control and protection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