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08B" w:rsidP="0080208B">
      <w:pPr>
        <w:pStyle w:val="Title"/>
      </w:pPr>
      <w:r>
        <w:fldChar w:fldCharType="begin"/>
      </w:r>
      <w:r>
        <w:instrText xml:space="preserve"> TITLE   \* MERGEFORMAT </w:instrText>
      </w:r>
      <w:r>
        <w:fldChar w:fldCharType="separate"/>
      </w:r>
      <w:r>
        <w:t>UETTDRSB35A Maintain discrete control and protection systems</w:t>
      </w:r>
      <w:r>
        <w:fldChar w:fldCharType="end"/>
      </w:r>
    </w:p>
    <w:p w:rsidR="0080208B" w:rsidP="0080208B">
      <w:pPr>
        <w:pStyle w:val="Version"/>
        <w:sectPr w:rsidSect="00745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C3F" w:rsidP="00745C3F">
      <w:pPr>
        <w:pStyle w:val="SuperHeading"/>
      </w:pPr>
      <w:r w:rsidRPr="00745C3F">
        <w:t>UETTDRSB35A Maintain discrete control and protection systems</w:t>
      </w:r>
    </w:p>
    <w:p w:rsidR="00000000" w:rsidRPr="00745C3F" w:rsidP="00745C3F">
      <w:pPr>
        <w:pStyle w:val="Heading1"/>
      </w:pPr>
      <w:bookmarkStart w:id="1" w:name="O_459818"/>
      <w:bookmarkEnd w:id="1"/>
      <w:r w:rsidRPr="00745C3F">
        <w:t>Modification History</w:t>
      </w:r>
    </w:p>
    <w:p w:rsidR="00000000" w:rsidRPr="00745C3F" w:rsidP="00745C3F">
      <w:pPr>
        <w:pStyle w:val="BodyText"/>
      </w:pPr>
      <w:r w:rsidRPr="00745C3F">
        <w:t>Not applicable.</w:t>
      </w:r>
    </w:p>
    <w:p w:rsidR="00000000" w:rsidRPr="00745C3F" w:rsidP="00745C3F">
      <w:pPr>
        <w:pStyle w:val="AllowPageBreak"/>
      </w:pPr>
    </w:p>
    <w:p w:rsidR="00000000" w:rsidRPr="00745C3F" w:rsidP="00745C3F">
      <w:pPr>
        <w:pStyle w:val="Heading1"/>
      </w:pPr>
      <w:bookmarkStart w:id="2" w:name="O_459816"/>
      <w:bookmarkEnd w:id="2"/>
      <w:r w:rsidRPr="00745C3F">
        <w:t>Unit Descriptor</w:t>
      </w:r>
    </w:p>
    <w:tbl>
      <w:tblPr>
        <w:tblW w:w="0" w:type="auto"/>
        <w:tblLayout w:type="fixed"/>
        <w:tblCellMar>
          <w:left w:w="62" w:type="dxa"/>
          <w:right w:w="62" w:type="dxa"/>
        </w:tblCellMar>
        <w:tblLook w:val="0000"/>
      </w:tblPr>
      <w:tblGrid>
        <w:gridCol w:w="2700"/>
        <w:gridCol w:w="5760"/>
      </w:tblGrid>
      <w:tr w:rsidTr="008020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1)</w:t>
            </w:r>
            <w:r w:rsidRPr="00745C3F">
              <w:t xml:space="preserve"> </w:t>
            </w:r>
            <w:r w:rsidRPr="00745C3F">
              <w:rPr>
                <w:rStyle w:val="SpecialBold"/>
              </w:rPr>
              <w:t>Scope:</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5C3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1.1) Descriptor</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This Competency Standard Unit covers the isolation, inspection, testing, adjustment,  repair, refurbishment and/or overhaul and functional checks of discrete protection and control devices. It includes the requirements to prove the functionality of discret</w:t>
            </w:r>
            <w:r w:rsidRPr="00745C3F">
              <w:t>e devices such as DC supplies, overcurrent, overload, earth fault, transformer temperature controls, alarms and indication circuits.</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3" w:name="O_459805"/>
      <w:bookmarkEnd w:id="3"/>
      <w:r w:rsidRPr="00745C3F">
        <w:t>Application of the Unit</w:t>
      </w:r>
    </w:p>
    <w:tbl>
      <w:tblPr>
        <w:tblW w:w="0" w:type="auto"/>
        <w:tblLayout w:type="fixed"/>
        <w:tblCellMar>
          <w:left w:w="62" w:type="dxa"/>
          <w:right w:w="62" w:type="dxa"/>
        </w:tblCellMar>
        <w:tblLook w:val="0000"/>
      </w:tblPr>
      <w:tblGrid>
        <w:gridCol w:w="2672"/>
        <w:gridCol w:w="5699"/>
      </w:tblGrid>
      <w:tr w:rsidTr="0080208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2)</w:t>
            </w:r>
          </w:p>
        </w:tc>
      </w:tr>
      <w:tr w:rsidTr="0080208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This Competency Standard Unit is intended to augment formally acquired competencies. It is suitable for employment-based programs under an approved contract of training.</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4" w:name="O_459812"/>
      <w:bookmarkEnd w:id="4"/>
      <w:r w:rsidRPr="00745C3F">
        <w:t>Licensing/Regulatory Information</w:t>
      </w:r>
    </w:p>
    <w:tbl>
      <w:tblPr>
        <w:tblW w:w="0" w:type="auto"/>
        <w:tblLayout w:type="fixed"/>
        <w:tblCellMar>
          <w:left w:w="62" w:type="dxa"/>
          <w:right w:w="62" w:type="dxa"/>
        </w:tblCellMar>
        <w:tblLook w:val="0000"/>
      </w:tblPr>
      <w:tblGrid>
        <w:gridCol w:w="2700"/>
        <w:gridCol w:w="5760"/>
      </w:tblGrid>
      <w:tr w:rsidTr="008020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 xml:space="preserve">3) </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The skil</w:t>
            </w:r>
            <w:r w:rsidRPr="00745C3F">
              <w:t>ls and knowledge described in this unit requires a licence/registration to practice in the work place subject to regulations for undertaking of electrical work. Practice in workplace and during training is also subject to regulations directly related to Oc</w:t>
            </w:r>
            <w:r w:rsidRPr="00745C3F">
              <w:t xml:space="preserve">cupational Health and Safety, electricity/telecommunications/gas/water industry safety and compliance, industrial relations, environmental </w:t>
            </w:r>
            <w:r w:rsidRPr="00745C3F">
              <w:t>protection, anti discrimination and training. Commonwealth, State/Territory or Local Government legislation and regul</w:t>
            </w:r>
            <w:r w:rsidRPr="00745C3F">
              <w:t>ations may exist that limits the age of operating certain equipment.</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5" w:name="O_459813"/>
      <w:bookmarkEnd w:id="5"/>
      <w:r w:rsidRPr="00745C3F">
        <w:t>Pre-Requisites</w:t>
      </w:r>
    </w:p>
    <w:tbl>
      <w:tblPr>
        <w:tblW w:w="0" w:type="auto"/>
        <w:tblLayout w:type="fixed"/>
        <w:tblCellMar>
          <w:left w:w="62" w:type="dxa"/>
          <w:right w:w="62" w:type="dxa"/>
        </w:tblCellMar>
        <w:tblLook w:val="0000"/>
      </w:tblPr>
      <w:tblGrid>
        <w:gridCol w:w="2700"/>
        <w:gridCol w:w="1980"/>
        <w:gridCol w:w="3780"/>
      </w:tblGrid>
      <w:tr w:rsidTr="008020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 xml:space="preserve">4) </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4.1)</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Granting of competency in this unit shall be made only after competency in the following unit(s) has/have been confirmed.</w:t>
            </w:r>
          </w:p>
          <w:p w:rsidR="00000000" w:rsidRPr="00745C3F" w:rsidP="00745C3F">
            <w:pPr>
              <w:pStyle w:val="BodyText"/>
            </w:pPr>
            <w:r w:rsidRPr="00745C3F">
              <w:t xml:space="preserve">Where pre-requisite pathways have been identified. All competencies in the Common Unit Group must be have been completed plus all the </w:t>
            </w:r>
            <w:r w:rsidRPr="00745C3F">
              <w:t>competencies in one (1) of the identified Pathway Unit Group(s):</w:t>
            </w:r>
          </w:p>
          <w:p w:rsidR="00000000" w:rsidP="00745C3F">
            <w:pPr>
              <w:pStyle w:val="BodyText"/>
              <w:rPr>
                <w:lang w:val="en-NZ"/>
              </w:rPr>
            </w:pPr>
            <w:r w:rsidRPr="00745C3F">
              <w:t>Common Unit Group</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Unit Code</w:t>
            </w:r>
            <w:r w:rsidRPr="00745C3F">
              <w:tab/>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Unit Title</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Apply Occupational Health and Safety regulations, codes and practices in the workplace</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Fabricate, assemble and dismantle utilities industry components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Solve problems in d.c.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Fix and secure electrotechnology equipment</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Use drawings, diagrams, schedules, standards, codes and specifications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w:t>
            </w:r>
            <w:r w:rsidRPr="00745C3F">
              <w:t>ENEEE137A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Document and apply measures to control OHS risks associated with electrotechnology work</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Solve problems in single and three phase low voltage machines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Solve problems in single and three phase electrical apparatus and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Arrange circuits, control and protection for general electrical installations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Solve problems in electromagnetic devices and related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UEENEEG102</w:t>
            </w:r>
            <w:r w:rsidRPr="00745C3F">
              <w:t>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Solve problems in electromagnetic devices and related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Terminate cables, cords and accessories for low voltage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Trouble-shoot and repair faults in low voltage electrical apparatus and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Develop and connect electrical control circuits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Apply environmentally and sustainable energy procedures in the energy sector</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Pathway 1 - Electrician</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Install low voltage wiring and accessories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Install appliances, switchgear and associated accessories for low voltage electrical installations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Verify compliance and functionality of low voltage general electrical installations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Select wiring systems and cables for low volt</w:t>
            </w:r>
            <w:r w:rsidRPr="00745C3F">
              <w:t>age general electrical installations</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Pathway 2 – Electrical Fitter</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745C3F">
            <w:pPr>
              <w:pStyle w:val="BodyText"/>
              <w:rPr>
                <w:lang w:val="en-NZ"/>
              </w:rPr>
            </w:pPr>
            <w:r w:rsidRPr="00745C3F">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745C3F" w:rsidP="00745C3F">
            <w:pPr>
              <w:pStyle w:val="BodyText"/>
            </w:pPr>
            <w:r w:rsidRPr="00745C3F">
              <w:t>Conduct compliance and functional verification of electrical apparatus and existing circuits</w:t>
            </w:r>
          </w:p>
        </w:tc>
      </w:tr>
    </w:tbl>
    <w:p w:rsidR="00000000" w:rsidRPr="00745C3F" w:rsidP="00745C3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0208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 xml:space="preserve">4.2) </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Participants are best equipped to achieve this unit if they have reading, writing and numeracy skills indicated by the following scales. Description of each scale is given in Volume 2, Part 3 “Literacy and Numeracy”</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Reading</w:t>
            </w:r>
          </w:p>
        </w:tc>
        <w:tc>
          <w:tcPr>
            <w:tcW w:w="81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4</w:t>
            </w:r>
          </w:p>
        </w:tc>
        <w:tc>
          <w:tcPr>
            <w:tcW w:w="99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Writing</w:t>
            </w:r>
          </w:p>
        </w:tc>
        <w:tc>
          <w:tcPr>
            <w:tcW w:w="90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4</w:t>
            </w:r>
          </w:p>
        </w:tc>
        <w:tc>
          <w:tcPr>
            <w:tcW w:w="12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Numeracy</w:t>
            </w:r>
          </w:p>
        </w:tc>
        <w:tc>
          <w:tcPr>
            <w:tcW w:w="72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4</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6" w:name="O_459809"/>
      <w:bookmarkEnd w:id="6"/>
      <w:r w:rsidRPr="00745C3F">
        <w:t>Employability Skills Information</w:t>
      </w:r>
    </w:p>
    <w:tbl>
      <w:tblPr>
        <w:tblW w:w="0" w:type="auto"/>
        <w:tblLayout w:type="fixed"/>
        <w:tblCellMar>
          <w:left w:w="62" w:type="dxa"/>
          <w:right w:w="62" w:type="dxa"/>
        </w:tblCellMar>
        <w:tblLook w:val="0000"/>
      </w:tblPr>
      <w:tblGrid>
        <w:gridCol w:w="2700"/>
        <w:gridCol w:w="5760"/>
      </w:tblGrid>
      <w:tr w:rsidTr="008020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 xml:space="preserve">5) </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The required outcomes described in this unit of competency contain applicable facets of Employability Skills. The Employability Skills Summary of the qualification in which this u</w:t>
            </w:r>
            <w:r w:rsidRPr="00745C3F">
              <w:t>nit of competency is packaged will assist in identifying Employability Skill requirements.</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7" w:name="O_459808"/>
      <w:bookmarkEnd w:id="7"/>
      <w:r w:rsidRPr="00745C3F">
        <w:t>Elements and Performance Criteria Pre-Content</w:t>
      </w:r>
    </w:p>
    <w:tbl>
      <w:tblPr>
        <w:tblW w:w="0" w:type="auto"/>
        <w:tblLayout w:type="fixed"/>
        <w:tblCellMar>
          <w:left w:w="62" w:type="dxa"/>
          <w:right w:w="62" w:type="dxa"/>
        </w:tblCellMar>
        <w:tblLook w:val="0000"/>
      </w:tblPr>
      <w:tblGrid>
        <w:gridCol w:w="2700"/>
        <w:gridCol w:w="5760"/>
      </w:tblGrid>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6)</w:t>
            </w:r>
            <w:r w:rsidRPr="00745C3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Performance Criteria describe the required performance needed to demonstrate achievement of the element. Assessment of performance is to be consistent with the Evidence Guide.</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8" w:name="O_459807"/>
      <w:bookmarkEnd w:id="8"/>
      <w:r w:rsidRPr="00745C3F">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8020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PERFORMANCE CRITER</w:t>
            </w:r>
            <w:r w:rsidRPr="00745C3F">
              <w:rPr>
                <w:rStyle w:val="SpecialBold"/>
              </w:rPr>
              <w:t>IA</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w:t>
            </w:r>
          </w:p>
        </w:tc>
        <w:tc>
          <w:tcPr>
            <w:tcW w:w="229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Plan for the maintenance of discrete protection and control devices</w:t>
            </w: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1.1</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Work schedules including drawings, plans, requirements procedures and material lists are acquired, analysed and the extent of work determined.</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1.2</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Relevant requirements and established procedures for the work are communicated to all personnel and identified for all work sites.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1.3</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Hazards are identified, OHS risks assessed and control measures are prioritised, implemented and monitored including e</w:t>
            </w:r>
            <w:r w:rsidRPr="00745C3F">
              <w:t>mergency exits kept clear, to ensure safe systems of work are followed and according to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1.4</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Work is prioritised and sequenced for the most efficient and effective outcome following consultation with others for completion within acceptable timeframes, to agreed quality standards and in accordance with established policies and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1.5</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Ri</w:t>
            </w:r>
            <w:r w:rsidRPr="00745C3F">
              <w:t>sk control measures are identified, prioritised, implemented and evaluated against the work schedule.</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1.6</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Resources including personnel, equipment, tools and personal protective equipment required for the job are identified, acquired and confirmed in sa</w:t>
            </w:r>
            <w:r w:rsidRPr="00745C3F">
              <w:t>fe/technical working order.</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1.7</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Liaison issues with other personnel and/or authorities are resolved and activities coordinated to facilitate the work.</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1.8</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Personnel participating in the work including plant operators and contractors are fully briefed, their respective responsibilities explained and coordinated and appropriate authorisation checked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1.9</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Work site i</w:t>
            </w:r>
            <w:r w:rsidRPr="00745C3F">
              <w:t>s prepared according to the work schedule and to minimise risk and damage to property and personnel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w:t>
            </w:r>
          </w:p>
        </w:tc>
        <w:tc>
          <w:tcPr>
            <w:tcW w:w="229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Carry out the maintenance of discrete protection and control devices</w:t>
            </w: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2.1</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OHS and sustainable energy principles</w:t>
            </w:r>
            <w:r w:rsidRPr="00745C3F">
              <w:t xml:space="preserve"> and practices to reduce the incidence of accidents and minimise waste are implemented and monitored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2.2</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 xml:space="preserve">CPR, Rescue from live electrical apparatus and other related safety procedures are in place according to </w:t>
            </w:r>
            <w:r w:rsidRPr="00745C3F">
              <w:t>requirements and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2.3</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Safe working documentation is acquired and requirements completed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2.4</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Lifting, use of power tools/equipment techniques and practices are safely exercised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2.5</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Hazard warnings and safety signs are recognised and hazards and assessed OHS risks are reported to the immediate authorise</w:t>
            </w:r>
            <w:r w:rsidRPr="00745C3F">
              <w:t>d persons for directions according to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2.6</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Maintenance of discrete protection and control devices is undertaken according to requirements and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2.7</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Data is analysed and compared with compliance specificati</w:t>
            </w:r>
            <w:r w:rsidRPr="00745C3F">
              <w:t>ons to ensure completion of the maintenance work is within an agreed timeframe and according to requirements.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2.8</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 xml:space="preserve">Essential knowledge and associated skills are applied for the safe maintenance of discrete protection and control devices to ensure completion in an agreed timeframe and to quality standards with a minimum of waste according to requirements. </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2.9</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Unplan</w:t>
            </w:r>
            <w:r w:rsidRPr="00745C3F">
              <w:t>ned events or conditions are responded to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w:t>
            </w:r>
          </w:p>
        </w:tc>
        <w:tc>
          <w:tcPr>
            <w:tcW w:w="229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Complete the maintenance of discrete protection and control devices</w:t>
            </w: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3.1</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 xml:space="preserve">Final inspections of discrete protection and control devices are undertaken and checked against </w:t>
            </w:r>
            <w:r w:rsidRPr="00745C3F">
              <w:t>the work schedule to ensure they comply with all requirements including all required documentation.</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3.2</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Anomalies between the work schedule requirements and measured performance are reported and solutions identified in accordance with established proced</w:t>
            </w:r>
            <w:r w:rsidRPr="00745C3F">
              <w:t>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3.3</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Safe working documentation is surrendered and transformer made ready for service.</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3.4</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Work site is rehabilitated, cleaned up and confirmed safe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3.5</w:t>
            </w:r>
          </w:p>
        </w:tc>
        <w:tc>
          <w:tcPr>
            <w:tcW w:w="4909"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Tools, equipment and any surplus resources and materials are cleaned, checked and returned to storage in accordance with established procedures.</w:t>
            </w:r>
          </w:p>
        </w:tc>
      </w:tr>
      <w:tr w:rsidTr="0080208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t>3.6</w:t>
            </w:r>
          </w:p>
        </w:tc>
        <w:tc>
          <w:tcPr>
            <w:tcW w:w="4909"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Required works completion records, reports and/or documentation and information are completed, processed</w:t>
            </w:r>
            <w:r w:rsidRPr="00745C3F">
              <w:t xml:space="preserve"> and appropriate personnel notified in accordance with established procedures.</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9" w:name="O_459815"/>
      <w:bookmarkEnd w:id="9"/>
      <w:r w:rsidRPr="00745C3F">
        <w:t>Required Skills and Knowledge</w:t>
      </w:r>
    </w:p>
    <w:tbl>
      <w:tblPr>
        <w:tblW w:w="0" w:type="auto"/>
        <w:tblLayout w:type="fixed"/>
        <w:tblCellMar>
          <w:left w:w="62" w:type="dxa"/>
          <w:right w:w="62" w:type="dxa"/>
        </w:tblCellMar>
        <w:tblLook w:val="0000"/>
      </w:tblPr>
      <w:tblGrid>
        <w:gridCol w:w="8460"/>
      </w:tblGrid>
      <w:tr w:rsidTr="008020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REQUIRED SKILLS AND KNOWLEDGE</w:t>
            </w:r>
          </w:p>
        </w:tc>
      </w:tr>
      <w:tr w:rsidTr="0080208B">
        <w:tblPrEx>
          <w:tblW w:w="0" w:type="auto"/>
          <w:tblLayout w:type="fixed"/>
          <w:tblCellMar>
            <w:left w:w="62" w:type="dxa"/>
            <w:right w:w="62" w:type="dxa"/>
          </w:tblCellMar>
          <w:tblLook w:val="0000"/>
        </w:tblPrEx>
        <w:trPr>
          <w:trHeight w:val="17069"/>
        </w:trPr>
        <w:tc>
          <w:tcPr>
            <w:tcW w:w="84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8)</w:t>
            </w:r>
            <w:r w:rsidRPr="00745C3F">
              <w:t xml:space="preserve"> Essential Knowledge and Associated Skills (EKAS): This describes the essential skills and knowledge and their level, required for this unit.</w:t>
            </w:r>
          </w:p>
          <w:p w:rsidR="00000000" w:rsidRPr="00745C3F" w:rsidP="00745C3F">
            <w:pPr>
              <w:pStyle w:val="BodyText"/>
            </w:pPr>
            <w:r w:rsidRPr="00745C3F">
              <w:t>Evidence shall show that knowledge has been acquired of maintaining discrete protection and control devices.</w:t>
            </w:r>
          </w:p>
          <w:p w:rsidR="00000000" w:rsidRPr="00745C3F" w:rsidP="00745C3F">
            <w:pPr>
              <w:pStyle w:val="BodyText"/>
            </w:pPr>
            <w:r w:rsidRPr="00745C3F">
              <w:t>All k</w:t>
            </w:r>
            <w:r w:rsidRPr="00745C3F">
              <w:t>nowledge and skills detailed in this unit should be contextualised to current industry practices and technologies.</w:t>
            </w:r>
          </w:p>
          <w:p w:rsidR="00000000" w:rsidRPr="00745C3F" w:rsidP="00745C3F">
            <w:pPr>
              <w:pStyle w:val="BodyText"/>
            </w:pPr>
            <w:r w:rsidRPr="00745C3F">
              <w:t xml:space="preserve">KS01-TSB35A </w:t>
            </w:r>
            <w:r w:rsidRPr="00745C3F">
              <w:tab/>
              <w:t>Discrete control and protection systems</w:t>
            </w:r>
          </w:p>
          <w:p w:rsidR="00000000" w:rsidRPr="00745C3F" w:rsidP="00745C3F">
            <w:pPr>
              <w:pStyle w:val="BodyText"/>
            </w:pPr>
            <w:r w:rsidRPr="00745C3F">
              <w:t>Evidence shall show an understanding of discrete control and protection systems to an ex</w:t>
            </w:r>
            <w:r w:rsidRPr="00745C3F">
              <w:t xml:space="preserve">tent indicated by the following aspects: </w:t>
            </w:r>
          </w:p>
          <w:p w:rsidR="00000000" w:rsidRPr="00745C3F" w:rsidP="00745C3F">
            <w:pPr>
              <w:pStyle w:val="BodyText"/>
            </w:pPr>
            <w:r w:rsidRPr="00745C3F">
              <w:t>T1</w:t>
            </w:r>
            <w:r w:rsidRPr="00745C3F">
              <w:tab/>
              <w:t>Principles of Statutory and safety considerations encompassing:</w:t>
            </w:r>
          </w:p>
          <w:p w:rsidR="00000000" w:rsidRPr="00745C3F" w:rsidP="00745C3F">
            <w:pPr>
              <w:pStyle w:val="ListBullet"/>
            </w:pPr>
            <w:r w:rsidRPr="00745C3F">
              <w:t>Commonwealth/State/Territory legislation, standards, codes, supply authority regulations and or enterprise requirements associated with working on</w:t>
            </w:r>
            <w:r w:rsidRPr="00745C3F">
              <w:t xml:space="preserve"> High Voltage</w:t>
            </w:r>
          </w:p>
          <w:p w:rsidR="00000000" w:rsidRPr="00745C3F" w:rsidP="00745C3F">
            <w:pPr>
              <w:pStyle w:val="ListBullet"/>
            </w:pPr>
            <w:r w:rsidRPr="00745C3F">
              <w:t>Particular reference to State and Territory regulations regarding - working near energised conductors, electrical access, heights, confined space, testing procedures, licensing rules.</w:t>
            </w:r>
          </w:p>
          <w:p w:rsidR="00000000" w:rsidRPr="00745C3F" w:rsidP="00745C3F">
            <w:pPr>
              <w:pStyle w:val="BodyText"/>
            </w:pPr>
            <w:r w:rsidRPr="00745C3F">
              <w:t>T2</w:t>
            </w:r>
            <w:r w:rsidRPr="00745C3F">
              <w:tab/>
              <w:t>Principles of isolation and tagging procedures associat</w:t>
            </w:r>
            <w:r w:rsidRPr="00745C3F">
              <w:t>ed with protection testing encompassing:</w:t>
            </w:r>
          </w:p>
          <w:p w:rsidR="00000000" w:rsidRPr="00745C3F" w:rsidP="00745C3F">
            <w:pPr>
              <w:pStyle w:val="ListBullet"/>
            </w:pPr>
            <w:r w:rsidRPr="00745C3F">
              <w:t>Standards, codes, Commonwealth/State/Territory legislation, supply authority regulations and or enterprise requirements associated with the installation, maintenance, isolation and tagging procedures</w:t>
            </w:r>
          </w:p>
          <w:p w:rsidR="00000000" w:rsidRPr="00745C3F" w:rsidP="00745C3F">
            <w:pPr>
              <w:pStyle w:val="ListBullet"/>
            </w:pPr>
            <w:r w:rsidRPr="00745C3F">
              <w:t>Requirements f</w:t>
            </w:r>
            <w:r w:rsidRPr="00745C3F">
              <w:t>or the use of, isolation and tagging, manuals, system diagrams/plans and drawings</w:t>
            </w:r>
          </w:p>
          <w:p w:rsidR="00000000" w:rsidRPr="00745C3F" w:rsidP="00745C3F">
            <w:pPr>
              <w:pStyle w:val="ListBullet"/>
            </w:pPr>
            <w:r w:rsidRPr="00745C3F">
              <w:t>Techniques in documenting isolations</w:t>
            </w:r>
          </w:p>
          <w:p w:rsidR="00000000" w:rsidRPr="00745C3F" w:rsidP="00745C3F">
            <w:pPr>
              <w:pStyle w:val="ListBullet"/>
            </w:pPr>
            <w:r w:rsidRPr="00745C3F">
              <w:t>Techniques in appropriate isolation and tagging procedures as per Commonwealth/ State/Territory legislation, supply authority regulations and enterprise standards</w:t>
            </w:r>
          </w:p>
          <w:p w:rsidR="00000000" w:rsidRPr="00745C3F" w:rsidP="00745C3F">
            <w:pPr>
              <w:pStyle w:val="ListBullet"/>
            </w:pPr>
            <w:r w:rsidRPr="00745C3F">
              <w:t>Techniques in the installation and maintenance procedures protection devices as per Commonwea</w:t>
            </w:r>
            <w:r w:rsidRPr="00745C3F">
              <w:t>lth/State/Territory legislation, supply authority regulations and enterprise standards</w:t>
            </w:r>
          </w:p>
          <w:p w:rsidR="00000000" w:rsidRPr="00745C3F" w:rsidP="00745C3F">
            <w:pPr>
              <w:pStyle w:val="BodyText"/>
            </w:pPr>
            <w:r w:rsidRPr="00745C3F">
              <w:t>T3</w:t>
            </w:r>
            <w:r w:rsidRPr="00745C3F">
              <w:tab/>
              <w:t>Maintenance procedures associated with discrete protection schemes encompassing:</w:t>
            </w:r>
          </w:p>
          <w:p w:rsidR="00000000" w:rsidRPr="00745C3F" w:rsidP="00745C3F">
            <w:pPr>
              <w:pStyle w:val="ListBullet"/>
            </w:pPr>
            <w:r w:rsidRPr="00745C3F">
              <w:t>Standards, codes, Commonwealth/State/Territory legislation, supply authority regulat</w:t>
            </w:r>
            <w:r w:rsidRPr="00745C3F">
              <w:t>ions and or enterprise requirements associated with the maintenance procedures</w:t>
            </w:r>
          </w:p>
          <w:p w:rsidR="00000000" w:rsidRPr="00745C3F" w:rsidP="00745C3F">
            <w:pPr>
              <w:pStyle w:val="ListBullet"/>
            </w:pPr>
            <w:r w:rsidRPr="00745C3F">
              <w:t>Requirements for the use of maintenance manuals, system diagrams/plans and drawings</w:t>
            </w:r>
          </w:p>
          <w:p w:rsidR="00000000" w:rsidRPr="00745C3F" w:rsidP="00745C3F">
            <w:pPr>
              <w:pStyle w:val="ListBullet"/>
            </w:pPr>
            <w:r w:rsidRPr="00745C3F">
              <w:t>Techniques in maintenance procedures – planning, policy, testing techniques</w:t>
            </w:r>
          </w:p>
          <w:p w:rsidR="00000000" w:rsidRPr="00745C3F" w:rsidP="00745C3F">
            <w:pPr>
              <w:pStyle w:val="ListBullet"/>
            </w:pPr>
            <w:r w:rsidRPr="00745C3F">
              <w:t>Close out require</w:t>
            </w:r>
            <w:r w:rsidRPr="00745C3F">
              <w:t>ments</w:t>
            </w:r>
          </w:p>
          <w:p w:rsidR="00000000" w:rsidRPr="00745C3F" w:rsidP="00745C3F">
            <w:pPr>
              <w:pStyle w:val="BodyText"/>
            </w:pPr>
            <w:r w:rsidRPr="00745C3F">
              <w:t>T4</w:t>
            </w:r>
            <w:r w:rsidRPr="00745C3F">
              <w:tab/>
              <w:t>Relay manufacturer specifications encompassing:</w:t>
            </w:r>
          </w:p>
          <w:p w:rsidR="00000000" w:rsidRPr="00745C3F" w:rsidP="00745C3F">
            <w:pPr>
              <w:pStyle w:val="ListBullet"/>
            </w:pPr>
            <w:r w:rsidRPr="00745C3F">
              <w:t>Standards, codes, Commonwealth, State/Territory and local government legislation, supply authority regulations and or enterprise requirements applicable to the use and application of relay manufactu</w:t>
            </w:r>
            <w:r w:rsidRPr="00745C3F">
              <w:t>rer specifications</w:t>
            </w:r>
          </w:p>
          <w:p w:rsidR="00000000" w:rsidRPr="00745C3F" w:rsidP="00745C3F">
            <w:pPr>
              <w:pStyle w:val="ListBullet"/>
            </w:pPr>
            <w:r w:rsidRPr="00745C3F">
              <w:t>Requirements for the use of relay manufacturer manuals, system diagrams/plans and drawings</w:t>
            </w:r>
          </w:p>
          <w:p w:rsidR="00000000" w:rsidRPr="00745C3F" w:rsidP="00745C3F">
            <w:pPr>
              <w:pStyle w:val="ListBullet"/>
            </w:pPr>
            <w:r w:rsidRPr="00745C3F">
              <w:t>Types, function and characteristics of specific relays - differences between specific relays used for the same functionality</w:t>
            </w:r>
          </w:p>
          <w:p w:rsidR="00000000" w:rsidRPr="00745C3F" w:rsidP="00745C3F">
            <w:pPr>
              <w:pStyle w:val="BodyText"/>
            </w:pPr>
            <w:r w:rsidRPr="00745C3F">
              <w:t>T5</w:t>
            </w:r>
            <w:r w:rsidRPr="00745C3F">
              <w:tab/>
              <w:t>Safe handling and/</w:t>
            </w:r>
            <w:r w:rsidRPr="00745C3F">
              <w:t>or disposing of insulation materials used in power distribution devices, which are potential environmental pollutants encompassing:</w:t>
            </w:r>
          </w:p>
          <w:p w:rsidR="00000000" w:rsidRPr="00745C3F" w:rsidP="00745C3F">
            <w:pPr>
              <w:pStyle w:val="ListBullet"/>
            </w:pPr>
            <w:r w:rsidRPr="00745C3F">
              <w:t>Standards, codes, Commonwealth, State/Territory and local government legislation, supply authority regulations and or enter</w:t>
            </w:r>
            <w:r w:rsidRPr="00745C3F">
              <w:t>prise requirements applicable to the handling and disposing of insulation or heat dissipation materials used in power distribution devices</w:t>
            </w:r>
          </w:p>
          <w:p w:rsidR="00000000" w:rsidRPr="00745C3F" w:rsidP="00745C3F">
            <w:pPr>
              <w:pStyle w:val="ListBullet"/>
            </w:pPr>
            <w:r w:rsidRPr="00745C3F">
              <w:t>Identification of environmental issues associated with the handling and disposing of insulation materials</w:t>
            </w:r>
          </w:p>
          <w:p w:rsidR="00000000" w:rsidRPr="00745C3F" w:rsidP="00745C3F">
            <w:pPr>
              <w:pStyle w:val="ListBullet"/>
            </w:pPr>
            <w:r w:rsidRPr="00745C3F">
              <w:t>Safety prec</w:t>
            </w:r>
            <w:r w:rsidRPr="00745C3F">
              <w:t>autions when handling and disposing of heat dissipation materials - safe working practices, Occupational Health and Safety hazards and precautions, identification of hazards, assessing and controlling risks, types, selection, maintenance and uses of person</w:t>
            </w:r>
            <w:r w:rsidRPr="00745C3F">
              <w:t>nel protective equipment, permit to work systems and isolation procedures, types and function of specialised equipment, safe working practices when using specialised equipment, emergency response and rescue including First Aid etc.</w:t>
            </w:r>
          </w:p>
          <w:p w:rsidR="00000000" w:rsidRPr="00745C3F" w:rsidP="00745C3F">
            <w:pPr>
              <w:pStyle w:val="ListBullet"/>
            </w:pPr>
            <w:r w:rsidRPr="00745C3F">
              <w:t>Techniques in the handli</w:t>
            </w:r>
            <w:r w:rsidRPr="00745C3F">
              <w:t>ng and disposing of insulation materials - Polychlorinated Bi-Phenyls (PCB’s), asbestos, insulating Oil, SF6 gas.</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10" w:name="O_459810"/>
      <w:bookmarkEnd w:id="10"/>
      <w:r w:rsidRPr="00745C3F">
        <w:t>Evidence Guide</w:t>
      </w:r>
    </w:p>
    <w:tbl>
      <w:tblPr>
        <w:tblW w:w="0" w:type="auto"/>
        <w:tblLayout w:type="fixed"/>
        <w:tblCellMar>
          <w:left w:w="62" w:type="dxa"/>
          <w:right w:w="62" w:type="dxa"/>
        </w:tblCellMar>
        <w:tblLook w:val="0000"/>
      </w:tblPr>
      <w:tblGrid>
        <w:gridCol w:w="8460"/>
      </w:tblGrid>
      <w:tr w:rsidTr="008020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EVIDENCE GUIDE</w:t>
            </w:r>
          </w:p>
        </w:tc>
      </w:tr>
      <w:tr w:rsidTr="008020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9)</w:t>
            </w:r>
            <w:r w:rsidRPr="00745C3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745C3F" w:rsidP="00745C3F">
            <w:pPr>
              <w:pStyle w:val="BodyText"/>
            </w:pPr>
            <w:r w:rsidRPr="00745C3F">
              <w:t>The Evidenc</w:t>
            </w:r>
            <w:r w:rsidRPr="00745C3F">
              <w:t>e Guide forms an integral part of this Competency Standard Unit and shall be used in conjunction with all component parts of this unit and, performed in accordance with the Assessment Guidelines of this Training Package.</w:t>
            </w:r>
          </w:p>
        </w:tc>
      </w:tr>
    </w:tbl>
    <w:p w:rsidR="00000000" w:rsidRPr="00745C3F" w:rsidP="00745C3F">
      <w:pPr>
        <w:pStyle w:val="BodyText"/>
      </w:pPr>
    </w:p>
    <w:tbl>
      <w:tblPr>
        <w:tblW w:w="0" w:type="auto"/>
        <w:tblLayout w:type="fixed"/>
        <w:tblCellMar>
          <w:left w:w="62" w:type="dxa"/>
          <w:right w:w="62" w:type="dxa"/>
        </w:tblCellMar>
        <w:tblLook w:val="0000"/>
      </w:tblPr>
      <w:tblGrid>
        <w:gridCol w:w="1890"/>
        <w:gridCol w:w="6570"/>
      </w:tblGrid>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9.1)</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Longitudinal competency development approaches to assessment, such as Profiling, require data to be reliably gathered in a form that can be consistently interpreted over time. This approach is best utilised in Apprenticeship programs and reduces assessment</w:t>
            </w:r>
            <w:r w:rsidRPr="00745C3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45C3F">
              <w:t>tency in a realistically simulated work environment. It is recognised that, in some circumstances, assessment in part or full can occur outside the workplace. However, it must be in accord with Industry and, Regulatory policy in this regard.</w:t>
            </w:r>
          </w:p>
          <w:p w:rsidR="00000000" w:rsidRPr="00745C3F" w:rsidP="00745C3F">
            <w:pPr>
              <w:pStyle w:val="BodyText"/>
            </w:pPr>
            <w:r w:rsidRPr="00745C3F">
              <w:t>Methods chosen</w:t>
            </w:r>
            <w:r w:rsidRPr="00745C3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45C3F">
              <w:t>equired and the critical nature of the competencies being assessed.</w:t>
            </w:r>
          </w:p>
          <w:p w:rsidR="00000000" w:rsidRPr="00745C3F" w:rsidP="00745C3F">
            <w:pPr>
              <w:pStyle w:val="BodyText"/>
            </w:pPr>
            <w:r w:rsidRPr="00745C3F">
              <w:t>The critical safety nature of working with electricity, electrical equipment, gas or any other hazardous substance/material carries risk in deeming a person competent. Hence, sources of ev</w:t>
            </w:r>
            <w:r w:rsidRPr="00745C3F">
              <w:t>idence need to be ‘rich’ in nature so as to minimise error in judgment.</w:t>
            </w:r>
          </w:p>
          <w:p w:rsidR="00000000" w:rsidRPr="00745C3F" w:rsidP="00745C3F">
            <w:pPr>
              <w:pStyle w:val="BodyText"/>
            </w:pPr>
            <w:r w:rsidRPr="00745C3F">
              <w:t>Activities associated with normal every day work have a bearing on the decision as to how much and how detailed the data gathered will contribute to its ‘richness’. Some skills are mor</w:t>
            </w:r>
            <w:r w:rsidRPr="00745C3F">
              <w:t>e critical to safety and operational requirements while the same skills may be more or less frequently practiced. These points are raised for the assessors to consider when choosing an assessment method and developing assessment instruments. Sample assessm</w:t>
            </w:r>
            <w:r w:rsidRPr="00745C3F">
              <w:t>ent instruments are included for Assessors in the Assessment Guidelines of this Training Package.</w:t>
            </w:r>
          </w:p>
        </w:tc>
      </w:tr>
    </w:tbl>
    <w:p w:rsidR="00000000" w:rsidRPr="00745C3F" w:rsidP="00745C3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9.2)</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Before the critical aspects of evidence are considered all prerequisi</w:t>
            </w:r>
            <w:r w:rsidRPr="00745C3F">
              <w:t>tes shall be met.</w:t>
            </w:r>
          </w:p>
          <w:p w:rsidR="00000000" w:rsidRPr="00745C3F" w:rsidP="00745C3F">
            <w:pPr>
              <w:pStyle w:val="BodyText"/>
            </w:pPr>
            <w:r w:rsidRPr="00745C3F">
              <w:t xml:space="preserve">Evidence for competence in this unit shall be considered holistically. Each element and associated Performance Criteria shall be demonstrated on at least two occasions in accordance with the “Assessment Guidelines – UET12”. Evidence </w:t>
            </w:r>
            <w:r w:rsidRPr="00745C3F">
              <w:t>shall also comprise:</w:t>
            </w:r>
          </w:p>
          <w:p w:rsidR="00000000" w:rsidRPr="00745C3F" w:rsidP="00745C3F">
            <w:pPr>
              <w:pStyle w:val="ListBullet"/>
            </w:pPr>
            <w:r w:rsidRPr="00745C3F">
              <w:t>A representative body of Performance Criteria demonstrated within the timeframes typically expected of the discipline, work function and industrial environment. In particular this shall incorporate evidence that shows a candidate is a</w:t>
            </w:r>
            <w:r w:rsidRPr="00745C3F">
              <w:t>ble to:</w:t>
            </w:r>
          </w:p>
          <w:p w:rsidR="00000000" w:rsidRPr="00745C3F" w:rsidP="00745C3F">
            <w:pPr>
              <w:pStyle w:val="ListBullet2"/>
            </w:pPr>
            <w:r w:rsidRPr="00745C3F">
              <w:t>Implement Occupational Health and Safety workplace procedures and practices including the use of risk control measures as specified in the Performance Criteria and range; and</w:t>
            </w:r>
          </w:p>
          <w:p w:rsidR="00000000" w:rsidRPr="00745C3F" w:rsidP="00745C3F">
            <w:pPr>
              <w:pStyle w:val="ListBullet2"/>
            </w:pPr>
            <w:r w:rsidRPr="00745C3F">
              <w:t>Apply sustainable energy principles and practices as specified in the Pe</w:t>
            </w:r>
            <w:r w:rsidRPr="00745C3F">
              <w:t>rformance Criteria and range; and</w:t>
            </w:r>
          </w:p>
          <w:p w:rsidR="00000000" w:rsidRPr="00745C3F" w:rsidP="00745C3F">
            <w:pPr>
              <w:pStyle w:val="ListBullet2"/>
            </w:pPr>
            <w:r w:rsidRPr="00745C3F">
              <w:t>Demonstrate an understanding of the essential knowledge and associated skills as described in this unit to such an extent that the learner’s performance outcome is reported in accordance with the preferred approach; namely</w:t>
            </w:r>
            <w:r w:rsidRPr="00745C3F">
              <w:t xml:space="preserve"> a percentile graded result, where required by the regulated environment; and</w:t>
            </w:r>
          </w:p>
          <w:p w:rsidR="00000000" w:rsidRPr="00745C3F" w:rsidP="00745C3F">
            <w:pPr>
              <w:pStyle w:val="ListBullet2"/>
            </w:pPr>
            <w:r w:rsidRPr="00745C3F">
              <w:t>Demonstrate an appropriate level of employability skills; and</w:t>
            </w:r>
          </w:p>
          <w:p w:rsidR="00000000" w:rsidRPr="00745C3F" w:rsidP="00745C3F">
            <w:pPr>
              <w:pStyle w:val="ListBullet"/>
            </w:pPr>
            <w:r w:rsidRPr="00745C3F">
              <w:t>Conduct work observing the relevant Anti Discrimination legislation, regulations, policies and workplace procedures</w:t>
            </w:r>
            <w:r w:rsidRPr="00745C3F">
              <w:t>; and</w:t>
            </w:r>
          </w:p>
          <w:p w:rsidR="00000000" w:rsidP="00745C3F">
            <w:pPr>
              <w:pStyle w:val="ListBullet2"/>
              <w:rPr>
                <w:lang w:val="en-NZ"/>
              </w:rPr>
            </w:pPr>
            <w:r w:rsidRPr="00745C3F">
              <w:t>Demonstrated performance across a representative range of contexts from the prescribed items below:</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45C3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rPr>
                <w:rStyle w:val="SpecialBold"/>
              </w:rPr>
              <w:t>Range of tools/equipment/materials/procedures/workplaces/other variables</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45C3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3F" w:rsidP="00745C3F">
            <w:pPr>
              <w:pStyle w:val="BodyText"/>
            </w:pPr>
            <w:r w:rsidRPr="00745C3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3F" w:rsidP="00745C3F">
            <w:pPr>
              <w:pStyle w:val="BodyText"/>
            </w:pPr>
            <w:r w:rsidRPr="00745C3F">
              <w:rPr>
                <w:rStyle w:val="SpecialBold"/>
              </w:rPr>
              <w:t>The minimum number of items on which skill is to be d</w:t>
            </w:r>
            <w:r w:rsidRPr="00745C3F">
              <w:rPr>
                <w:rStyle w:val="SpecialBold"/>
              </w:rPr>
              <w:t>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rPr>
                <w:rStyle w:val="SpecialBold"/>
              </w:rPr>
              <w:t>Item List</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3F" w:rsidP="00745C3F">
            <w:pPr>
              <w:pStyle w:val="BodyText"/>
            </w:pPr>
            <w:r w:rsidRPr="00745C3F">
              <w:t>Isolate discrete protection</w:t>
            </w:r>
          </w:p>
          <w:p w:rsidR="00000000" w:rsidRPr="00745C3F" w:rsidP="00745C3F">
            <w:pPr>
              <w:pStyle w:val="BodyText"/>
            </w:pPr>
            <w:r w:rsidRPr="00745C3F">
              <w:t xml:space="preserve">Control and indications </w:t>
            </w:r>
          </w:p>
          <w:p w:rsidR="00000000" w:rsidRPr="00745C3F" w:rsidP="00745C3F">
            <w:pPr>
              <w:pStyle w:val="BodyText"/>
            </w:pPr>
            <w:r w:rsidRPr="00745C3F">
              <w:t>Overcurrent and Earth fault relays</w:t>
            </w:r>
          </w:p>
          <w:p w:rsidR="00000000" w:rsidRPr="00745C3F" w:rsidP="00745C3F">
            <w:pPr>
              <w:pStyle w:val="BodyText"/>
            </w:pPr>
            <w:r w:rsidRPr="00745C3F">
              <w:t>DC Supplies</w:t>
            </w:r>
          </w:p>
          <w:p w:rsidR="00000000" w:rsidRPr="00745C3F" w:rsidP="00745C3F">
            <w:pPr>
              <w:pStyle w:val="BodyText"/>
            </w:pPr>
            <w:r w:rsidRPr="00745C3F">
              <w:t>Trip and control circuits</w:t>
            </w:r>
          </w:p>
          <w:p w:rsidR="00000000" w:rsidRPr="00745C3F" w:rsidP="00745C3F">
            <w:pPr>
              <w:pStyle w:val="BodyText"/>
            </w:pPr>
            <w:r w:rsidRPr="00745C3F">
              <w:t>Alarms and indications</w:t>
            </w:r>
          </w:p>
          <w:p w:rsidR="00000000" w:rsidP="00745C3F">
            <w:pPr>
              <w:pStyle w:val="BodyText"/>
              <w:rPr>
                <w:lang w:val="en-NZ"/>
              </w:rPr>
            </w:pPr>
            <w:r w:rsidRPr="00745C3F">
              <w:t>Function test of discrete devices</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3F" w:rsidP="00745C3F">
            <w:pPr>
              <w:pStyle w:val="BodyText"/>
            </w:pPr>
            <w:r w:rsidRPr="00745C3F">
              <w:t>Neutral displacement</w:t>
            </w:r>
          </w:p>
          <w:p w:rsidR="00000000" w:rsidRPr="00745C3F" w:rsidP="00745C3F">
            <w:pPr>
              <w:pStyle w:val="BodyText"/>
            </w:pPr>
            <w:r w:rsidRPr="00745C3F">
              <w:t>No-volt changeover</w:t>
            </w:r>
          </w:p>
          <w:p w:rsidR="00000000" w:rsidRPr="00745C3F" w:rsidP="00745C3F">
            <w:pPr>
              <w:pStyle w:val="BodyText"/>
            </w:pPr>
            <w:r w:rsidRPr="00745C3F">
              <w:t>Discrete auto reclose</w:t>
            </w:r>
          </w:p>
          <w:p w:rsidR="00000000" w:rsidRPr="00745C3F" w:rsidP="00745C3F">
            <w:pPr>
              <w:pStyle w:val="BodyText"/>
            </w:pPr>
            <w:r w:rsidRPr="00745C3F">
              <w:t>DC Frame leakage</w:t>
            </w:r>
          </w:p>
          <w:p w:rsidR="00000000" w:rsidRPr="00745C3F" w:rsidP="00745C3F">
            <w:pPr>
              <w:pStyle w:val="BodyText"/>
            </w:pPr>
            <w:r w:rsidRPr="00745C3F">
              <w:t>Oil surge (site maintenance)</w:t>
            </w:r>
          </w:p>
          <w:p w:rsidR="00000000" w:rsidRPr="00745C3F" w:rsidP="00745C3F">
            <w:pPr>
              <w:pStyle w:val="BodyText"/>
            </w:pPr>
            <w:r w:rsidRPr="00745C3F">
              <w:t>Voltage regulation</w:t>
            </w:r>
          </w:p>
          <w:p w:rsidR="00000000" w:rsidRPr="00745C3F" w:rsidP="00745C3F">
            <w:pPr>
              <w:pStyle w:val="BodyText"/>
            </w:pPr>
            <w:r w:rsidRPr="00745C3F">
              <w:t>Parallel operation</w:t>
            </w:r>
          </w:p>
          <w:p w:rsidR="00000000" w:rsidRPr="00745C3F" w:rsidP="00745C3F">
            <w:pPr>
              <w:pStyle w:val="BodyText"/>
            </w:pPr>
            <w:r w:rsidRPr="00745C3F">
              <w:t>Thermal overloads</w:t>
            </w:r>
          </w:p>
          <w:p w:rsidR="00000000" w:rsidRPr="00745C3F" w:rsidP="00745C3F">
            <w:pPr>
              <w:pStyle w:val="BodyText"/>
            </w:pPr>
            <w:r w:rsidRPr="00745C3F">
              <w:t>Transformer temperature control devices</w:t>
            </w:r>
          </w:p>
          <w:p w:rsidR="00000000" w:rsidP="00745C3F">
            <w:pPr>
              <w:pStyle w:val="BodyText"/>
              <w:rPr>
                <w:lang w:val="en-NZ"/>
              </w:rPr>
            </w:pPr>
            <w:r w:rsidRPr="00745C3F">
              <w:t>CEL fail</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3F">
            <w:pPr>
              <w:pStyle w:val="BodyText"/>
              <w:rPr>
                <w:lang w:val="en-NZ"/>
              </w:rPr>
            </w:pPr>
            <w:r w:rsidRPr="00745C3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3F" w:rsidP="00745C3F">
            <w:pPr>
              <w:pStyle w:val="BodyText"/>
            </w:pPr>
            <w:r w:rsidRPr="00745C3F">
              <w:t>Dealing with an unplanned event by drawing on essential knowledge and associated skills to provide appropriate solutions incorporated in the holistic assessment with the above listed items.</w:t>
            </w:r>
          </w:p>
        </w:tc>
      </w:tr>
    </w:tbl>
    <w:p w:rsidR="00000000" w:rsidRPr="00745C3F" w:rsidP="00745C3F">
      <w:pPr>
        <w:pStyle w:val="BodyText"/>
      </w:pPr>
    </w:p>
    <w:tbl>
      <w:tblPr>
        <w:tblW w:w="0" w:type="auto"/>
        <w:tblLayout w:type="fixed"/>
        <w:tblCellMar>
          <w:left w:w="62" w:type="dxa"/>
          <w:right w:w="62" w:type="dxa"/>
        </w:tblCellMar>
        <w:tblLook w:val="0000"/>
      </w:tblPr>
      <w:tblGrid>
        <w:gridCol w:w="1890"/>
        <w:gridCol w:w="6570"/>
      </w:tblGrid>
      <w:tr w:rsidTr="0080208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Context of and specific resources for asse</w:t>
            </w:r>
            <w:r w:rsidRPr="00745C3F">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9.3)</w:t>
            </w:r>
          </w:p>
        </w:tc>
      </w:tr>
      <w:tr w:rsidTr="0080208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This unit should be assessed as it relates to normal work practice using procedures, information and resources typical of a workplace. This should include:</w:t>
            </w:r>
          </w:p>
          <w:p w:rsidR="00000000" w:rsidRPr="00745C3F" w:rsidP="00745C3F">
            <w:pPr>
              <w:pStyle w:val="ListBullet"/>
            </w:pPr>
            <w:r w:rsidRPr="00745C3F">
              <w:t>OHS policy and work procedures and instructions.</w:t>
            </w:r>
          </w:p>
          <w:p w:rsidR="00000000" w:rsidRPr="00745C3F" w:rsidP="00745C3F">
            <w:pPr>
              <w:pStyle w:val="ListBullet"/>
            </w:pPr>
            <w:r w:rsidRPr="00745C3F">
              <w:t>Suitable work environment, facilities, equipment and materials to undertake actual maintenance of discrete protection and control devices.</w:t>
            </w:r>
          </w:p>
          <w:p w:rsidR="00000000" w:rsidRPr="00745C3F" w:rsidP="00745C3F">
            <w:pPr>
              <w:pStyle w:val="BodyText"/>
            </w:pPr>
            <w:r w:rsidRPr="00745C3F">
              <w:t xml:space="preserve">In addition to the resources listed above, in Context of and specific resources for assessment, evidence should show </w:t>
            </w:r>
            <w:r w:rsidRPr="00745C3F">
              <w:t xml:space="preserve">demonstrated competency working: </w:t>
            </w:r>
          </w:p>
          <w:p w:rsidR="00000000" w:rsidRPr="00745C3F" w:rsidP="00745C3F">
            <w:pPr>
              <w:pStyle w:val="BodyText"/>
            </w:pPr>
            <w:r w:rsidRPr="00745C3F">
              <w:t>At realistic heights above ground, i.e. above 3 metres, in limited spaces, with different structural/construction types and method and in a variety of environments.</w:t>
            </w:r>
          </w:p>
        </w:tc>
      </w:tr>
    </w:tbl>
    <w:p w:rsidR="00000000" w:rsidRPr="00745C3F" w:rsidP="00745C3F">
      <w:pPr>
        <w:pStyle w:val="BodyText"/>
      </w:pPr>
    </w:p>
    <w:tbl>
      <w:tblPr>
        <w:tblW w:w="0" w:type="auto"/>
        <w:tblLayout w:type="fixed"/>
        <w:tblCellMar>
          <w:left w:w="62" w:type="dxa"/>
          <w:right w:w="62" w:type="dxa"/>
        </w:tblCellMar>
        <w:tblLook w:val="0000"/>
      </w:tblPr>
      <w:tblGrid>
        <w:gridCol w:w="1890"/>
        <w:gridCol w:w="6570"/>
      </w:tblGrid>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9.4)</w:t>
            </w:r>
          </w:p>
        </w:tc>
      </w:tr>
      <w:tr w:rsidTr="0080208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This Competency Standard Unit shall be assessed by methods given in Volume 1, Part 3 “Assessment Guidelines”.</w:t>
            </w:r>
          </w:p>
          <w:p w:rsidR="00000000" w:rsidRPr="00745C3F" w:rsidP="00745C3F">
            <w:pPr>
              <w:pStyle w:val="BodyText"/>
            </w:pPr>
            <w:r w:rsidRPr="00745C3F">
              <w:t>Note:</w:t>
            </w:r>
          </w:p>
          <w:p w:rsidR="00000000" w:rsidRPr="00745C3F" w:rsidP="00745C3F">
            <w:pPr>
              <w:pStyle w:val="BodyText"/>
            </w:pPr>
            <w:r w:rsidRPr="00745C3F">
              <w:t>Competent performance with inherent safe working practices is expected in the Transmission, Distribution and Rail Traction Industry. This re</w:t>
            </w:r>
            <w:r w:rsidRPr="00745C3F">
              <w:t>quires that the specified essential knowledge and associated skills are assessed in a structured environment which is primarily intended for learning/assessment and incorporates all necessary equipment and facilities for learners to develop and demonstrate</w:t>
            </w:r>
            <w:r w:rsidRPr="00745C3F">
              <w:t xml:space="preserve"> the essential knowledge and associated skills described in this unit.</w:t>
            </w:r>
          </w:p>
        </w:tc>
      </w:tr>
    </w:tbl>
    <w:p w:rsidR="00000000" w:rsidRPr="00745C3F" w:rsidP="00745C3F">
      <w:pPr>
        <w:pStyle w:val="BodyText"/>
      </w:pPr>
    </w:p>
    <w:tbl>
      <w:tblPr>
        <w:tblW w:w="0" w:type="auto"/>
        <w:tblLayout w:type="fixed"/>
        <w:tblCellMar>
          <w:left w:w="62" w:type="dxa"/>
          <w:right w:w="62" w:type="dxa"/>
        </w:tblCellMar>
        <w:tblLook w:val="0000"/>
      </w:tblPr>
      <w:tblGrid>
        <w:gridCol w:w="1890"/>
        <w:gridCol w:w="6570"/>
      </w:tblGrid>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9.5)</w:t>
            </w:r>
          </w:p>
        </w:tc>
      </w:tr>
      <w:tr w:rsidTr="0080208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There are no concurrent assessment recommendations for this unit.</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11" w:name="O_459814"/>
      <w:bookmarkEnd w:id="11"/>
      <w:r w:rsidRPr="00745C3F">
        <w:t>Range Statement</w:t>
      </w:r>
    </w:p>
    <w:tbl>
      <w:tblPr>
        <w:tblW w:w="0" w:type="auto"/>
        <w:tblLayout w:type="fixed"/>
        <w:tblCellMar>
          <w:left w:w="62" w:type="dxa"/>
          <w:right w:w="62" w:type="dxa"/>
        </w:tblCellMar>
        <w:tblLook w:val="0000"/>
      </w:tblPr>
      <w:tblGrid>
        <w:gridCol w:w="8460"/>
      </w:tblGrid>
      <w:tr w:rsidTr="008020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RANGE STATEMENT</w:t>
            </w:r>
          </w:p>
        </w:tc>
      </w:tr>
      <w:tr w:rsidTr="008020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10)</w:t>
            </w:r>
            <w:r w:rsidRPr="00745C3F">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45C3F" w:rsidP="00745C3F">
            <w:pPr>
              <w:pStyle w:val="BodyText"/>
            </w:pPr>
            <w:r w:rsidRPr="00745C3F">
              <w:t>This Competency Stand</w:t>
            </w:r>
            <w:r w:rsidRPr="00745C3F">
              <w:t>ard Unit may be demonstrated in relation to the maintenance of discrete protection and control devices and may include the following:</w:t>
            </w:r>
          </w:p>
          <w:p w:rsidR="00000000" w:rsidRPr="00745C3F" w:rsidP="00745C3F">
            <w:pPr>
              <w:pStyle w:val="BodyText"/>
            </w:pPr>
            <w:r w:rsidRPr="00745C3F">
              <w:t>Overcurrent, and Earth fault relays, Neutral displacement relays, No-volt changeover devices, Discrete auto reclose device</w:t>
            </w:r>
            <w:r w:rsidRPr="00745C3F">
              <w:t>s, DC Supplies, Oil surge devices (site maintenance), DC Frame leakage, Trip/control circuits, Alarms and indication, Voltage regulation relays, Circuit isolation (discrete only) Function tests (discrete only) Thermal overload, Transformer temperature cont</w:t>
            </w:r>
            <w:r w:rsidRPr="00745C3F">
              <w:t>rol devices CEL fail devices.</w:t>
            </w:r>
          </w:p>
          <w:p w:rsidR="00000000" w:rsidRPr="00745C3F" w:rsidP="00745C3F">
            <w:pPr>
              <w:pStyle w:val="BodyText"/>
            </w:pPr>
            <w:r w:rsidRPr="00745C3F">
              <w:t>The following constants and variables included in the element/Performance Criteria in this unit are fully described in the Definitions Section 1 of this volume and form an integral part of the Range Statement of this unit:</w:t>
            </w:r>
          </w:p>
          <w:p w:rsidR="00000000" w:rsidRPr="00745C3F" w:rsidP="00745C3F">
            <w:pPr>
              <w:pStyle w:val="ListBullet3"/>
            </w:pPr>
            <w:r w:rsidRPr="00745C3F">
              <w:t>Ap</w:t>
            </w:r>
            <w:r w:rsidRPr="00745C3F">
              <w:t>propriate and relevant persons (see Personnel)</w:t>
            </w:r>
          </w:p>
          <w:p w:rsidR="00000000" w:rsidRPr="00745C3F" w:rsidP="00745C3F">
            <w:pPr>
              <w:pStyle w:val="ListBullet3"/>
            </w:pPr>
            <w:r w:rsidRPr="00745C3F">
              <w:t>Appropriate authorities</w:t>
            </w:r>
          </w:p>
          <w:p w:rsidR="00000000" w:rsidRPr="00745C3F" w:rsidP="00745C3F">
            <w:pPr>
              <w:pStyle w:val="ListBullet3"/>
            </w:pPr>
            <w:r w:rsidRPr="00745C3F">
              <w:t>Appropriate work platform</w:t>
            </w:r>
          </w:p>
          <w:p w:rsidR="00000000" w:rsidRPr="00745C3F" w:rsidP="00745C3F">
            <w:pPr>
              <w:pStyle w:val="ListBullet3"/>
            </w:pPr>
            <w:r w:rsidRPr="00745C3F">
              <w:t>Assessing risk</w:t>
            </w:r>
          </w:p>
          <w:p w:rsidR="00000000" w:rsidRPr="00745C3F" w:rsidP="00745C3F">
            <w:pPr>
              <w:pStyle w:val="ListBullet3"/>
            </w:pPr>
            <w:r w:rsidRPr="00745C3F">
              <w:t>Assessment</w:t>
            </w:r>
          </w:p>
          <w:p w:rsidR="00000000" w:rsidRPr="00745C3F" w:rsidP="00745C3F">
            <w:pPr>
              <w:pStyle w:val="ListBullet3"/>
            </w:pPr>
            <w:r w:rsidRPr="00745C3F">
              <w:t>Authorisation</w:t>
            </w:r>
          </w:p>
          <w:p w:rsidR="00000000" w:rsidRPr="00745C3F" w:rsidP="00745C3F">
            <w:pPr>
              <w:pStyle w:val="ListBullet3"/>
            </w:pPr>
            <w:r w:rsidRPr="00745C3F">
              <w:t>Confined space</w:t>
            </w:r>
          </w:p>
          <w:p w:rsidR="00000000" w:rsidRPr="00745C3F" w:rsidP="00745C3F">
            <w:pPr>
              <w:pStyle w:val="ListBullet3"/>
            </w:pPr>
            <w:r w:rsidRPr="00745C3F">
              <w:t>Diagnostic, testing and restoration</w:t>
            </w:r>
          </w:p>
          <w:p w:rsidR="00000000" w:rsidRPr="00745C3F" w:rsidP="00745C3F">
            <w:pPr>
              <w:pStyle w:val="ListBullet3"/>
            </w:pPr>
            <w:r w:rsidRPr="00745C3F">
              <w:t>Documenting detail work events, record keeping and or storage of information</w:t>
            </w:r>
          </w:p>
          <w:p w:rsidR="00000000" w:rsidRPr="00745C3F" w:rsidP="00745C3F">
            <w:pPr>
              <w:pStyle w:val="ListBullet3"/>
            </w:pPr>
            <w:r w:rsidRPr="00745C3F">
              <w:t>Drawings and specifications</w:t>
            </w:r>
          </w:p>
          <w:p w:rsidR="00000000" w:rsidRPr="00745C3F" w:rsidP="00745C3F">
            <w:pPr>
              <w:pStyle w:val="ListBullet3"/>
            </w:pPr>
            <w:r w:rsidRPr="00745C3F">
              <w:t>Emergency</w:t>
            </w:r>
          </w:p>
          <w:p w:rsidR="00000000" w:rsidRPr="00745C3F" w:rsidP="00745C3F">
            <w:pPr>
              <w:pStyle w:val="ListBullet3"/>
            </w:pPr>
            <w:r w:rsidRPr="00745C3F">
              <w:t>Environmental and sustainable energy procedures</w:t>
            </w:r>
          </w:p>
          <w:p w:rsidR="00000000" w:rsidRPr="00745C3F" w:rsidP="00745C3F">
            <w:pPr>
              <w:pStyle w:val="ListBullet3"/>
            </w:pPr>
            <w:r w:rsidRPr="00745C3F">
              <w:t>Environmental legislation</w:t>
            </w:r>
          </w:p>
          <w:p w:rsidR="00000000" w:rsidRPr="00745C3F" w:rsidP="00745C3F">
            <w:pPr>
              <w:pStyle w:val="ListBullet3"/>
            </w:pPr>
            <w:r w:rsidRPr="00745C3F">
              <w:t>Environmental management documentation</w:t>
            </w:r>
          </w:p>
          <w:p w:rsidR="00000000" w:rsidRPr="00745C3F" w:rsidP="00745C3F">
            <w:pPr>
              <w:pStyle w:val="ListBullet3"/>
            </w:pPr>
            <w:r w:rsidRPr="00745C3F">
              <w:t>Established procedures</w:t>
            </w:r>
          </w:p>
          <w:p w:rsidR="00000000" w:rsidRPr="00745C3F" w:rsidP="00745C3F">
            <w:pPr>
              <w:pStyle w:val="ListBullet3"/>
            </w:pPr>
            <w:r w:rsidRPr="00745C3F">
              <w:t xml:space="preserve">Fall </w:t>
            </w:r>
            <w:r w:rsidRPr="00745C3F">
              <w:t>prevention</w:t>
            </w:r>
          </w:p>
          <w:p w:rsidR="00000000" w:rsidRPr="00745C3F" w:rsidP="00745C3F">
            <w:pPr>
              <w:pStyle w:val="ListBullet3"/>
            </w:pPr>
            <w:r w:rsidRPr="00745C3F">
              <w:t>Hazards</w:t>
            </w:r>
          </w:p>
          <w:p w:rsidR="00000000" w:rsidRPr="00745C3F" w:rsidP="00745C3F">
            <w:pPr>
              <w:pStyle w:val="ListBullet3"/>
            </w:pPr>
            <w:r w:rsidRPr="00745C3F">
              <w:t>Identifying hazards</w:t>
            </w:r>
          </w:p>
          <w:p w:rsidR="00000000" w:rsidRPr="00745C3F" w:rsidP="00745C3F">
            <w:pPr>
              <w:pStyle w:val="ListBullet3"/>
            </w:pPr>
            <w:r w:rsidRPr="00745C3F">
              <w:t>Inspect</w:t>
            </w:r>
          </w:p>
          <w:p w:rsidR="00000000" w:rsidRPr="00745C3F" w:rsidP="00745C3F">
            <w:pPr>
              <w:pStyle w:val="ListBullet3"/>
            </w:pPr>
            <w:r w:rsidRPr="00745C3F">
              <w:t>Legislation</w:t>
            </w:r>
          </w:p>
          <w:p w:rsidR="00000000" w:rsidRPr="00745C3F" w:rsidP="00745C3F">
            <w:pPr>
              <w:pStyle w:val="ListBullet3"/>
            </w:pPr>
            <w:r w:rsidRPr="00745C3F">
              <w:t>MSDS</w:t>
            </w:r>
          </w:p>
          <w:p w:rsidR="00000000" w:rsidRPr="00745C3F" w:rsidP="00745C3F">
            <w:pPr>
              <w:pStyle w:val="ListBullet3"/>
            </w:pPr>
            <w:r w:rsidRPr="00745C3F">
              <w:t>Notification</w:t>
            </w:r>
          </w:p>
          <w:p w:rsidR="00000000" w:rsidRPr="00745C3F" w:rsidP="00745C3F">
            <w:pPr>
              <w:pStyle w:val="ListBullet3"/>
            </w:pPr>
            <w:r w:rsidRPr="00745C3F">
              <w:t>OHS practices</w:t>
            </w:r>
          </w:p>
          <w:p w:rsidR="00000000" w:rsidRPr="00745C3F" w:rsidP="00745C3F">
            <w:pPr>
              <w:pStyle w:val="ListBullet3"/>
            </w:pPr>
            <w:r w:rsidRPr="00745C3F">
              <w:t>OHS issues</w:t>
            </w:r>
          </w:p>
          <w:p w:rsidR="00000000" w:rsidRPr="00745C3F" w:rsidP="00745C3F">
            <w:pPr>
              <w:pStyle w:val="ListBullet3"/>
            </w:pPr>
            <w:r w:rsidRPr="00745C3F">
              <w:t>Permits and/or permits to work</w:t>
            </w:r>
          </w:p>
          <w:p w:rsidR="00000000" w:rsidRPr="00745C3F" w:rsidP="00745C3F">
            <w:pPr>
              <w:pStyle w:val="ListBullet3"/>
            </w:pPr>
            <w:r w:rsidRPr="00745C3F">
              <w:t>Personnel</w:t>
            </w:r>
          </w:p>
          <w:p w:rsidR="00000000" w:rsidRPr="00745C3F" w:rsidP="00745C3F">
            <w:pPr>
              <w:pStyle w:val="ListBullet3"/>
            </w:pPr>
            <w:r w:rsidRPr="00745C3F">
              <w:t>Quality assurance systems</w:t>
            </w:r>
          </w:p>
          <w:p w:rsidR="00000000" w:rsidRPr="00745C3F" w:rsidP="00745C3F">
            <w:pPr>
              <w:pStyle w:val="ListBullet3"/>
            </w:pPr>
            <w:r w:rsidRPr="00745C3F">
              <w:t>Requirements</w:t>
            </w:r>
          </w:p>
          <w:p w:rsidR="00000000" w:rsidRPr="00745C3F" w:rsidP="00745C3F">
            <w:pPr>
              <w:pStyle w:val="ListBullet3"/>
            </w:pPr>
            <w:r w:rsidRPr="00745C3F">
              <w:t>Testing procedures</w:t>
            </w:r>
          </w:p>
          <w:p w:rsidR="00000000" w:rsidRPr="00745C3F" w:rsidP="00745C3F">
            <w:pPr>
              <w:pStyle w:val="ListBullet3"/>
            </w:pPr>
            <w:r w:rsidRPr="00745C3F">
              <w:t>Work clearance systems</w:t>
            </w:r>
          </w:p>
        </w:tc>
      </w:tr>
    </w:tbl>
    <w:p w:rsidR="00000000" w:rsidRPr="00745C3F" w:rsidP="00745C3F">
      <w:pPr>
        <w:pStyle w:val="BodyText"/>
      </w:pPr>
    </w:p>
    <w:p w:rsidR="00000000" w:rsidRPr="00745C3F" w:rsidP="00745C3F">
      <w:pPr>
        <w:pStyle w:val="AllowPageBreak"/>
      </w:pPr>
    </w:p>
    <w:p w:rsidR="00000000" w:rsidRPr="00745C3F" w:rsidP="00745C3F">
      <w:pPr>
        <w:pStyle w:val="Heading1"/>
      </w:pPr>
      <w:bookmarkStart w:id="12" w:name="O_459817"/>
      <w:bookmarkEnd w:id="12"/>
      <w:r w:rsidRPr="00745C3F">
        <w:t>Unit Sector(s)</w:t>
      </w:r>
    </w:p>
    <w:p w:rsidR="00000000" w:rsidRPr="00745C3F" w:rsidP="00745C3F">
      <w:pPr>
        <w:pStyle w:val="BodyText"/>
      </w:pPr>
      <w:r w:rsidRPr="00745C3F">
        <w:t>Not applicable.</w:t>
      </w:r>
    </w:p>
    <w:p w:rsidR="00000000" w:rsidRPr="00745C3F" w:rsidP="00745C3F">
      <w:pPr>
        <w:pStyle w:val="AllowPageBreak"/>
      </w:pPr>
    </w:p>
    <w:p w:rsidR="00000000" w:rsidRPr="00745C3F" w:rsidP="00745C3F">
      <w:pPr>
        <w:pStyle w:val="Heading1"/>
      </w:pPr>
      <w:bookmarkStart w:id="13" w:name="O_459806"/>
      <w:bookmarkEnd w:id="13"/>
      <w:r w:rsidRPr="00745C3F">
        <w:t>Competency Field</w:t>
      </w:r>
    </w:p>
    <w:tbl>
      <w:tblPr>
        <w:tblW w:w="0" w:type="auto"/>
        <w:tblLayout w:type="fixed"/>
        <w:tblCellMar>
          <w:left w:w="62" w:type="dxa"/>
          <w:right w:w="62" w:type="dxa"/>
        </w:tblCellMar>
        <w:tblLook w:val="0000"/>
      </w:tblPr>
      <w:tblGrid>
        <w:gridCol w:w="2700"/>
        <w:gridCol w:w="5760"/>
      </w:tblGrid>
      <w:tr w:rsidTr="0080208B">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5C3F">
            <w:pPr>
              <w:pStyle w:val="BodyText"/>
              <w:rPr>
                <w:lang w:val="en-NZ"/>
              </w:rPr>
            </w:pPr>
            <w:r w:rsidRPr="00745C3F">
              <w:rPr>
                <w:rStyle w:val="SpecialBold"/>
              </w:rPr>
              <w:t xml:space="preserve">11) </w:t>
            </w:r>
          </w:p>
        </w:tc>
      </w:tr>
      <w:tr w:rsidTr="008020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5C3F" w:rsidP="00745C3F">
            <w:pPr>
              <w:pStyle w:val="BodyText"/>
            </w:pPr>
            <w:r w:rsidRPr="00745C3F">
              <w:t>Substation Units</w:t>
            </w:r>
          </w:p>
        </w:tc>
      </w:tr>
    </w:tbl>
    <w:p w:rsidR="00000000" w:rsidRPr="00745C3F" w:rsidP="00745C3F">
      <w:pPr>
        <w:pStyle w:val="BodyText"/>
      </w:pPr>
    </w:p>
    <w:p w:rsidR="00000000" w:rsidRPr="00745C3F" w:rsidP="00745C3F"/>
    <w:sectPr w:rsidSect="00745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08B" w:rsidP="00802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8B" w:rsidP="00745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0208B" w:rsidP="00745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208B" w:rsidP="00745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08B" w:rsidP="008020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8B" w:rsidP="00745C3F">
    <w:pPr>
      <w:pStyle w:val="Header"/>
      <w:framePr w:wrap="around"/>
    </w:pPr>
    <w:r>
      <w:fldChar w:fldCharType="begin"/>
    </w:r>
    <w:r>
      <w:instrText xml:space="preserve"> TITLE   \* MERGEFORMAT </w:instrText>
    </w:r>
    <w:r>
      <w:fldChar w:fldCharType="separate"/>
    </w:r>
    <w:r>
      <w:t>UETTDRSB35A Maintain discrete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208B" w:rsidP="00745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D6A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C8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05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C3F"/>
    <w:pPr>
      <w:spacing w:before="360" w:after="60"/>
      <w:outlineLvl w:val="0"/>
    </w:pPr>
    <w:rPr>
      <w:sz w:val="32"/>
    </w:rPr>
  </w:style>
  <w:style w:type="paragraph" w:styleId="Heading2">
    <w:name w:val="heading 2"/>
    <w:basedOn w:val="HeadingBase"/>
    <w:next w:val="BodyText"/>
    <w:link w:val="Heading2Char"/>
    <w:qFormat/>
    <w:rsid w:val="00745C3F"/>
    <w:pPr>
      <w:keepLines/>
      <w:spacing w:before="240" w:after="120"/>
      <w:outlineLvl w:val="1"/>
    </w:pPr>
    <w:rPr>
      <w:sz w:val="28"/>
      <w:szCs w:val="40"/>
    </w:rPr>
  </w:style>
  <w:style w:type="paragraph" w:styleId="Heading3">
    <w:name w:val="heading 3"/>
    <w:basedOn w:val="HeadingBase"/>
    <w:next w:val="BodyText"/>
    <w:link w:val="Heading3Char"/>
    <w:qFormat/>
    <w:rsid w:val="00745C3F"/>
    <w:pPr>
      <w:spacing w:before="180" w:after="120"/>
      <w:outlineLvl w:val="2"/>
    </w:pPr>
    <w:rPr>
      <w:spacing w:val="-10"/>
      <w:kern w:val="32"/>
    </w:rPr>
  </w:style>
  <w:style w:type="paragraph" w:styleId="Heading4">
    <w:name w:val="heading 4"/>
    <w:basedOn w:val="HeadingBase"/>
    <w:next w:val="BodyText"/>
    <w:link w:val="Heading4Char"/>
    <w:qFormat/>
    <w:rsid w:val="00745C3F"/>
    <w:pPr>
      <w:spacing w:before="160" w:after="120"/>
      <w:outlineLvl w:val="3"/>
    </w:pPr>
    <w:rPr>
      <w:sz w:val="22"/>
    </w:rPr>
  </w:style>
  <w:style w:type="paragraph" w:styleId="Heading5">
    <w:name w:val="heading 5"/>
    <w:basedOn w:val="HeadingBase"/>
    <w:next w:val="Normal"/>
    <w:link w:val="Heading5Char"/>
    <w:qFormat/>
    <w:rsid w:val="00745C3F"/>
    <w:pPr>
      <w:spacing w:before="80"/>
      <w:outlineLvl w:val="4"/>
    </w:pPr>
    <w:rPr>
      <w:color w:val="918585"/>
      <w:sz w:val="20"/>
    </w:rPr>
  </w:style>
  <w:style w:type="paragraph" w:styleId="Heading6">
    <w:name w:val="heading 6"/>
    <w:basedOn w:val="HeadingBase"/>
    <w:next w:val="Normal"/>
    <w:link w:val="Heading6Char"/>
    <w:qFormat/>
    <w:rsid w:val="00745C3F"/>
    <w:pPr>
      <w:spacing w:before="60"/>
      <w:outlineLvl w:val="5"/>
    </w:pPr>
    <w:rPr>
      <w:color w:val="918585"/>
      <w:sz w:val="20"/>
    </w:rPr>
  </w:style>
  <w:style w:type="paragraph" w:styleId="Heading7">
    <w:name w:val="heading 7"/>
    <w:basedOn w:val="Normal"/>
    <w:next w:val="Normal"/>
    <w:link w:val="Heading7Char"/>
    <w:qFormat/>
    <w:rsid w:val="00745C3F"/>
    <w:pPr>
      <w:ind w:left="720"/>
      <w:outlineLvl w:val="6"/>
    </w:pPr>
    <w:rPr>
      <w:i/>
    </w:rPr>
  </w:style>
  <w:style w:type="paragraph" w:styleId="Heading8">
    <w:name w:val="heading 8"/>
    <w:basedOn w:val="Normal"/>
    <w:next w:val="Normal"/>
    <w:link w:val="Heading8Char"/>
    <w:qFormat/>
    <w:rsid w:val="00745C3F"/>
    <w:pPr>
      <w:ind w:left="720"/>
      <w:outlineLvl w:val="7"/>
    </w:pPr>
    <w:rPr>
      <w:i/>
    </w:rPr>
  </w:style>
  <w:style w:type="paragraph" w:styleId="Heading9">
    <w:name w:val="heading 9"/>
    <w:basedOn w:val="Normal"/>
    <w:next w:val="Normal"/>
    <w:link w:val="Heading9Char"/>
    <w:qFormat/>
    <w:rsid w:val="00745C3F"/>
    <w:pPr>
      <w:ind w:left="720"/>
      <w:outlineLvl w:val="8"/>
    </w:pPr>
    <w:rPr>
      <w:i/>
    </w:rPr>
  </w:style>
  <w:style w:type="character" w:default="1" w:styleId="DefaultParagraphFont">
    <w:name w:val="Default Paragraph Font"/>
    <w:uiPriority w:val="1"/>
    <w:unhideWhenUsed/>
    <w:rsid w:val="00745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C3F"/>
  </w:style>
  <w:style w:type="character" w:customStyle="1" w:styleId="Heading1Char">
    <w:name w:val="Heading 1 Char"/>
    <w:basedOn w:val="DefaultParagraphFont"/>
    <w:link w:val="Heading1"/>
    <w:rsid w:val="00745C3F"/>
    <w:rPr>
      <w:rFonts w:ascii="Times New Roman" w:eastAsia="Times New Roman" w:hAnsi="Times New Roman" w:cs="Times New Roman"/>
      <w:b/>
      <w:sz w:val="32"/>
      <w:szCs w:val="20"/>
      <w:lang w:eastAsia="en-US"/>
    </w:rPr>
  </w:style>
  <w:style w:type="paragraph" w:styleId="BodyText">
    <w:name w:val="Body Text"/>
    <w:basedOn w:val="Normal"/>
    <w:link w:val="BodyTextChar"/>
    <w:rsid w:val="00745C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C3F"/>
    <w:rPr>
      <w:rFonts w:ascii="Times New Roman" w:eastAsia="Times New Roman" w:hAnsi="Times New Roman" w:cs="Times New Roman"/>
      <w:sz w:val="24"/>
      <w:lang w:val="en-US" w:eastAsia="en-US"/>
    </w:rPr>
  </w:style>
  <w:style w:type="paragraph" w:styleId="Footer">
    <w:name w:val="footer"/>
    <w:basedOn w:val="Normal"/>
    <w:link w:val="FooterChar"/>
    <w:rsid w:val="00745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C3F"/>
    <w:rPr>
      <w:rFonts w:ascii="Times New Roman" w:eastAsia="Times New Roman" w:hAnsi="Times New Roman" w:cs="Times New Roman"/>
      <w:sz w:val="16"/>
      <w:lang w:val="en-US" w:eastAsia="en-US"/>
    </w:rPr>
  </w:style>
  <w:style w:type="paragraph" w:styleId="ListBullet">
    <w:name w:val="List Bullet"/>
    <w:basedOn w:val="List"/>
    <w:rsid w:val="00745C3F"/>
    <w:pPr>
      <w:numPr>
        <w:numId w:val="14"/>
      </w:numPr>
      <w:tabs>
        <w:tab w:val="clear" w:pos="340"/>
      </w:tabs>
      <w:spacing w:before="40" w:after="40"/>
    </w:pPr>
  </w:style>
  <w:style w:type="character" w:customStyle="1" w:styleId="SpecialBold">
    <w:name w:val="Special Bold"/>
    <w:basedOn w:val="DefaultParagraphFont"/>
    <w:rsid w:val="00745C3F"/>
    <w:rPr>
      <w:b/>
      <w:spacing w:val="0"/>
    </w:rPr>
  </w:style>
  <w:style w:type="paragraph" w:styleId="ListBullet2">
    <w:name w:val="List Bullet 2"/>
    <w:basedOn w:val="List2"/>
    <w:rsid w:val="00745C3F"/>
    <w:pPr>
      <w:numPr>
        <w:numId w:val="15"/>
      </w:numPr>
      <w:tabs>
        <w:tab w:val="clear" w:pos="680"/>
      </w:tabs>
    </w:pPr>
  </w:style>
  <w:style w:type="paragraph" w:styleId="Header">
    <w:name w:val="header"/>
    <w:basedOn w:val="Normal"/>
    <w:link w:val="HeaderChar"/>
    <w:rsid w:val="00745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C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C3F"/>
    <w:pPr>
      <w:spacing w:before="240" w:after="120"/>
      <w:outlineLvl w:val="0"/>
    </w:pPr>
    <w:rPr>
      <w:rFonts w:ascii="Times New Roman" w:hAnsi="Times New Roman"/>
      <w:b/>
      <w:sz w:val="28"/>
    </w:rPr>
  </w:style>
  <w:style w:type="paragraph" w:customStyle="1" w:styleId="AllowPageBreak">
    <w:name w:val="AllowPageBreak"/>
    <w:rsid w:val="00745C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5C3F"/>
    <w:pPr>
      <w:numPr>
        <w:numId w:val="3"/>
      </w:numPr>
      <w:tabs>
        <w:tab w:val="clear" w:pos="1021"/>
      </w:tabs>
      <w:ind w:left="1037" w:hanging="357"/>
    </w:pPr>
  </w:style>
  <w:style w:type="character" w:customStyle="1" w:styleId="Heading2Char">
    <w:name w:val="Heading 2 Char"/>
    <w:basedOn w:val="DefaultParagraphFont"/>
    <w:link w:val="Heading2"/>
    <w:rsid w:val="00745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C3F"/>
    <w:rPr>
      <w:rFonts w:ascii="Courier New" w:eastAsia="Times New Roman" w:hAnsi="Courier New" w:cs="Times New Roman"/>
      <w:i/>
      <w:szCs w:val="20"/>
      <w:lang w:val="en-US" w:eastAsia="en-US"/>
    </w:rPr>
  </w:style>
  <w:style w:type="paragraph" w:customStyle="1" w:styleId="HeadingBase">
    <w:name w:val="Heading Base"/>
    <w:rsid w:val="00745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C3F"/>
    <w:pPr>
      <w:tabs>
        <w:tab w:val="right" w:leader="dot" w:pos="9072"/>
      </w:tabs>
      <w:ind w:left="567"/>
    </w:pPr>
    <w:rPr>
      <w:szCs w:val="22"/>
    </w:rPr>
  </w:style>
  <w:style w:type="paragraph" w:customStyle="1" w:styleId="TOCBase">
    <w:name w:val="TOC Base"/>
    <w:rsid w:val="00745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C3F"/>
    <w:pPr>
      <w:tabs>
        <w:tab w:val="right" w:leader="dot" w:pos="9072"/>
      </w:tabs>
      <w:spacing w:before="40" w:after="40"/>
      <w:ind w:left="284"/>
    </w:pPr>
    <w:rPr>
      <w:rFonts w:ascii="Times New Roman" w:hAnsi="Times New Roman"/>
    </w:rPr>
  </w:style>
  <w:style w:type="paragraph" w:styleId="TOC1">
    <w:name w:val="toc 1"/>
    <w:basedOn w:val="TOCBase"/>
    <w:next w:val="Normal"/>
    <w:rsid w:val="00745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C3F"/>
    <w:pPr>
      <w:spacing w:before="5040"/>
      <w:jc w:val="center"/>
    </w:pPr>
    <w:rPr>
      <w:sz w:val="48"/>
      <w:szCs w:val="72"/>
      <w:lang w:val="en-US"/>
    </w:rPr>
  </w:style>
  <w:style w:type="character" w:customStyle="1" w:styleId="TitleChar">
    <w:name w:val="Title Char"/>
    <w:basedOn w:val="DefaultParagraphFont"/>
    <w:link w:val="Title"/>
    <w:rsid w:val="00745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C3F"/>
    <w:pPr>
      <w:tabs>
        <w:tab w:val="left" w:pos="3600"/>
        <w:tab w:val="left" w:pos="3958"/>
      </w:tabs>
    </w:pPr>
  </w:style>
  <w:style w:type="paragraph" w:styleId="List">
    <w:name w:val="List"/>
    <w:basedOn w:val="BodyText"/>
    <w:next w:val="BodyText"/>
    <w:rsid w:val="00745C3F"/>
    <w:pPr>
      <w:tabs>
        <w:tab w:val="left" w:pos="340"/>
      </w:tabs>
      <w:spacing w:before="60" w:after="60"/>
      <w:ind w:left="340" w:hanging="340"/>
    </w:pPr>
  </w:style>
  <w:style w:type="paragraph" w:customStyle="1" w:styleId="Note">
    <w:name w:val="Note"/>
    <w:basedOn w:val="BodyText"/>
    <w:rsid w:val="00745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C3F"/>
    <w:pPr>
      <w:framePr w:wrap="auto" w:hAnchor="text" w:y="6049"/>
    </w:pPr>
    <w:rPr>
      <w:color w:val="000000"/>
      <w:sz w:val="40"/>
    </w:rPr>
  </w:style>
  <w:style w:type="paragraph" w:customStyle="1" w:styleId="TOCTitle">
    <w:name w:val="TOCTitle"/>
    <w:basedOn w:val="Heading1"/>
    <w:rsid w:val="00745C3F"/>
    <w:pPr>
      <w:spacing w:after="240"/>
      <w:jc w:val="center"/>
      <w:outlineLvl w:val="9"/>
    </w:pPr>
    <w:rPr>
      <w:caps/>
    </w:rPr>
  </w:style>
  <w:style w:type="paragraph" w:customStyle="1" w:styleId="Version">
    <w:name w:val="Version"/>
    <w:rsid w:val="00745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C3F"/>
    <w:pPr>
      <w:keepNext w:val="0"/>
      <w:tabs>
        <w:tab w:val="right" w:pos="4176"/>
      </w:tabs>
      <w:ind w:left="198" w:hanging="198"/>
    </w:pPr>
    <w:rPr>
      <w:rFonts w:ascii="Garamond" w:hAnsi="Garamond"/>
    </w:rPr>
  </w:style>
  <w:style w:type="paragraph" w:styleId="IndexHeading">
    <w:name w:val="index heading"/>
    <w:basedOn w:val="Normal"/>
    <w:next w:val="Index1"/>
    <w:semiHidden/>
    <w:rsid w:val="00745C3F"/>
    <w:pPr>
      <w:spacing w:before="120" w:after="120"/>
    </w:pPr>
    <w:rPr>
      <w:rFonts w:ascii="Arial" w:hAnsi="Arial"/>
      <w:b/>
      <w:color w:val="918585"/>
      <w:sz w:val="24"/>
    </w:rPr>
  </w:style>
  <w:style w:type="paragraph" w:customStyle="1" w:styleId="Chapter">
    <w:name w:val="Chapter"/>
    <w:basedOn w:val="Normal"/>
    <w:rsid w:val="00745C3F"/>
    <w:pPr>
      <w:spacing w:before="240"/>
    </w:pPr>
    <w:rPr>
      <w:rFonts w:ascii="Times New Roman" w:hAnsi="Times New Roman"/>
      <w:smallCaps/>
      <w:spacing w:val="80"/>
      <w:sz w:val="28"/>
    </w:rPr>
  </w:style>
  <w:style w:type="paragraph" w:customStyle="1" w:styleId="InChapter">
    <w:name w:val="InChapter"/>
    <w:basedOn w:val="Heading3"/>
    <w:rsid w:val="00745C3F"/>
    <w:pPr>
      <w:spacing w:after="240"/>
      <w:outlineLvl w:val="9"/>
    </w:pPr>
    <w:rPr>
      <w:noProof/>
    </w:rPr>
  </w:style>
  <w:style w:type="paragraph" w:styleId="Index2">
    <w:name w:val="index 2"/>
    <w:basedOn w:val="Normal"/>
    <w:next w:val="Normal"/>
    <w:semiHidden/>
    <w:rsid w:val="00745C3F"/>
    <w:pPr>
      <w:tabs>
        <w:tab w:val="right" w:pos="4176"/>
      </w:tabs>
      <w:ind w:left="568" w:hanging="284"/>
    </w:pPr>
    <w:rPr>
      <w:rFonts w:ascii="Garamond" w:hAnsi="Garamond"/>
    </w:rPr>
  </w:style>
  <w:style w:type="paragraph" w:customStyle="1" w:styleId="Byline">
    <w:name w:val="Byline"/>
    <w:rsid w:val="00745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C3F"/>
    <w:pPr>
      <w:tabs>
        <w:tab w:val="clear" w:pos="3600"/>
        <w:tab w:val="clear" w:pos="3958"/>
      </w:tabs>
      <w:jc w:val="right"/>
    </w:pPr>
  </w:style>
  <w:style w:type="character" w:styleId="Emphasis">
    <w:name w:val="Emphasis"/>
    <w:basedOn w:val="DefaultParagraphFont"/>
    <w:qFormat/>
    <w:rsid w:val="00745C3F"/>
    <w:rPr>
      <w:i/>
    </w:rPr>
  </w:style>
  <w:style w:type="paragraph" w:styleId="Caption">
    <w:name w:val="caption"/>
    <w:basedOn w:val="BodyText"/>
    <w:next w:val="Normal"/>
    <w:qFormat/>
    <w:rsid w:val="00745C3F"/>
    <w:pPr>
      <w:framePr w:w="2268" w:hSpace="181" w:vSpace="181" w:wrap="around" w:vAnchor="text" w:hAnchor="page" w:x="1135" w:y="285" w:anchorLock="1"/>
    </w:pPr>
    <w:rPr>
      <w:i/>
    </w:rPr>
  </w:style>
  <w:style w:type="paragraph" w:customStyle="1" w:styleId="MiniTOCTitle">
    <w:name w:val="MiniTOCTitle"/>
    <w:basedOn w:val="Heading4"/>
    <w:rsid w:val="00745C3F"/>
    <w:pPr>
      <w:spacing w:before="240"/>
      <w:outlineLvl w:val="9"/>
    </w:pPr>
    <w:rPr>
      <w:noProof/>
      <w:sz w:val="24"/>
    </w:rPr>
  </w:style>
  <w:style w:type="paragraph" w:customStyle="1" w:styleId="MiniTOCItem">
    <w:name w:val="MiniTOCItem"/>
    <w:basedOn w:val="ListBullet"/>
    <w:rsid w:val="00745C3F"/>
    <w:pPr>
      <w:numPr>
        <w:numId w:val="0"/>
      </w:numPr>
      <w:tabs>
        <w:tab w:val="right" w:leader="dot" w:pos="6521"/>
      </w:tabs>
      <w:spacing w:before="0" w:after="0"/>
    </w:pPr>
  </w:style>
  <w:style w:type="paragraph" w:customStyle="1" w:styleId="TOFTitle">
    <w:name w:val="TOFTitle"/>
    <w:basedOn w:val="TOCTitle"/>
    <w:rsid w:val="00745C3F"/>
  </w:style>
  <w:style w:type="paragraph" w:styleId="TableofFigures">
    <w:name w:val="table of figures"/>
    <w:basedOn w:val="Normal"/>
    <w:next w:val="Normal"/>
    <w:semiHidden/>
    <w:rsid w:val="00745C3F"/>
    <w:pPr>
      <w:tabs>
        <w:tab w:val="right" w:leader="dot" w:pos="9072"/>
      </w:tabs>
      <w:ind w:left="970" w:hanging="403"/>
    </w:pPr>
    <w:rPr>
      <w:rFonts w:ascii="Times New Roman" w:hAnsi="Times New Roman"/>
      <w:b/>
    </w:rPr>
  </w:style>
  <w:style w:type="paragraph" w:styleId="ListNumber">
    <w:name w:val="List Number"/>
    <w:basedOn w:val="List"/>
    <w:rsid w:val="00745C3F"/>
    <w:pPr>
      <w:numPr>
        <w:numId w:val="12"/>
      </w:numPr>
    </w:pPr>
  </w:style>
  <w:style w:type="character" w:customStyle="1" w:styleId="WingdingSymbols">
    <w:name w:val="Wingding Symbols"/>
    <w:rsid w:val="00745C3F"/>
    <w:rPr>
      <w:rFonts w:ascii="Wingdings" w:hAnsi="Wingdings"/>
    </w:rPr>
  </w:style>
  <w:style w:type="paragraph" w:customStyle="1" w:styleId="TableHeading">
    <w:name w:val="Table Heading"/>
    <w:basedOn w:val="HeadingBase"/>
    <w:rsid w:val="00745C3F"/>
    <w:pPr>
      <w:keepLines/>
      <w:pBdr>
        <w:bottom w:val="single" w:sz="6" w:space="1" w:color="918585"/>
      </w:pBdr>
      <w:spacing w:before="240"/>
    </w:pPr>
  </w:style>
  <w:style w:type="character" w:customStyle="1" w:styleId="HotSpot">
    <w:name w:val="HotSpot"/>
    <w:rsid w:val="00745C3F"/>
    <w:rPr>
      <w:color w:val="0033CC"/>
      <w:u w:val="none"/>
    </w:rPr>
  </w:style>
  <w:style w:type="paragraph" w:customStyle="1" w:styleId="BodyTextRight">
    <w:name w:val="Body Text Right"/>
    <w:basedOn w:val="BodyText"/>
    <w:rsid w:val="00745C3F"/>
    <w:pPr>
      <w:spacing w:before="0" w:after="0"/>
      <w:jc w:val="right"/>
    </w:pPr>
  </w:style>
  <w:style w:type="paragraph" w:styleId="Index3">
    <w:name w:val="index 3"/>
    <w:basedOn w:val="ListNumber2"/>
    <w:next w:val="Normal"/>
    <w:semiHidden/>
    <w:rsid w:val="00745C3F"/>
    <w:pPr>
      <w:numPr>
        <w:numId w:val="0"/>
      </w:numPr>
      <w:tabs>
        <w:tab w:val="right" w:leader="dot" w:pos="4176"/>
      </w:tabs>
    </w:pPr>
  </w:style>
  <w:style w:type="paragraph" w:styleId="ListNumber2">
    <w:name w:val="List Number 2"/>
    <w:basedOn w:val="List2"/>
    <w:rsid w:val="00745C3F"/>
    <w:pPr>
      <w:numPr>
        <w:numId w:val="11"/>
      </w:numPr>
      <w:tabs>
        <w:tab w:val="clear" w:pos="1060"/>
      </w:tabs>
    </w:pPr>
  </w:style>
  <w:style w:type="paragraph" w:customStyle="1" w:styleId="MarginNote">
    <w:name w:val="Margin Note"/>
    <w:basedOn w:val="BodyText"/>
    <w:rsid w:val="00745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C3F"/>
    <w:rPr>
      <w:sz w:val="32"/>
    </w:rPr>
  </w:style>
  <w:style w:type="paragraph" w:customStyle="1" w:styleId="HeadingProcedure">
    <w:name w:val="Heading Procedure"/>
    <w:basedOn w:val="HeadingBase"/>
    <w:next w:val="Normal"/>
    <w:rsid w:val="00745C3F"/>
    <w:pPr>
      <w:tabs>
        <w:tab w:val="left" w:pos="0"/>
      </w:tabs>
      <w:spacing w:before="120" w:after="60"/>
    </w:pPr>
    <w:rPr>
      <w:i/>
      <w:color w:val="918585"/>
      <w:sz w:val="22"/>
    </w:rPr>
  </w:style>
  <w:style w:type="paragraph" w:customStyle="1" w:styleId="TableBodyText">
    <w:name w:val="Table Body Text"/>
    <w:basedOn w:val="BodyText"/>
    <w:rsid w:val="00745C3F"/>
    <w:pPr>
      <w:spacing w:before="60" w:after="60"/>
    </w:pPr>
  </w:style>
  <w:style w:type="paragraph" w:styleId="ListContinue">
    <w:name w:val="List Continue"/>
    <w:basedOn w:val="List"/>
    <w:rsid w:val="00745C3F"/>
    <w:pPr>
      <w:ind w:firstLine="0"/>
    </w:pPr>
  </w:style>
  <w:style w:type="paragraph" w:customStyle="1" w:styleId="ListNote">
    <w:name w:val="List Note"/>
    <w:basedOn w:val="List"/>
    <w:rsid w:val="00745C3F"/>
    <w:pPr>
      <w:pBdr>
        <w:top w:val="single" w:sz="6" w:space="2" w:color="918585"/>
        <w:bottom w:val="single" w:sz="6" w:space="2" w:color="918585"/>
      </w:pBdr>
      <w:tabs>
        <w:tab w:val="left" w:pos="1021"/>
      </w:tabs>
      <w:ind w:firstLine="0"/>
    </w:pPr>
  </w:style>
  <w:style w:type="paragraph" w:customStyle="1" w:styleId="Warning">
    <w:name w:val="Warning"/>
    <w:basedOn w:val="BodyText"/>
    <w:rsid w:val="00745C3F"/>
    <w:pPr>
      <w:shd w:val="clear" w:color="auto" w:fill="D9D9D9"/>
      <w:tabs>
        <w:tab w:val="left" w:pos="992"/>
      </w:tabs>
      <w:ind w:left="119" w:right="119"/>
    </w:pPr>
    <w:rPr>
      <w:sz w:val="20"/>
    </w:rPr>
  </w:style>
  <w:style w:type="paragraph" w:customStyle="1" w:styleId="MarginIcons">
    <w:name w:val="Margin Icons"/>
    <w:basedOn w:val="BodyText"/>
    <w:rsid w:val="00745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C3F"/>
    <w:rPr>
      <w:rFonts w:ascii="Courier New" w:hAnsi="Courier New"/>
    </w:rPr>
  </w:style>
  <w:style w:type="paragraph" w:customStyle="1" w:styleId="NoteBullet">
    <w:name w:val="Note Bullet"/>
    <w:basedOn w:val="Note"/>
    <w:rsid w:val="00745C3F"/>
    <w:pPr>
      <w:tabs>
        <w:tab w:val="clear" w:pos="680"/>
      </w:tabs>
      <w:spacing w:before="60" w:after="60"/>
    </w:pPr>
  </w:style>
  <w:style w:type="paragraph" w:customStyle="1" w:styleId="SubHeading2">
    <w:name w:val="SubHeading2"/>
    <w:basedOn w:val="HeadingBase"/>
    <w:rsid w:val="00745C3F"/>
    <w:pPr>
      <w:spacing w:before="240" w:after="60"/>
    </w:pPr>
    <w:rPr>
      <w:sz w:val="20"/>
    </w:rPr>
  </w:style>
  <w:style w:type="paragraph" w:customStyle="1" w:styleId="SubHeading1">
    <w:name w:val="SubHeading1"/>
    <w:basedOn w:val="HeadingBase"/>
    <w:rsid w:val="00745C3F"/>
    <w:pPr>
      <w:spacing w:before="240" w:after="60"/>
    </w:pPr>
    <w:rPr>
      <w:color w:val="918585"/>
      <w:sz w:val="22"/>
    </w:rPr>
  </w:style>
  <w:style w:type="paragraph" w:customStyle="1" w:styleId="SideHeading">
    <w:name w:val="Side Heading"/>
    <w:basedOn w:val="HeadingBase"/>
    <w:rsid w:val="00745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C3F"/>
    <w:pPr>
      <w:numPr>
        <w:numId w:val="13"/>
      </w:numPr>
    </w:pPr>
  </w:style>
  <w:style w:type="paragraph" w:styleId="PlainText">
    <w:name w:val="Plain Text"/>
    <w:basedOn w:val="Normal"/>
    <w:link w:val="PlainTextChar"/>
    <w:rsid w:val="00745C3F"/>
    <w:rPr>
      <w:sz w:val="20"/>
    </w:rPr>
  </w:style>
  <w:style w:type="character" w:customStyle="1" w:styleId="PlainTextChar">
    <w:name w:val="Plain Text Char"/>
    <w:basedOn w:val="DefaultParagraphFont"/>
    <w:link w:val="PlainText"/>
    <w:rsid w:val="00745C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C3F"/>
    <w:rPr>
      <w:b/>
      <w:smallCaps/>
    </w:rPr>
  </w:style>
  <w:style w:type="paragraph" w:customStyle="1" w:styleId="TableListNumber">
    <w:name w:val="Table List Number"/>
    <w:basedOn w:val="ListNumber"/>
    <w:rsid w:val="00745C3F"/>
    <w:pPr>
      <w:numPr>
        <w:numId w:val="0"/>
      </w:numPr>
    </w:pPr>
  </w:style>
  <w:style w:type="paragraph" w:styleId="TOC4">
    <w:name w:val="toc 4"/>
    <w:basedOn w:val="TOCBase"/>
    <w:next w:val="Normal"/>
    <w:semiHidden/>
    <w:rsid w:val="00745C3F"/>
    <w:pPr>
      <w:tabs>
        <w:tab w:val="right" w:leader="dot" w:pos="9071"/>
      </w:tabs>
      <w:ind w:left="1701"/>
    </w:pPr>
  </w:style>
  <w:style w:type="paragraph" w:customStyle="1" w:styleId="ListAlpha">
    <w:name w:val="List Alpha"/>
    <w:basedOn w:val="List"/>
    <w:rsid w:val="00745C3F"/>
    <w:pPr>
      <w:numPr>
        <w:numId w:val="10"/>
      </w:numPr>
    </w:pPr>
  </w:style>
  <w:style w:type="paragraph" w:customStyle="1" w:styleId="ListAlpha2">
    <w:name w:val="List Alpha 2"/>
    <w:basedOn w:val="List2"/>
    <w:rsid w:val="00745C3F"/>
    <w:pPr>
      <w:numPr>
        <w:numId w:val="9"/>
      </w:numPr>
    </w:pPr>
  </w:style>
  <w:style w:type="paragraph" w:styleId="List2">
    <w:name w:val="List 2"/>
    <w:basedOn w:val="BodyText"/>
    <w:rsid w:val="00745C3F"/>
    <w:pPr>
      <w:tabs>
        <w:tab w:val="left" w:pos="680"/>
      </w:tabs>
      <w:spacing w:before="60" w:after="60"/>
      <w:ind w:left="680" w:hanging="340"/>
    </w:pPr>
  </w:style>
  <w:style w:type="paragraph" w:styleId="List3">
    <w:name w:val="List 3"/>
    <w:basedOn w:val="BodyText"/>
    <w:rsid w:val="00745C3F"/>
    <w:pPr>
      <w:tabs>
        <w:tab w:val="left" w:pos="1021"/>
      </w:tabs>
      <w:spacing w:before="60" w:after="60"/>
      <w:ind w:left="1020" w:hanging="340"/>
    </w:pPr>
  </w:style>
  <w:style w:type="paragraph" w:styleId="List4">
    <w:name w:val="List 4"/>
    <w:basedOn w:val="BodyText"/>
    <w:rsid w:val="00745C3F"/>
    <w:pPr>
      <w:tabs>
        <w:tab w:val="left" w:pos="1361"/>
      </w:tabs>
      <w:spacing w:before="60" w:after="60"/>
      <w:ind w:left="1361" w:hanging="340"/>
    </w:pPr>
  </w:style>
  <w:style w:type="paragraph" w:styleId="List5">
    <w:name w:val="List 5"/>
    <w:basedOn w:val="BodyText"/>
    <w:rsid w:val="00745C3F"/>
    <w:pPr>
      <w:tabs>
        <w:tab w:val="left" w:pos="1701"/>
      </w:tabs>
      <w:spacing w:before="60" w:after="60"/>
      <w:ind w:left="1701" w:hanging="340"/>
    </w:pPr>
  </w:style>
  <w:style w:type="paragraph" w:styleId="ListBullet4">
    <w:name w:val="List Bullet 4"/>
    <w:basedOn w:val="List4"/>
    <w:rsid w:val="00745C3F"/>
    <w:pPr>
      <w:numPr>
        <w:numId w:val="4"/>
      </w:numPr>
    </w:pPr>
  </w:style>
  <w:style w:type="paragraph" w:styleId="ListBullet5">
    <w:name w:val="List Bullet 5"/>
    <w:basedOn w:val="List5"/>
    <w:rsid w:val="00745C3F"/>
    <w:pPr>
      <w:numPr>
        <w:numId w:val="5"/>
      </w:numPr>
    </w:pPr>
  </w:style>
  <w:style w:type="paragraph" w:styleId="ListContinue2">
    <w:name w:val="List Continue 2"/>
    <w:basedOn w:val="List2"/>
    <w:rsid w:val="00745C3F"/>
    <w:pPr>
      <w:ind w:firstLine="0"/>
    </w:pPr>
  </w:style>
  <w:style w:type="paragraph" w:styleId="ListContinue3">
    <w:name w:val="List Continue 3"/>
    <w:basedOn w:val="List3"/>
    <w:rsid w:val="00745C3F"/>
    <w:pPr>
      <w:ind w:left="1021" w:firstLine="0"/>
    </w:pPr>
  </w:style>
  <w:style w:type="paragraph" w:styleId="ListContinue4">
    <w:name w:val="List Continue 4"/>
    <w:basedOn w:val="List4"/>
    <w:rsid w:val="00745C3F"/>
    <w:pPr>
      <w:ind w:firstLine="0"/>
    </w:pPr>
  </w:style>
  <w:style w:type="paragraph" w:styleId="ListContinue5">
    <w:name w:val="List Continue 5"/>
    <w:basedOn w:val="List5"/>
    <w:rsid w:val="00745C3F"/>
    <w:pPr>
      <w:ind w:firstLine="0"/>
    </w:pPr>
  </w:style>
  <w:style w:type="paragraph" w:styleId="ListNumber3">
    <w:name w:val="List Number 3"/>
    <w:basedOn w:val="List3"/>
    <w:rsid w:val="00745C3F"/>
    <w:pPr>
      <w:numPr>
        <w:numId w:val="6"/>
      </w:numPr>
    </w:pPr>
  </w:style>
  <w:style w:type="paragraph" w:styleId="ListNumber4">
    <w:name w:val="List Number 4"/>
    <w:basedOn w:val="List4"/>
    <w:rsid w:val="00745C3F"/>
    <w:pPr>
      <w:numPr>
        <w:numId w:val="7"/>
      </w:numPr>
    </w:pPr>
  </w:style>
  <w:style w:type="paragraph" w:styleId="ListNumber5">
    <w:name w:val="List Number 5"/>
    <w:basedOn w:val="List5"/>
    <w:rsid w:val="00745C3F"/>
    <w:pPr>
      <w:numPr>
        <w:numId w:val="8"/>
      </w:numPr>
    </w:pPr>
  </w:style>
  <w:style w:type="paragraph" w:styleId="BlockText">
    <w:name w:val="Block Text"/>
    <w:basedOn w:val="Normal"/>
    <w:rsid w:val="00745C3F"/>
    <w:pPr>
      <w:spacing w:after="120"/>
      <w:ind w:left="1440" w:right="1440"/>
    </w:pPr>
  </w:style>
  <w:style w:type="character" w:customStyle="1" w:styleId="Subscript">
    <w:name w:val="Subscript"/>
    <w:basedOn w:val="DefaultParagraphFont"/>
    <w:rsid w:val="00745C3F"/>
    <w:rPr>
      <w:sz w:val="16"/>
      <w:vertAlign w:val="subscript"/>
    </w:rPr>
  </w:style>
  <w:style w:type="character" w:customStyle="1" w:styleId="Superscript">
    <w:name w:val="Superscript"/>
    <w:basedOn w:val="DefaultParagraphFont"/>
    <w:rsid w:val="00745C3F"/>
    <w:rPr>
      <w:sz w:val="16"/>
      <w:vertAlign w:val="superscript"/>
    </w:rPr>
  </w:style>
  <w:style w:type="character" w:customStyle="1" w:styleId="Symbols">
    <w:name w:val="Symbols"/>
    <w:basedOn w:val="DefaultParagraphFont"/>
    <w:rsid w:val="00745C3F"/>
    <w:rPr>
      <w:rFonts w:ascii="Symbol" w:hAnsi="Symbol"/>
    </w:rPr>
  </w:style>
  <w:style w:type="character" w:customStyle="1" w:styleId="MenuOptions">
    <w:name w:val="Menu Options"/>
    <w:basedOn w:val="DefaultParagraphFont"/>
    <w:rsid w:val="00745C3F"/>
    <w:rPr>
      <w:rFonts w:ascii="Arial Narrow" w:hAnsi="Arial Narrow"/>
      <w:smallCaps/>
    </w:rPr>
  </w:style>
  <w:style w:type="character" w:customStyle="1" w:styleId="Buttons">
    <w:name w:val="Buttons"/>
    <w:basedOn w:val="DefaultParagraphFont"/>
    <w:rsid w:val="00745C3F"/>
    <w:rPr>
      <w:b/>
    </w:rPr>
  </w:style>
  <w:style w:type="character" w:customStyle="1" w:styleId="Underlined">
    <w:name w:val="Underlined"/>
    <w:basedOn w:val="DefaultParagraphFont"/>
    <w:rsid w:val="00745C3F"/>
    <w:rPr>
      <w:u w:val="single"/>
    </w:rPr>
  </w:style>
  <w:style w:type="paragraph" w:customStyle="1" w:styleId="TableBodyTextRight">
    <w:name w:val="Table Body Text Right"/>
    <w:basedOn w:val="TableBodyText"/>
    <w:rsid w:val="00745C3F"/>
    <w:pPr>
      <w:widowControl w:val="0"/>
      <w:autoSpaceDE w:val="0"/>
      <w:autoSpaceDN w:val="0"/>
      <w:adjustRightInd w:val="0"/>
      <w:jc w:val="right"/>
    </w:pPr>
    <w:rPr>
      <w:rFonts w:cs="Arial"/>
      <w:szCs w:val="18"/>
    </w:rPr>
  </w:style>
  <w:style w:type="paragraph" w:customStyle="1" w:styleId="CopyrightText">
    <w:name w:val="Copyright Text"/>
    <w:basedOn w:val="BodyText"/>
    <w:rsid w:val="00745C3F"/>
    <w:rPr>
      <w:sz w:val="18"/>
    </w:rPr>
  </w:style>
  <w:style w:type="paragraph" w:customStyle="1" w:styleId="BodySmallRight">
    <w:name w:val="Body Small Right"/>
    <w:basedOn w:val="BodyTextRight"/>
    <w:rsid w:val="00745C3F"/>
    <w:rPr>
      <w:sz w:val="18"/>
      <w:szCs w:val="18"/>
    </w:rPr>
  </w:style>
  <w:style w:type="paragraph" w:customStyle="1" w:styleId="MarginEdition">
    <w:name w:val="Margin Edition"/>
    <w:basedOn w:val="MarginNote"/>
    <w:rsid w:val="00745C3F"/>
    <w:pPr>
      <w:spacing w:before="0" w:after="0"/>
    </w:pPr>
    <w:rPr>
      <w:rFonts w:ascii="Times New Roman" w:hAnsi="Times New Roman"/>
      <w:color w:val="999999"/>
    </w:rPr>
  </w:style>
  <w:style w:type="paragraph" w:customStyle="1" w:styleId="Spacer">
    <w:name w:val="Spacer"/>
    <w:basedOn w:val="Normal"/>
    <w:rsid w:val="00745C3F"/>
    <w:rPr>
      <w:sz w:val="2"/>
      <w:szCs w:val="2"/>
    </w:rPr>
  </w:style>
  <w:style w:type="character" w:customStyle="1" w:styleId="Small">
    <w:name w:val="Small"/>
    <w:basedOn w:val="DefaultParagraphFont"/>
    <w:rsid w:val="00745C3F"/>
    <w:rPr>
      <w:sz w:val="16"/>
    </w:rPr>
  </w:style>
  <w:style w:type="paragraph" w:customStyle="1" w:styleId="WideTable">
    <w:name w:val="Wide Table"/>
    <w:basedOn w:val="Normal"/>
    <w:rsid w:val="00745C3F"/>
    <w:pPr>
      <w:ind w:left="-1418"/>
    </w:pPr>
    <w:rPr>
      <w:sz w:val="2"/>
      <w:szCs w:val="2"/>
    </w:rPr>
  </w:style>
  <w:style w:type="character" w:styleId="PageNumber">
    <w:name w:val="page number"/>
    <w:basedOn w:val="DefaultParagraphFont"/>
    <w:rsid w:val="00745C3F"/>
  </w:style>
  <w:style w:type="paragraph" w:styleId="Quote">
    <w:name w:val="Quote"/>
    <w:basedOn w:val="Heading1"/>
    <w:link w:val="QuoteChar"/>
    <w:qFormat/>
    <w:rsid w:val="00745C3F"/>
    <w:rPr>
      <w:b w:val="0"/>
      <w:sz w:val="72"/>
      <w:szCs w:val="72"/>
      <w:lang w:val="en-NZ"/>
    </w:rPr>
  </w:style>
  <w:style w:type="character" w:customStyle="1" w:styleId="QuoteChar">
    <w:name w:val="Quote Char"/>
    <w:basedOn w:val="DefaultParagraphFont"/>
    <w:link w:val="Quote"/>
    <w:rsid w:val="00745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C3F"/>
    <w:pPr>
      <w:pageBreakBefore/>
    </w:pPr>
  </w:style>
  <w:style w:type="paragraph" w:customStyle="1" w:styleId="Border">
    <w:name w:val="Border"/>
    <w:basedOn w:val="Normal"/>
    <w:qFormat/>
    <w:rsid w:val="00745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C3F"/>
    <w:rPr>
      <w:b/>
      <w:bCs/>
      <w:i/>
      <w:iCs/>
      <w:color w:val="auto"/>
    </w:rPr>
  </w:style>
  <w:style w:type="paragraph" w:styleId="IntenseQuote">
    <w:name w:val="Intense Quote"/>
    <w:basedOn w:val="Normal"/>
    <w:next w:val="Normal"/>
    <w:link w:val="IntenseQuoteChar"/>
    <w:uiPriority w:val="30"/>
    <w:qFormat/>
    <w:rsid w:val="00745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C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C3F"/>
    <w:rPr>
      <w:smallCaps/>
      <w:color w:val="auto"/>
      <w:u w:val="single"/>
    </w:rPr>
  </w:style>
  <w:style w:type="character" w:styleId="IntenseReference">
    <w:name w:val="Intense Reference"/>
    <w:basedOn w:val="DefaultParagraphFont"/>
    <w:uiPriority w:val="32"/>
    <w:qFormat/>
    <w:rsid w:val="00745C3F"/>
    <w:rPr>
      <w:b/>
      <w:bCs/>
      <w:smallCaps/>
      <w:color w:val="auto"/>
      <w:spacing w:val="5"/>
      <w:u w:val="single"/>
    </w:rPr>
  </w:style>
  <w:style w:type="paragraph" w:customStyle="1" w:styleId="2ColumnHeading">
    <w:name w:val="2Column Heading"/>
    <w:basedOn w:val="BodyText"/>
    <w:qFormat/>
    <w:rsid w:val="00745C3F"/>
    <w:pPr>
      <w:spacing w:after="60"/>
      <w:ind w:left="-2268"/>
    </w:pPr>
    <w:rPr>
      <w:b/>
    </w:rPr>
  </w:style>
  <w:style w:type="paragraph" w:customStyle="1" w:styleId="Heading1TOC">
    <w:name w:val="Heading1 TOC"/>
    <w:basedOn w:val="Normal"/>
    <w:qFormat/>
    <w:rsid w:val="00745C3F"/>
    <w:pPr>
      <w:spacing w:before="240" w:after="120"/>
    </w:pPr>
    <w:rPr>
      <w:rFonts w:ascii="Times New Roman" w:hAnsi="Times New Roman"/>
      <w:b/>
      <w:sz w:val="32"/>
    </w:rPr>
  </w:style>
  <w:style w:type="paragraph" w:customStyle="1" w:styleId="Heading2TOC">
    <w:name w:val="Heading2 TOC"/>
    <w:basedOn w:val="Normal"/>
    <w:qFormat/>
    <w:rsid w:val="00745C3F"/>
    <w:pPr>
      <w:spacing w:before="240" w:after="60"/>
    </w:pPr>
    <w:rPr>
      <w:rFonts w:ascii="Times New Roman" w:hAnsi="Times New Roman"/>
      <w:b/>
      <w:sz w:val="28"/>
    </w:rPr>
  </w:style>
  <w:style w:type="character" w:customStyle="1" w:styleId="Underline">
    <w:name w:val="Underline"/>
    <w:basedOn w:val="DefaultParagraphFont"/>
    <w:qFormat/>
    <w:rsid w:val="00745C3F"/>
    <w:rPr>
      <w:u w:val="single"/>
    </w:rPr>
  </w:style>
  <w:style w:type="character" w:customStyle="1" w:styleId="BoldandItalics">
    <w:name w:val="Bold and Italics"/>
    <w:qFormat/>
    <w:rsid w:val="00745C3F"/>
    <w:rPr>
      <w:b/>
      <w:i/>
      <w:u w:val="none"/>
    </w:rPr>
  </w:style>
  <w:style w:type="paragraph" w:styleId="BalloonText">
    <w:name w:val="Balloon Text"/>
    <w:basedOn w:val="Normal"/>
    <w:link w:val="BalloonTextChar"/>
    <w:rsid w:val="00745C3F"/>
    <w:rPr>
      <w:rFonts w:ascii="Tahoma" w:hAnsi="Tahoma" w:cs="Tahoma"/>
      <w:sz w:val="16"/>
      <w:szCs w:val="16"/>
    </w:rPr>
  </w:style>
  <w:style w:type="character" w:customStyle="1" w:styleId="BalloonTextChar">
    <w:name w:val="Balloon Text Char"/>
    <w:basedOn w:val="DefaultParagraphFont"/>
    <w:link w:val="BalloonText"/>
    <w:rsid w:val="00745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C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C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2761</Words>
  <Characters>17842</Characters>
  <Application>Microsoft Office Word</Application>
  <DocSecurity>0</DocSecurity>
  <Lines>695</Lines>
  <Paragraphs>279</Paragraphs>
  <ScaleCrop>false</ScaleCrop>
  <Company>Author-it Software Corporation Ltd.</Company>
  <LinksUpToDate>false</LinksUpToDate>
  <CharactersWithSpaces>20395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UETTDRSB35A Maintain discrete control and protection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2012-05-26T12:20:00Z</dcterms:created>
  <dcterms:modified xsi:type="dcterms:W3CDTF">2012-05-26T12:20:00Z</dcterms:modified>
</cp:coreProperties>
</file>