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B01" w:rsidP="00855B01">
      <w:pPr>
        <w:pStyle w:val="Title"/>
      </w:pPr>
      <w:r>
        <w:fldChar w:fldCharType="begin"/>
      </w:r>
      <w:r>
        <w:instrText xml:space="preserve"> TITLE   \* MERGEFORMAT </w:instrText>
      </w:r>
      <w:r>
        <w:fldChar w:fldCharType="separate"/>
      </w:r>
      <w:r>
        <w:t>UETTDRSB26A Install high current DC equipment and switchgear</w:t>
      </w:r>
      <w:r>
        <w:fldChar w:fldCharType="end"/>
      </w:r>
    </w:p>
    <w:p w:rsidR="00855B01" w:rsidP="00855B01">
      <w:pPr>
        <w:pStyle w:val="Version"/>
        <w:sectPr w:rsidSect="000F3D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D4B" w:rsidP="000F3D4B">
      <w:pPr>
        <w:pStyle w:val="SuperHeading"/>
      </w:pPr>
      <w:r w:rsidRPr="000F3D4B">
        <w:t>UETTDRSB26A Install high current DC equipment and switchgear</w:t>
      </w:r>
    </w:p>
    <w:p w:rsidR="00000000" w:rsidRPr="000F3D4B" w:rsidP="000F3D4B">
      <w:pPr>
        <w:pStyle w:val="Heading1"/>
      </w:pPr>
      <w:bookmarkStart w:id="1" w:name="O_459279"/>
      <w:bookmarkEnd w:id="1"/>
      <w:r w:rsidRPr="000F3D4B">
        <w:t>Modification History</w:t>
      </w:r>
    </w:p>
    <w:p w:rsidR="00000000" w:rsidRPr="000F3D4B" w:rsidP="000F3D4B">
      <w:pPr>
        <w:pStyle w:val="BodyText"/>
      </w:pPr>
      <w:r w:rsidRPr="000F3D4B">
        <w:t>Not applicable.</w:t>
      </w:r>
    </w:p>
    <w:p w:rsidR="00000000" w:rsidRPr="000F3D4B" w:rsidP="000F3D4B">
      <w:pPr>
        <w:pStyle w:val="AllowPageBreak"/>
      </w:pPr>
    </w:p>
    <w:p w:rsidR="00000000" w:rsidRPr="000F3D4B" w:rsidP="000F3D4B">
      <w:pPr>
        <w:pStyle w:val="Heading1"/>
      </w:pPr>
      <w:bookmarkStart w:id="2" w:name="O_459277"/>
      <w:bookmarkEnd w:id="2"/>
      <w:r w:rsidRPr="000F3D4B">
        <w:t>Unit Descriptor</w:t>
      </w:r>
    </w:p>
    <w:tbl>
      <w:tblPr>
        <w:tblW w:w="0" w:type="auto"/>
        <w:tblLayout w:type="fixed"/>
        <w:tblCellMar>
          <w:left w:w="62" w:type="dxa"/>
          <w:right w:w="62" w:type="dxa"/>
        </w:tblCellMar>
        <w:tblLook w:val="0000"/>
      </w:tblPr>
      <w:tblGrid>
        <w:gridCol w:w="2700"/>
        <w:gridCol w:w="5760"/>
      </w:tblGrid>
      <w:tr w:rsidTr="00855B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1)</w:t>
            </w:r>
            <w:r w:rsidRPr="000F3D4B">
              <w:t xml:space="preserve"> </w:t>
            </w:r>
            <w:r w:rsidRPr="000F3D4B">
              <w:rPr>
                <w:rStyle w:val="SpecialBold"/>
              </w:rPr>
              <w:t>Scope:</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F3D4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1.1) Descriptor</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t>This Competency Standard Unit covers the installation of DC switchgear and other equipment which may include rectifier transformers, rectifiers, invertors, isolators and links, harmonic filters, negative reactors and EDR’s to ensure correct installation to</w:t>
            </w:r>
            <w:r w:rsidRPr="000F3D4B">
              <w:t xml:space="preserve"> prescribed procedures and standards. It also encompasses the isolation of systems and/or circuits for safe working according to work plans and the visual inspection and necessary checks to ensure that equipment and components have been correctly installed</w:t>
            </w:r>
            <w:r w:rsidRPr="000F3D4B">
              <w:t xml:space="preserve"> according to design and are in a safe condition for pre-commissioning tests prior to energisation, as well as updating of installation data and relevant quality assurance documentation.</w:t>
            </w:r>
          </w:p>
        </w:tc>
      </w:tr>
    </w:tbl>
    <w:p w:rsidR="00000000" w:rsidRPr="000F3D4B" w:rsidP="000F3D4B">
      <w:pPr>
        <w:pStyle w:val="BodyText"/>
      </w:pPr>
    </w:p>
    <w:p w:rsidR="00000000" w:rsidRPr="000F3D4B" w:rsidP="000F3D4B">
      <w:pPr>
        <w:pStyle w:val="AllowPageBreak"/>
      </w:pPr>
    </w:p>
    <w:p w:rsidR="00000000" w:rsidRPr="000F3D4B" w:rsidP="000F3D4B">
      <w:pPr>
        <w:pStyle w:val="Heading1"/>
      </w:pPr>
      <w:bookmarkStart w:id="3" w:name="O_459266"/>
      <w:bookmarkEnd w:id="3"/>
      <w:r w:rsidRPr="000F3D4B">
        <w:t>Application of the Unit</w:t>
      </w:r>
    </w:p>
    <w:tbl>
      <w:tblPr>
        <w:tblW w:w="0" w:type="auto"/>
        <w:tblLayout w:type="fixed"/>
        <w:tblCellMar>
          <w:left w:w="62" w:type="dxa"/>
          <w:right w:w="62" w:type="dxa"/>
        </w:tblCellMar>
        <w:tblLook w:val="0000"/>
      </w:tblPr>
      <w:tblGrid>
        <w:gridCol w:w="2672"/>
        <w:gridCol w:w="5699"/>
      </w:tblGrid>
      <w:tr w:rsidTr="00855B0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2)</w:t>
            </w:r>
          </w:p>
        </w:tc>
      </w:tr>
      <w:tr w:rsidTr="00855B0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t>This Competency Standard Unit is intended to augment formally acquired competencies. It is suitable for employment-based programs under an approved contract of training.</w:t>
            </w:r>
          </w:p>
        </w:tc>
      </w:tr>
    </w:tbl>
    <w:p w:rsidR="00000000" w:rsidRPr="000F3D4B" w:rsidP="000F3D4B">
      <w:pPr>
        <w:pStyle w:val="BodyText"/>
      </w:pPr>
    </w:p>
    <w:p w:rsidR="00000000" w:rsidRPr="000F3D4B" w:rsidP="000F3D4B">
      <w:pPr>
        <w:pStyle w:val="AllowPageBreak"/>
      </w:pPr>
    </w:p>
    <w:p w:rsidR="00000000" w:rsidRPr="000F3D4B" w:rsidP="000F3D4B">
      <w:pPr>
        <w:pStyle w:val="Heading1"/>
      </w:pPr>
      <w:bookmarkStart w:id="4" w:name="O_459273"/>
      <w:bookmarkEnd w:id="4"/>
      <w:r w:rsidRPr="000F3D4B">
        <w:t>Licensing/Regulatory Information</w:t>
      </w:r>
    </w:p>
    <w:tbl>
      <w:tblPr>
        <w:tblW w:w="0" w:type="auto"/>
        <w:tblLayout w:type="fixed"/>
        <w:tblCellMar>
          <w:left w:w="62" w:type="dxa"/>
          <w:right w:w="62" w:type="dxa"/>
        </w:tblCellMar>
        <w:tblLook w:val="0000"/>
      </w:tblPr>
      <w:tblGrid>
        <w:gridCol w:w="2700"/>
        <w:gridCol w:w="5760"/>
      </w:tblGrid>
      <w:tr w:rsidTr="00855B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 xml:space="preserve">3) </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t xml:space="preserve">The skills and knowledge described in this unit requires a licence/registration to practice in the work place subject to </w:t>
            </w:r>
            <w:r w:rsidRPr="000F3D4B">
              <w:t>regulations for undertaking of electrical work. Practice in workplace and during training is also subject to regulations directly relat</w:t>
            </w:r>
            <w:r w:rsidRPr="000F3D4B">
              <w:t>ed to Occupational Health and Safety, electricity/telecommunications/gas/water industry safety and compliance, industrial relations, environmental protection, anti discrimination and training. Commonwealth, State/Territory or Local Government legislation a</w:t>
            </w:r>
            <w:r w:rsidRPr="000F3D4B">
              <w:t>nd regulations may exist that limits the age of operating certain equipment.</w:t>
            </w:r>
          </w:p>
        </w:tc>
      </w:tr>
    </w:tbl>
    <w:p w:rsidR="00000000" w:rsidRPr="000F3D4B" w:rsidP="000F3D4B">
      <w:pPr>
        <w:pStyle w:val="BodyText"/>
      </w:pPr>
    </w:p>
    <w:p w:rsidR="00000000" w:rsidRPr="000F3D4B" w:rsidP="000F3D4B">
      <w:pPr>
        <w:pStyle w:val="AllowPageBreak"/>
      </w:pPr>
    </w:p>
    <w:p w:rsidR="00000000" w:rsidRPr="000F3D4B" w:rsidP="000F3D4B">
      <w:pPr>
        <w:pStyle w:val="Heading1"/>
      </w:pPr>
      <w:bookmarkStart w:id="5" w:name="O_459274"/>
      <w:bookmarkEnd w:id="5"/>
      <w:r w:rsidRPr="000F3D4B">
        <w:t>Pre-Requisites</w:t>
      </w:r>
    </w:p>
    <w:tbl>
      <w:tblPr>
        <w:tblW w:w="0" w:type="auto"/>
        <w:tblLayout w:type="fixed"/>
        <w:tblCellMar>
          <w:left w:w="62" w:type="dxa"/>
          <w:right w:w="62" w:type="dxa"/>
        </w:tblCellMar>
        <w:tblLook w:val="0000"/>
      </w:tblPr>
      <w:tblGrid>
        <w:gridCol w:w="2700"/>
        <w:gridCol w:w="2070"/>
        <w:gridCol w:w="3690"/>
      </w:tblGrid>
      <w:tr w:rsidTr="00855B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 xml:space="preserve">4) </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4.1)</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t>Granting of competency in this unit shall be made only after competency in the following unit(s) has/have been confirmed.</w:t>
            </w:r>
          </w:p>
          <w:p w:rsidR="00000000" w:rsidRPr="000F3D4B" w:rsidP="000F3D4B">
            <w:pPr>
              <w:pStyle w:val="BodyText"/>
            </w:pPr>
            <w:r w:rsidRPr="000F3D4B">
              <w:t xml:space="preserve">Where pre-requisite pathways have been identified. All competencies in the Common Unit Group must be have been completed plus all the </w:t>
            </w:r>
            <w:r w:rsidRPr="000F3D4B">
              <w:t>competencies in one (1) of the identified Pathway Unit Group(s):</w:t>
            </w:r>
          </w:p>
          <w:p w:rsidR="00000000" w:rsidP="000F3D4B">
            <w:pPr>
              <w:pStyle w:val="BodyText"/>
              <w:rPr>
                <w:lang w:val="en-NZ"/>
              </w:rPr>
            </w:pPr>
            <w:r w:rsidRPr="000F3D4B">
              <w:t>Common Unit Group</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Unit Code</w:t>
            </w:r>
            <w:r w:rsidRPr="000F3D4B">
              <w:tab/>
            </w:r>
          </w:p>
        </w:tc>
        <w:tc>
          <w:tcPr>
            <w:tcW w:w="369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Unit Title</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Apply Occupational Health and Safety regulations, codes and practices in the workplace</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Fabricate, assemble and dismantle utilities industry components</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Solve problems in d.c. Circuits</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Fix and secure electrotechnology equipment</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Use drawings, diagrams, schedules, standards, codes and specifications</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UE</w:t>
            </w:r>
            <w:r w:rsidRPr="000F3D4B">
              <w:t>ENEEE137A</w:t>
            </w:r>
          </w:p>
        </w:tc>
        <w:tc>
          <w:tcPr>
            <w:tcW w:w="369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 xml:space="preserve">Document and apply measures to control OHS risks associated with </w:t>
            </w:r>
            <w:r w:rsidRPr="000F3D4B">
              <w:t>electrotechnology work</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UEENEEG006A</w:t>
            </w:r>
          </w:p>
        </w:tc>
        <w:tc>
          <w:tcPr>
            <w:tcW w:w="369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Solve problems in single and three phase low voltage machines</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UEENEEG033A</w:t>
            </w:r>
          </w:p>
        </w:tc>
        <w:tc>
          <w:tcPr>
            <w:tcW w:w="369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Solve problems in single and three phase electrical apparatus and circuits</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UEENEEG063A</w:t>
            </w:r>
          </w:p>
        </w:tc>
        <w:tc>
          <w:tcPr>
            <w:tcW w:w="369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Arrange circuits, control and protection for general electrical installations</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Solve problems in electromagnetic devices and related circuits</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UEENEEG102</w:t>
            </w:r>
            <w:r w:rsidRPr="000F3D4B">
              <w:t>A</w:t>
            </w:r>
          </w:p>
        </w:tc>
        <w:tc>
          <w:tcPr>
            <w:tcW w:w="369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Solve problems in electromagnetic devices and related circuits</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UEENEEG103A</w:t>
            </w:r>
          </w:p>
        </w:tc>
        <w:tc>
          <w:tcPr>
            <w:tcW w:w="369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Install low voltage wiring and accessories</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UEENEEG106A</w:t>
            </w:r>
          </w:p>
        </w:tc>
        <w:tc>
          <w:tcPr>
            <w:tcW w:w="369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Terminate cables, cords and accessories for low voltage circuits</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UEENEEG107A</w:t>
            </w:r>
          </w:p>
        </w:tc>
        <w:tc>
          <w:tcPr>
            <w:tcW w:w="369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Select wiring systems and cables for low voltage general electrical installations</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UEENEEG108A</w:t>
            </w:r>
          </w:p>
        </w:tc>
        <w:tc>
          <w:tcPr>
            <w:tcW w:w="369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Trouble-shoot and repair faults in low voltage electrical apparatus and circuits</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UEENEEG109A</w:t>
            </w:r>
          </w:p>
        </w:tc>
        <w:tc>
          <w:tcPr>
            <w:tcW w:w="369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Develop and connect electrical control circuits</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0F3D4B">
            <w:pPr>
              <w:pStyle w:val="BodyText"/>
              <w:rPr>
                <w:lang w:val="en-NZ"/>
              </w:rPr>
            </w:pPr>
            <w:r w:rsidRPr="000F3D4B">
              <w:t>UEENEEK142A</w:t>
            </w:r>
          </w:p>
        </w:tc>
        <w:tc>
          <w:tcPr>
            <w:tcW w:w="3690" w:type="dxa"/>
            <w:tcBorders>
              <w:top w:val="nil"/>
              <w:left w:val="nil"/>
              <w:bottom w:val="nil"/>
              <w:right w:val="nil"/>
            </w:tcBorders>
            <w:tcMar>
              <w:top w:w="0" w:type="dxa"/>
              <w:left w:w="62" w:type="dxa"/>
              <w:bottom w:w="0" w:type="dxa"/>
              <w:right w:w="62" w:type="dxa"/>
            </w:tcMar>
            <w:vAlign w:val="bottom"/>
          </w:tcPr>
          <w:p w:rsidR="00000000" w:rsidRPr="000F3D4B" w:rsidP="000F3D4B">
            <w:pPr>
              <w:pStyle w:val="BodyText"/>
            </w:pPr>
            <w:r w:rsidRPr="000F3D4B">
              <w:t>Apply environmentally and sustainable energy procedures in the energy sector</w:t>
            </w:r>
          </w:p>
        </w:tc>
      </w:tr>
    </w:tbl>
    <w:p w:rsidR="00000000" w:rsidRPr="000F3D4B" w:rsidP="000F3D4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55B0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 xml:space="preserve">4.2) </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Participants are best equipped to achieve this unit if they have reading, writing and numeracy skills indicated by the following scales</w:t>
            </w:r>
            <w:r w:rsidRPr="000F3D4B">
              <w:t>. Description of each scale is given in Volume 2, Part 3 “Literacy and Numeracy”</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Reading</w:t>
            </w:r>
          </w:p>
        </w:tc>
        <w:tc>
          <w:tcPr>
            <w:tcW w:w="81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4</w:t>
            </w:r>
          </w:p>
        </w:tc>
        <w:tc>
          <w:tcPr>
            <w:tcW w:w="99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Writing</w:t>
            </w:r>
          </w:p>
        </w:tc>
        <w:tc>
          <w:tcPr>
            <w:tcW w:w="90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4</w:t>
            </w:r>
          </w:p>
        </w:tc>
        <w:tc>
          <w:tcPr>
            <w:tcW w:w="126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Numeracy</w:t>
            </w:r>
          </w:p>
        </w:tc>
        <w:tc>
          <w:tcPr>
            <w:tcW w:w="72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t>4</w:t>
            </w:r>
          </w:p>
        </w:tc>
      </w:tr>
    </w:tbl>
    <w:p w:rsidR="00000000" w:rsidRPr="000F3D4B" w:rsidP="000F3D4B">
      <w:pPr>
        <w:pStyle w:val="BodyText"/>
      </w:pPr>
    </w:p>
    <w:p w:rsidR="00000000" w:rsidRPr="000F3D4B" w:rsidP="000F3D4B">
      <w:pPr>
        <w:pStyle w:val="AllowPageBreak"/>
      </w:pPr>
    </w:p>
    <w:p w:rsidR="00000000" w:rsidRPr="000F3D4B" w:rsidP="000F3D4B">
      <w:pPr>
        <w:pStyle w:val="Heading1"/>
      </w:pPr>
      <w:bookmarkStart w:id="6" w:name="O_459270"/>
      <w:bookmarkEnd w:id="6"/>
      <w:r w:rsidRPr="000F3D4B">
        <w:t>Employability Skills Information</w:t>
      </w:r>
    </w:p>
    <w:tbl>
      <w:tblPr>
        <w:tblW w:w="0" w:type="auto"/>
        <w:tblLayout w:type="fixed"/>
        <w:tblCellMar>
          <w:left w:w="62" w:type="dxa"/>
          <w:right w:w="62" w:type="dxa"/>
        </w:tblCellMar>
        <w:tblLook w:val="0000"/>
      </w:tblPr>
      <w:tblGrid>
        <w:gridCol w:w="2700"/>
        <w:gridCol w:w="5760"/>
      </w:tblGrid>
      <w:tr w:rsidTr="00855B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 xml:space="preserve">5) </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F3D4B">
              <w:t>requirements.</w:t>
            </w:r>
          </w:p>
        </w:tc>
      </w:tr>
    </w:tbl>
    <w:p w:rsidR="00000000" w:rsidRPr="000F3D4B" w:rsidP="000F3D4B">
      <w:pPr>
        <w:pStyle w:val="BodyText"/>
      </w:pPr>
    </w:p>
    <w:p w:rsidR="00000000" w:rsidRPr="000F3D4B" w:rsidP="000F3D4B">
      <w:pPr>
        <w:pStyle w:val="AllowPageBreak"/>
      </w:pPr>
    </w:p>
    <w:p w:rsidR="00000000" w:rsidRPr="000F3D4B" w:rsidP="000F3D4B">
      <w:pPr>
        <w:pStyle w:val="Heading1"/>
      </w:pPr>
      <w:bookmarkStart w:id="7" w:name="O_459269"/>
      <w:bookmarkEnd w:id="7"/>
      <w:r w:rsidRPr="000F3D4B">
        <w:t>Elements and Performance Criteria Pre-Content</w:t>
      </w:r>
    </w:p>
    <w:tbl>
      <w:tblPr>
        <w:tblW w:w="0" w:type="auto"/>
        <w:tblLayout w:type="fixed"/>
        <w:tblCellMar>
          <w:left w:w="62" w:type="dxa"/>
          <w:right w:w="62" w:type="dxa"/>
        </w:tblCellMar>
        <w:tblLook w:val="0000"/>
      </w:tblPr>
      <w:tblGrid>
        <w:gridCol w:w="2700"/>
        <w:gridCol w:w="5760"/>
      </w:tblGrid>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6)</w:t>
            </w:r>
            <w:r w:rsidRPr="000F3D4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t>Performance Criteria describe the required performance needed to demonstrate achievement of the element</w:t>
            </w:r>
            <w:r w:rsidRPr="000F3D4B">
              <w:t>. Assessment of performance is to be consistent with the Evidence Guide.</w:t>
            </w:r>
          </w:p>
        </w:tc>
      </w:tr>
    </w:tbl>
    <w:p w:rsidR="00000000" w:rsidRPr="000F3D4B" w:rsidP="000F3D4B">
      <w:pPr>
        <w:pStyle w:val="BodyText"/>
      </w:pPr>
    </w:p>
    <w:p w:rsidR="00000000" w:rsidRPr="000F3D4B" w:rsidP="000F3D4B">
      <w:pPr>
        <w:pStyle w:val="AllowPageBreak"/>
      </w:pPr>
    </w:p>
    <w:p w:rsidR="00000000" w:rsidRPr="000F3D4B" w:rsidP="000F3D4B">
      <w:pPr>
        <w:pStyle w:val="Heading1"/>
      </w:pPr>
      <w:bookmarkStart w:id="8" w:name="O_459268"/>
      <w:bookmarkEnd w:id="8"/>
      <w:r w:rsidRPr="000F3D4B">
        <w:t>Elements and Performance Criteria</w:t>
      </w:r>
    </w:p>
    <w:tbl>
      <w:tblPr>
        <w:tblW w:w="0" w:type="auto"/>
        <w:tblLayout w:type="fixed"/>
        <w:tblCellMar>
          <w:left w:w="62" w:type="dxa"/>
          <w:right w:w="62" w:type="dxa"/>
        </w:tblCellMar>
        <w:tblLook w:val="0000"/>
      </w:tblPr>
      <w:tblGrid>
        <w:gridCol w:w="472"/>
        <w:gridCol w:w="2228"/>
        <w:gridCol w:w="1073"/>
        <w:gridCol w:w="4687"/>
      </w:tblGrid>
      <w:tr w:rsidTr="00855B0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PERFORMANCE CRITERIA</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1</w:t>
            </w:r>
          </w:p>
        </w:tc>
        <w:tc>
          <w:tcPr>
            <w:tcW w:w="2228"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Prepare/plan to Install high current DC switchgear and equipment</w:t>
            </w: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1.1</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Work schedules including drawings, plans, requirements procedures and material lists are acquired, analysed and the extent of work determined.</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1.2</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Relevant requirements and established</w:t>
            </w:r>
            <w:r w:rsidRPr="000F3D4B">
              <w:t xml:space="preserve"> procedures for the work are communicated to all personnel and identified for all work sites.</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1.3</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 xml:space="preserve">Hazards are identified, OHS risks assessed and control measures are prioritised, implemented and monitored including emergency exits kept clear, to ensure </w:t>
            </w:r>
            <w:r w:rsidRPr="000F3D4B">
              <w:t>safe systems of work are followed and according to established procedures.</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1.4</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Work is prioritised and sequenced for the most efficient and effective outcome following consultation with others for completion within acceptable timeframes, to agreed quali</w:t>
            </w:r>
            <w:r w:rsidRPr="000F3D4B">
              <w:t>ty standards and in accordance with established policies and procedures.</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1.5</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Risk control measures are identified, prioritised, implemented and evaluated against the work schedule.</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1.6</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Resources including personnel, equipment, tools and personal prot</w:t>
            </w:r>
            <w:r w:rsidRPr="000F3D4B">
              <w:t>ective equipment required for the job are identified, acquired and confirmed in safe/technical working order.</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1.7</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Liaison issues with other personnel and/or authorities are resolved and activities coordinated to facilitate the work.</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1.8</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Personnel participating in the work including plant operators and contractors are fully briefed, their respective responsibilities explained and coordinated and appropriate authorisation checked in accordance with established procedures</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1.9</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Work site is</w:t>
            </w:r>
            <w:r w:rsidRPr="000F3D4B">
              <w:t xml:space="preserve"> prepared according to the work schedule and to minimise risk and damage to property and personnel in accordance with established procedures.</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2</w:t>
            </w:r>
          </w:p>
        </w:tc>
        <w:tc>
          <w:tcPr>
            <w:tcW w:w="2228"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Carry out installation of high current DC switchgear and equipment</w:t>
            </w: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2.1</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OHS and sustainable energy principles an</w:t>
            </w:r>
            <w:r w:rsidRPr="000F3D4B">
              <w:t>d practices to reduce the incidence of accidents and minimise waste are implemented and monitored in accordance with established procedures.</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2.2</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CPR, Rescue from live electrical apparatus and other related safety procedures are in place according to requirements and established procedures.</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2.3</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Safe working documentation is acquired and requirements completed in accordance with established proced</w:t>
            </w:r>
            <w:r w:rsidRPr="000F3D4B">
              <w:t>ures.</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2.4</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Lifting, climbing and working aloft, use of power tools/equipment techniques and practices are safely exercised in accordance with established procedures.</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2.5</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Hazard warnings and safety signs are recognised and hazards and assessed OHS risk</w:t>
            </w:r>
            <w:r w:rsidRPr="000F3D4B">
              <w:t>s are reported to the immediate authorised persons for directions according to established procedures.</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2.6</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 xml:space="preserve">Installation of high current DC switchgear and equipment is carried out, in accordance with the work schedule and requirements and/or established </w:t>
            </w:r>
            <w:r w:rsidRPr="000F3D4B">
              <w:t>procedures.</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2.7</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Essential knowledge and associated skills are applied for the safe installation of high current DC switchgear and equipment  to ensure completion in an agreed timeframe and, to quality standards with a minimum of waste according to requi</w:t>
            </w:r>
            <w:r w:rsidRPr="000F3D4B">
              <w:t>rements.</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2.8</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Unplanned events or conditions are responded to in accordance with established procedures.</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3</w:t>
            </w:r>
          </w:p>
        </w:tc>
        <w:tc>
          <w:tcPr>
            <w:tcW w:w="2228"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Complete installation of high current DC switchgear and equipment</w:t>
            </w: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3.1</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Work undertaken is checked against work schedule for conformance with requir</w:t>
            </w:r>
            <w:r w:rsidRPr="000F3D4B">
              <w:t>ements, anomalies reported and solutions identified in accordance with established procedures.</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3.2</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Safe working documentation is surrendered and equipment made ready for service.</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3.3</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Work site is rehabilitated, cleaned up and confirmed safe in accordance with established procedures.</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3.4</w:t>
            </w:r>
          </w:p>
        </w:tc>
        <w:tc>
          <w:tcPr>
            <w:tcW w:w="4687"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Tools, equipment and any surplus resources and materials are cleaned, checked and returned to storage in accordance with established procedures.</w:t>
            </w:r>
          </w:p>
        </w:tc>
      </w:tr>
      <w:tr w:rsidTr="00855B01">
        <w:tblPrEx>
          <w:tblW w:w="0" w:type="auto"/>
          <w:tblLayout w:type="fixed"/>
          <w:tblCellMar>
            <w:left w:w="62" w:type="dxa"/>
            <w:right w:w="62" w:type="dxa"/>
          </w:tblCellMar>
          <w:tblLook w:val="0000"/>
        </w:tblPrEx>
        <w:tc>
          <w:tcPr>
            <w:tcW w:w="4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t>3.5</w:t>
            </w:r>
          </w:p>
        </w:tc>
        <w:tc>
          <w:tcPr>
            <w:tcW w:w="4687"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t>Required works completion records, reports and/or documentation and information are completed, processed and appropriate personnel notified in accordance with established procedures.</w:t>
            </w:r>
          </w:p>
        </w:tc>
      </w:tr>
    </w:tbl>
    <w:p w:rsidR="00000000" w:rsidRPr="000F3D4B" w:rsidP="000F3D4B">
      <w:pPr>
        <w:pStyle w:val="BodyText"/>
      </w:pPr>
    </w:p>
    <w:p w:rsidR="00000000" w:rsidRPr="000F3D4B" w:rsidP="000F3D4B">
      <w:pPr>
        <w:pStyle w:val="AllowPageBreak"/>
      </w:pPr>
    </w:p>
    <w:p w:rsidR="00000000" w:rsidRPr="000F3D4B" w:rsidP="000F3D4B">
      <w:pPr>
        <w:pStyle w:val="Heading1"/>
      </w:pPr>
      <w:bookmarkStart w:id="9" w:name="O_459276"/>
      <w:bookmarkEnd w:id="9"/>
      <w:r w:rsidRPr="000F3D4B">
        <w:t>Required Skills and Knowledge</w:t>
      </w:r>
    </w:p>
    <w:tbl>
      <w:tblPr>
        <w:tblW w:w="0" w:type="auto"/>
        <w:tblLayout w:type="fixed"/>
        <w:tblCellMar>
          <w:left w:w="62" w:type="dxa"/>
          <w:right w:w="62" w:type="dxa"/>
        </w:tblCellMar>
        <w:tblLook w:val="0000"/>
      </w:tblPr>
      <w:tblGrid>
        <w:gridCol w:w="8460"/>
      </w:tblGrid>
      <w:tr w:rsidTr="00855B0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 xml:space="preserve">REQUIRED SKILLS AND </w:t>
            </w:r>
            <w:r w:rsidRPr="000F3D4B">
              <w:rPr>
                <w:rStyle w:val="SpecialBold"/>
              </w:rPr>
              <w:t>KNOWLEDGE</w:t>
            </w:r>
          </w:p>
        </w:tc>
      </w:tr>
      <w:tr w:rsidTr="00855B0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rPr>
                <w:rStyle w:val="SpecialBold"/>
              </w:rPr>
              <w:t>8)</w:t>
            </w:r>
            <w:r w:rsidRPr="000F3D4B">
              <w:t xml:space="preserve"> Essential Knowledge and Associated Skills (EKAS): This describes the essential skills and knowledge and their level, required for this unit.</w:t>
            </w:r>
          </w:p>
          <w:p w:rsidR="00000000" w:rsidRPr="000F3D4B" w:rsidP="000F3D4B">
            <w:pPr>
              <w:pStyle w:val="BodyText"/>
            </w:pPr>
            <w:r w:rsidRPr="000F3D4B">
              <w:t>Evidence shall show that knowledge has been acquired of installing high current DC switchgear and equipment.</w:t>
            </w:r>
          </w:p>
          <w:p w:rsidR="00000000" w:rsidRPr="000F3D4B" w:rsidP="000F3D4B">
            <w:pPr>
              <w:pStyle w:val="BodyText"/>
            </w:pPr>
            <w:r w:rsidRPr="000F3D4B">
              <w:t>All knowledge and skills detailed in this unit should be contextualised to current industry practices and technologies.</w:t>
            </w:r>
          </w:p>
          <w:p w:rsidR="00000000" w:rsidRPr="000F3D4B" w:rsidP="000F3D4B">
            <w:pPr>
              <w:pStyle w:val="BodyText"/>
            </w:pPr>
            <w:r w:rsidRPr="000F3D4B">
              <w:t xml:space="preserve">KS01-TSB26A </w:t>
            </w:r>
            <w:r w:rsidRPr="000F3D4B">
              <w:tab/>
              <w:t>High current D</w:t>
            </w:r>
            <w:r w:rsidRPr="000F3D4B">
              <w:t>C equipment and switchgear - installation</w:t>
            </w:r>
          </w:p>
          <w:p w:rsidR="00000000" w:rsidRPr="000F3D4B" w:rsidP="000F3D4B">
            <w:pPr>
              <w:pStyle w:val="BodyText"/>
            </w:pPr>
            <w:r w:rsidRPr="000F3D4B">
              <w:t xml:space="preserve">Evidence shall show an understanding of high current DC equipment and switchgear - installation to an extent indicated by the following aspects: </w:t>
            </w:r>
          </w:p>
          <w:p w:rsidR="00000000" w:rsidRPr="000F3D4B" w:rsidP="000F3D4B">
            <w:pPr>
              <w:pStyle w:val="BodyText"/>
            </w:pPr>
            <w:r w:rsidRPr="000F3D4B">
              <w:t>T1</w:t>
            </w:r>
            <w:r w:rsidRPr="000F3D4B">
              <w:tab/>
              <w:t>Safe working on energised low voltage equipment encompassing:</w:t>
            </w:r>
          </w:p>
          <w:p w:rsidR="00000000" w:rsidRPr="000F3D4B" w:rsidP="000F3D4B">
            <w:pPr>
              <w:pStyle w:val="ListBullet"/>
            </w:pPr>
            <w:r w:rsidRPr="000F3D4B">
              <w:t>St</w:t>
            </w:r>
            <w:r w:rsidRPr="000F3D4B">
              <w:t>andards, codes, Commonwealth, State/Territory/local government legislation, supply authority regulations and or enterprise requirements</w:t>
            </w:r>
          </w:p>
          <w:p w:rsidR="00000000" w:rsidRPr="000F3D4B" w:rsidP="000F3D4B">
            <w:pPr>
              <w:pStyle w:val="ListBullet"/>
            </w:pPr>
            <w:r w:rsidRPr="000F3D4B">
              <w:t>Safety precautions specific to working on or near energised low voltage conductors - safe working practices and procedur</w:t>
            </w:r>
            <w:r w:rsidRPr="000F3D4B">
              <w:t>es, identification of hazards, assessment and control of OHS risks, types, selection, maintenance and use of personal protective equipment</w:t>
            </w:r>
          </w:p>
          <w:p w:rsidR="00000000" w:rsidRPr="000F3D4B" w:rsidP="000F3D4B">
            <w:pPr>
              <w:pStyle w:val="ListBullet"/>
            </w:pPr>
            <w:r w:rsidRPr="000F3D4B">
              <w:t xml:space="preserve">Work on or near energised LV conductors - types and function of specialised tools, safe working practices when using </w:t>
            </w:r>
            <w:r w:rsidRPr="000F3D4B">
              <w:t>specialised tools, methods of using specialised tools, safe procedures for work on panels and in cubicles on or near energised LV conductors, release and rescue procedures for work on or near exposed energised LV conductors.</w:t>
            </w:r>
          </w:p>
          <w:p w:rsidR="00000000" w:rsidRPr="000F3D4B" w:rsidP="000F3D4B">
            <w:pPr>
              <w:pStyle w:val="BodyText"/>
            </w:pPr>
            <w:r w:rsidRPr="000F3D4B">
              <w:t>T2</w:t>
            </w:r>
            <w:r w:rsidRPr="000F3D4B">
              <w:tab/>
              <w:t>Enterprise specific — policy</w:t>
            </w:r>
            <w:r w:rsidRPr="000F3D4B">
              <w:t xml:space="preserve"> and procedure instructions encompassing:</w:t>
            </w:r>
          </w:p>
          <w:p w:rsidR="00000000" w:rsidRPr="000F3D4B" w:rsidP="000F3D4B">
            <w:pPr>
              <w:pStyle w:val="ListBullet"/>
            </w:pPr>
            <w:r w:rsidRPr="000F3D4B">
              <w:t>Responsibilities and duty of care of employer and employee relationship</w:t>
            </w:r>
          </w:p>
          <w:p w:rsidR="00000000" w:rsidRPr="000F3D4B" w:rsidP="000F3D4B">
            <w:pPr>
              <w:pStyle w:val="ListBullet"/>
            </w:pPr>
            <w:r w:rsidRPr="000F3D4B">
              <w:t>Methods of obtaining the up-to-date information on enterprise policy and procedures</w:t>
            </w:r>
          </w:p>
          <w:p w:rsidR="00000000" w:rsidRPr="000F3D4B" w:rsidP="000F3D4B">
            <w:pPr>
              <w:pStyle w:val="ListBullet"/>
            </w:pPr>
            <w:r w:rsidRPr="000F3D4B">
              <w:t>Rules and regulations</w:t>
            </w:r>
          </w:p>
          <w:p w:rsidR="00000000" w:rsidRPr="000F3D4B" w:rsidP="000F3D4B">
            <w:pPr>
              <w:pStyle w:val="ListBullet"/>
            </w:pPr>
            <w:r w:rsidRPr="000F3D4B">
              <w:t>Induction into workplace - location</w:t>
            </w:r>
            <w:r w:rsidRPr="000F3D4B">
              <w:t xml:space="preserve"> of work area and storage area, timetable, uniform, personal well-being, housekeeping rules, emergency procedures, evacuation procedures</w:t>
            </w:r>
          </w:p>
          <w:p w:rsidR="00000000" w:rsidRPr="000F3D4B" w:rsidP="000F3D4B">
            <w:pPr>
              <w:pStyle w:val="ListBullet"/>
            </w:pPr>
            <w:r w:rsidRPr="000F3D4B">
              <w:t>Techniques when deal with others - working in teams, customer relation, complaint and issues procedures.</w:t>
            </w:r>
          </w:p>
          <w:p w:rsidR="00000000" w:rsidRPr="000F3D4B" w:rsidP="000F3D4B">
            <w:pPr>
              <w:pStyle w:val="ListBullet"/>
            </w:pPr>
            <w:r w:rsidRPr="000F3D4B">
              <w:t>Overview of enterprise professional development - fire fighting procedures, fatigue management, training and competency development - understanding and promotion</w:t>
            </w:r>
          </w:p>
          <w:p w:rsidR="00000000" w:rsidRPr="000F3D4B" w:rsidP="000F3D4B">
            <w:pPr>
              <w:pStyle w:val="BodyText"/>
            </w:pPr>
            <w:r w:rsidRPr="000F3D4B">
              <w:t>T3</w:t>
            </w:r>
            <w:r w:rsidRPr="000F3D4B">
              <w:tab/>
              <w:t>Enterprises specific — OHS instructions encompassing:</w:t>
            </w:r>
          </w:p>
          <w:p w:rsidR="00000000" w:rsidRPr="000F3D4B" w:rsidP="000F3D4B">
            <w:pPr>
              <w:pStyle w:val="ListBullet"/>
            </w:pPr>
            <w:r w:rsidRPr="000F3D4B">
              <w:t>Standards, codes, legislation, suppl</w:t>
            </w:r>
            <w:r w:rsidRPr="000F3D4B">
              <w:t>y authority regulations and specific enterprise regulations pertaining to the OHS policies and procedures</w:t>
            </w:r>
          </w:p>
          <w:p w:rsidR="00000000" w:rsidRPr="000F3D4B" w:rsidP="000F3D4B">
            <w:pPr>
              <w:pStyle w:val="ListBullet"/>
            </w:pPr>
            <w:r w:rsidRPr="000F3D4B">
              <w:t>Methods of obtaining the up-to-date information on enterprise OHS policy and procedures</w:t>
            </w:r>
          </w:p>
          <w:p w:rsidR="00000000" w:rsidRPr="000F3D4B" w:rsidP="000F3D4B">
            <w:pPr>
              <w:pStyle w:val="ListBullet"/>
            </w:pPr>
            <w:r w:rsidRPr="000F3D4B">
              <w:t>Specific enterprise personal protection equipment - type and a</w:t>
            </w:r>
            <w:r w:rsidRPr="000F3D4B">
              <w:t>pplication, where and when to be used, method of replacement, responsibility of maintenance including cleaning inspection and testing, emergency response, rescue, evacuation and First Aid procedures</w:t>
            </w:r>
          </w:p>
          <w:p w:rsidR="00000000" w:rsidRPr="000F3D4B" w:rsidP="000F3D4B">
            <w:pPr>
              <w:pStyle w:val="ListBullet"/>
            </w:pPr>
            <w:r w:rsidRPr="000F3D4B">
              <w:t>Personal well-being – hygiene, fatigue/stress management,</w:t>
            </w:r>
            <w:r w:rsidRPr="000F3D4B">
              <w:t xml:space="preserve"> drugs/alcohol</w:t>
            </w:r>
          </w:p>
          <w:p w:rsidR="00000000" w:rsidRPr="000F3D4B" w:rsidP="000F3D4B">
            <w:pPr>
              <w:pStyle w:val="ListBullet"/>
            </w:pPr>
            <w:r w:rsidRPr="000F3D4B">
              <w:t>OHS training - induction training, specific hazard training, specific task or equipment training, emergency and evacuation training, training as part of broader programs such as equipment operation</w:t>
            </w:r>
          </w:p>
          <w:p w:rsidR="00000000" w:rsidRPr="000F3D4B" w:rsidP="000F3D4B">
            <w:pPr>
              <w:pStyle w:val="ListBullet"/>
            </w:pPr>
            <w:r w:rsidRPr="000F3D4B">
              <w:t>OHS records including audits, inspection re</w:t>
            </w:r>
            <w:r w:rsidRPr="000F3D4B">
              <w:t>ports, workplace health and environmental monitoring records, training and instruction records, manufacturers and suppliers information such as MSDSs, registers, maintenance reports, workers compensation and rehabilitation records and First Aid/medical rec</w:t>
            </w:r>
            <w:r w:rsidRPr="000F3D4B">
              <w:t>ords</w:t>
            </w:r>
          </w:p>
          <w:p w:rsidR="00000000" w:rsidRPr="000F3D4B" w:rsidP="000F3D4B">
            <w:pPr>
              <w:pStyle w:val="BodyText"/>
            </w:pPr>
            <w:r w:rsidRPr="000F3D4B">
              <w:t>T4</w:t>
            </w:r>
            <w:r w:rsidRPr="000F3D4B">
              <w:tab/>
              <w:t>Enterprises specific — technical drawing and documents encompassing:</w:t>
            </w:r>
          </w:p>
          <w:p w:rsidR="00000000" w:rsidRPr="000F3D4B" w:rsidP="000F3D4B">
            <w:pPr>
              <w:pStyle w:val="ListBullet"/>
            </w:pPr>
            <w:r w:rsidRPr="000F3D4B">
              <w:t>Types and application of enterprise specific drawings and documents - electrical and electronic drawings, mechanical drawings, project charts, schedules, graphs, technical manual</w:t>
            </w:r>
            <w:r w:rsidRPr="000F3D4B">
              <w:t>s and catalogues</w:t>
            </w:r>
          </w:p>
          <w:p w:rsidR="00000000" w:rsidRPr="000F3D4B" w:rsidP="000F3D4B">
            <w:pPr>
              <w:pStyle w:val="ListBullet"/>
            </w:pPr>
            <w:r w:rsidRPr="000F3D4B">
              <w:t>Instruction/worksheets sheets - types and application of enterprise specific symbols and diagrams</w:t>
            </w:r>
          </w:p>
          <w:p w:rsidR="00000000" w:rsidRPr="000F3D4B" w:rsidP="000F3D4B">
            <w:pPr>
              <w:pStyle w:val="ListBullet"/>
            </w:pPr>
            <w:r w:rsidRPr="000F3D4B">
              <w:t>Title box - description of parts and version control.</w:t>
            </w:r>
          </w:p>
          <w:p w:rsidR="00000000" w:rsidRPr="000F3D4B" w:rsidP="000F3D4B">
            <w:pPr>
              <w:pStyle w:val="BodyText"/>
            </w:pPr>
            <w:r w:rsidRPr="000F3D4B">
              <w:t>T5</w:t>
            </w:r>
            <w:r w:rsidRPr="000F3D4B">
              <w:tab/>
              <w:t>Enterprise specific switching diagrams and drawing encompassing:</w:t>
            </w:r>
          </w:p>
          <w:p w:rsidR="00000000" w:rsidRPr="000F3D4B" w:rsidP="000F3D4B">
            <w:pPr>
              <w:pStyle w:val="ListBullet"/>
            </w:pPr>
            <w:r w:rsidRPr="000F3D4B">
              <w:t>Types and applicat</w:t>
            </w:r>
            <w:r w:rsidRPr="000F3D4B">
              <w:t>ion of enterprise specific switching drawings and documents - wiring and schematic diagrams and switching symbols, mechanical drawings dealing with switching operations, project charts, switching schedules, graphs, technical manuals and catalogues, instruc</w:t>
            </w:r>
            <w:r w:rsidRPr="000F3D4B">
              <w:t>tion/work sheets.</w:t>
            </w:r>
          </w:p>
          <w:p w:rsidR="00000000" w:rsidRPr="000F3D4B" w:rsidP="000F3D4B">
            <w:pPr>
              <w:pStyle w:val="ListBullet"/>
            </w:pPr>
            <w:r w:rsidRPr="000F3D4B">
              <w:t>Interpretation of different system switching diagrams - LV system switching diagrams, DC traction supply sectioning diagrams, HV transmission and distribution system symbols and feeder plans, processes of updating switching diagrams</w:t>
            </w:r>
          </w:p>
          <w:p w:rsidR="00000000" w:rsidRPr="000F3D4B" w:rsidP="000F3D4B">
            <w:pPr>
              <w:pStyle w:val="BodyText"/>
            </w:pPr>
            <w:r w:rsidRPr="000F3D4B">
              <w:t>T6</w:t>
            </w:r>
            <w:r w:rsidRPr="000F3D4B">
              <w:tab/>
              <w:t>En</w:t>
            </w:r>
            <w:r w:rsidRPr="000F3D4B">
              <w:t>terprises specific specialised tools encompassing:</w:t>
            </w:r>
          </w:p>
          <w:p w:rsidR="00000000" w:rsidRPr="000F3D4B" w:rsidP="000F3D4B">
            <w:pPr>
              <w:pStyle w:val="ListBullet"/>
            </w:pPr>
            <w:r w:rsidRPr="000F3D4B">
              <w:t>Legislation, Standards, codes, legislation, supply authority regulations and specific enterprise regulations pertaining to the use and care of specialised tools ( voltage detectors; polarity testers, phas</w:t>
            </w:r>
            <w:r w:rsidRPr="000F3D4B">
              <w:t>e rotation)</w:t>
            </w:r>
          </w:p>
          <w:p w:rsidR="00000000" w:rsidRPr="000F3D4B" w:rsidP="000F3D4B">
            <w:pPr>
              <w:pStyle w:val="ListBullet"/>
            </w:pPr>
            <w:r w:rsidRPr="000F3D4B">
              <w:t>Characteristics, capabilities and application of specialised tools for a particular job</w:t>
            </w:r>
          </w:p>
          <w:p w:rsidR="00000000" w:rsidRPr="000F3D4B" w:rsidP="000F3D4B">
            <w:pPr>
              <w:pStyle w:val="ListBullet"/>
            </w:pPr>
            <w:r w:rsidRPr="000F3D4B">
              <w:t>Safety policies, procedures and precautions with regards to using, transporting and storage of specialised tools</w:t>
            </w:r>
          </w:p>
          <w:p w:rsidR="00000000" w:rsidRPr="000F3D4B" w:rsidP="000F3D4B">
            <w:pPr>
              <w:pStyle w:val="ListBullet"/>
            </w:pPr>
            <w:r w:rsidRPr="000F3D4B">
              <w:t>Selection methods for obtaining the correct</w:t>
            </w:r>
            <w:r w:rsidRPr="000F3D4B">
              <w:t xml:space="preserve"> specialised tool for the particular job including during procurement, purchasing and or hiring arrangements</w:t>
            </w:r>
          </w:p>
          <w:p w:rsidR="00000000" w:rsidRPr="000F3D4B" w:rsidP="000F3D4B">
            <w:pPr>
              <w:pStyle w:val="ListBullet"/>
            </w:pPr>
            <w:r w:rsidRPr="000F3D4B">
              <w:t>Techniques in pre-use inspection on the serviceability of specialised tools</w:t>
            </w:r>
          </w:p>
          <w:p w:rsidR="00000000" w:rsidRPr="000F3D4B" w:rsidP="000F3D4B">
            <w:pPr>
              <w:pStyle w:val="ListBullet"/>
            </w:pPr>
            <w:r w:rsidRPr="000F3D4B">
              <w:t>Techniques in the selection, use, maintenance, and care and storage of specialised tools</w:t>
            </w:r>
          </w:p>
          <w:p w:rsidR="00000000" w:rsidRPr="000F3D4B" w:rsidP="000F3D4B">
            <w:pPr>
              <w:pStyle w:val="ListBullet"/>
            </w:pPr>
            <w:r w:rsidRPr="000F3D4B">
              <w:t>Identifying OHS hazards, assessing and controlling risks associated with their use</w:t>
            </w:r>
          </w:p>
          <w:p w:rsidR="00000000" w:rsidRPr="000F3D4B" w:rsidP="000F3D4B">
            <w:pPr>
              <w:pStyle w:val="ListBullet"/>
            </w:pPr>
            <w:r w:rsidRPr="000F3D4B">
              <w:t>Techniques for the safe use of specialised power tools.</w:t>
            </w:r>
          </w:p>
          <w:p w:rsidR="00000000" w:rsidRPr="000F3D4B" w:rsidP="000F3D4B">
            <w:pPr>
              <w:pStyle w:val="BodyText"/>
            </w:pPr>
            <w:r w:rsidRPr="000F3D4B">
              <w:t>T7</w:t>
            </w:r>
            <w:r w:rsidRPr="000F3D4B">
              <w:tab/>
              <w:t>Enterprise Specific Equip</w:t>
            </w:r>
            <w:r w:rsidRPr="000F3D4B">
              <w:t xml:space="preserve">ment Installation Procedures encompassing: </w:t>
            </w:r>
          </w:p>
          <w:p w:rsidR="00000000" w:rsidRPr="000F3D4B" w:rsidP="000F3D4B">
            <w:pPr>
              <w:pStyle w:val="ListBullet"/>
            </w:pPr>
            <w:r w:rsidRPr="000F3D4B">
              <w:t>Standards, codes, legislation, supply authority regulations and or enterprise requirements applicable to equipment installation</w:t>
            </w:r>
          </w:p>
          <w:p w:rsidR="00000000" w:rsidRPr="000F3D4B" w:rsidP="000F3D4B">
            <w:pPr>
              <w:pStyle w:val="ListBullet"/>
            </w:pPr>
            <w:r w:rsidRPr="000F3D4B">
              <w:t>Requirements for the use of manuals, substation diagrams/plans and drawings</w:t>
            </w:r>
          </w:p>
          <w:p w:rsidR="00000000" w:rsidRPr="000F3D4B" w:rsidP="000F3D4B">
            <w:pPr>
              <w:pStyle w:val="ListBullet"/>
            </w:pPr>
            <w:r w:rsidRPr="000F3D4B">
              <w:t xml:space="preserve">Types, </w:t>
            </w:r>
            <w:r w:rsidRPr="000F3D4B">
              <w:t>characteristics and capabilities of HV substation equipment to be installed</w:t>
            </w:r>
          </w:p>
          <w:p w:rsidR="00000000" w:rsidRPr="000F3D4B" w:rsidP="000F3D4B">
            <w:pPr>
              <w:pStyle w:val="ListBullet"/>
            </w:pPr>
            <w:r w:rsidRPr="000F3D4B">
              <w:t>Identification of components within the equipment to be Installed and associated control housings</w:t>
            </w:r>
          </w:p>
          <w:p w:rsidR="00000000" w:rsidRPr="000F3D4B" w:rsidP="000F3D4B">
            <w:pPr>
              <w:pStyle w:val="ListBullet"/>
            </w:pPr>
            <w:r w:rsidRPr="000F3D4B">
              <w:t>Use, characteristics and capabilities of specialised tools and equipment</w:t>
            </w:r>
          </w:p>
          <w:p w:rsidR="00000000" w:rsidRPr="000F3D4B" w:rsidP="000F3D4B">
            <w:pPr>
              <w:pStyle w:val="ListBullet"/>
            </w:pPr>
            <w:r w:rsidRPr="000F3D4B">
              <w:t>Enterpris</w:t>
            </w:r>
            <w:r w:rsidRPr="000F3D4B">
              <w:t>e Specific Policies and Procedures for equipment to be installed</w:t>
            </w:r>
          </w:p>
          <w:p w:rsidR="00000000" w:rsidRPr="000F3D4B" w:rsidP="000F3D4B">
            <w:pPr>
              <w:pStyle w:val="ListBullet"/>
            </w:pPr>
            <w:r w:rsidRPr="000F3D4B">
              <w:t>Control equipment and auxiliary relays, flags and alarms</w:t>
            </w:r>
          </w:p>
          <w:p w:rsidR="00000000" w:rsidRPr="000F3D4B" w:rsidP="000F3D4B">
            <w:pPr>
              <w:pStyle w:val="ListBullet"/>
            </w:pPr>
            <w:r w:rsidRPr="000F3D4B">
              <w:t>Techniques in evaluating serviceability of equipment to be Installed</w:t>
            </w:r>
          </w:p>
          <w:p w:rsidR="00000000" w:rsidRPr="000F3D4B" w:rsidP="000F3D4B">
            <w:pPr>
              <w:pStyle w:val="ListBullet"/>
            </w:pPr>
            <w:r w:rsidRPr="000F3D4B">
              <w:t>Safety precautions when testing and measuring equipment to be Ins</w:t>
            </w:r>
            <w:r w:rsidRPr="000F3D4B">
              <w:t>talled - safe working practices and procedures, identification of hazards, assessment and control of OHS risks, types, selection, maintenance and use of personal protective equipment, responsibilities and protocols, safe working clearances</w:t>
            </w:r>
          </w:p>
          <w:p w:rsidR="00000000" w:rsidRPr="000F3D4B" w:rsidP="000F3D4B">
            <w:pPr>
              <w:pStyle w:val="ListBullet"/>
            </w:pPr>
            <w:r w:rsidRPr="000F3D4B">
              <w:t>Remote and local</w:t>
            </w:r>
            <w:r w:rsidRPr="000F3D4B">
              <w:t xml:space="preserve"> operating principles and conventions</w:t>
            </w:r>
          </w:p>
          <w:p w:rsidR="00000000" w:rsidRPr="000F3D4B" w:rsidP="000F3D4B">
            <w:pPr>
              <w:pStyle w:val="BodyText"/>
            </w:pPr>
            <w:r w:rsidRPr="000F3D4B">
              <w:t>T8</w:t>
            </w:r>
            <w:r w:rsidRPr="000F3D4B">
              <w:tab/>
              <w:t>Substation DC circuit breaker principles encompassing:</w:t>
            </w:r>
          </w:p>
          <w:p w:rsidR="00000000" w:rsidRPr="000F3D4B" w:rsidP="000F3D4B">
            <w:pPr>
              <w:pStyle w:val="ListBullet"/>
            </w:pPr>
            <w:r w:rsidRPr="000F3D4B">
              <w:t>Standards, codes, Commonwealth/State/Territory legislation, supply authority regulations and or enterprise requirements associated with the DC circuit breakers</w:t>
            </w:r>
          </w:p>
          <w:p w:rsidR="00000000" w:rsidRPr="000F3D4B" w:rsidP="000F3D4B">
            <w:pPr>
              <w:pStyle w:val="ListBullet"/>
            </w:pPr>
            <w:r w:rsidRPr="000F3D4B">
              <w:t>Types of DC CB’s - self and withdrawable types</w:t>
            </w:r>
          </w:p>
          <w:p w:rsidR="00000000" w:rsidRPr="000F3D4B" w:rsidP="000F3D4B">
            <w:pPr>
              <w:pStyle w:val="ListBullet"/>
            </w:pPr>
            <w:r w:rsidRPr="000F3D4B">
              <w:t>Characteristics of DC CB’s - purpose of DC CB’s, application of DC CB’s</w:t>
            </w:r>
          </w:p>
          <w:p w:rsidR="00000000" w:rsidRPr="000F3D4B" w:rsidP="000F3D4B">
            <w:pPr>
              <w:pStyle w:val="ListBullet"/>
            </w:pPr>
            <w:r w:rsidRPr="000F3D4B">
              <w:t>Principles of operation of different types of DC CB’s - arc expulsion versus arc containment, latched versus magnetically held, advantag</w:t>
            </w:r>
            <w:r w:rsidRPr="000F3D4B">
              <w:t>es and disadvantages of different types, fixed or withdrawable, protection/diagnostic technology.</w:t>
            </w:r>
          </w:p>
          <w:p w:rsidR="00000000" w:rsidRPr="000F3D4B" w:rsidP="000F3D4B">
            <w:pPr>
              <w:pStyle w:val="ListBullet"/>
            </w:pPr>
            <w:r w:rsidRPr="000F3D4B">
              <w:t>Principles of operation of high speed DC CB – characteristics, calibration</w:t>
            </w:r>
          </w:p>
          <w:p w:rsidR="00000000" w:rsidRPr="000F3D4B" w:rsidP="000F3D4B">
            <w:pPr>
              <w:pStyle w:val="ListBullet"/>
            </w:pPr>
            <w:r w:rsidRPr="000F3D4B">
              <w:t>How DC CB’</w:t>
            </w:r>
            <w:r w:rsidRPr="000F3D4B">
              <w:t>s are designated - feeder, rectifier, EDR, bus-section and negative breakers, auto-reclose or non auto-reclose type</w:t>
            </w:r>
          </w:p>
          <w:p w:rsidR="00000000" w:rsidRPr="000F3D4B" w:rsidP="000F3D4B">
            <w:pPr>
              <w:pStyle w:val="ListBullet"/>
            </w:pPr>
            <w:r w:rsidRPr="000F3D4B">
              <w:t>Type and function of DC CB peripheral components - delta I relays, busbar, control wiring, trunk and associated plug/receptacle</w:t>
            </w:r>
          </w:p>
          <w:p w:rsidR="00000000" w:rsidRPr="000F3D4B" w:rsidP="000F3D4B">
            <w:pPr>
              <w:pStyle w:val="ListBullet"/>
            </w:pPr>
            <w:r w:rsidRPr="000F3D4B">
              <w:t>Identificati</w:t>
            </w:r>
            <w:r w:rsidRPr="000F3D4B">
              <w:t>on, characteristics, application and care of DC CB components - holding coils, closing coils, contactors, resistors, arc chutes, blow-out coils, arcing contacts, main contacts, braids, moving arm, pole face, arcing horns, electronic cards, dashpots, finger</w:t>
            </w:r>
            <w:r w:rsidRPr="000F3D4B">
              <w:t>s, diode strings, fuses, insulators, latching mechanisms, motors, wiring, relays</w:t>
            </w:r>
          </w:p>
          <w:p w:rsidR="00000000" w:rsidRPr="000F3D4B" w:rsidP="000F3D4B">
            <w:pPr>
              <w:pStyle w:val="ListBullet"/>
            </w:pPr>
            <w:r w:rsidRPr="000F3D4B">
              <w:t>Characteristics, application and care of hand and specialised tools used on DC CB’s - combination/multigrips/long nose pliers, side cutters, screwdrivers, wire strippers, crim</w:t>
            </w:r>
            <w:r w:rsidRPr="000F3D4B">
              <w:t>pers, knife, hacksaw, hammers, mallets, levels, tape measures, spanners, T-wrench, pistol drills, battery drills, heat gun, de-soldering tools and soldering iron/torches, Allen keys, socket spanners, gauges, feeler gauges and specialist tools supplied by t</w:t>
            </w:r>
            <w:r w:rsidRPr="000F3D4B">
              <w:t>he manufacturers</w:t>
            </w:r>
          </w:p>
          <w:p w:rsidR="00000000" w:rsidRPr="000F3D4B" w:rsidP="000F3D4B">
            <w:pPr>
              <w:pStyle w:val="ListBullet"/>
            </w:pPr>
            <w:r w:rsidRPr="000F3D4B">
              <w:t>Characteristics, application and care of test and measurement instruments used on DC CB’s - multimeters, tong testers, ammeters, voltmeters, ohmmeters, test lamps, high and low voltage insulation resistance/ continuity testers, earth resis</w:t>
            </w:r>
            <w:r w:rsidRPr="000F3D4B">
              <w:t>tance tester, Ductor, drop-out test sets.</w:t>
            </w:r>
          </w:p>
          <w:p w:rsidR="00000000" w:rsidRPr="000F3D4B" w:rsidP="000F3D4B">
            <w:pPr>
              <w:pStyle w:val="BodyText"/>
            </w:pPr>
            <w:r w:rsidRPr="000F3D4B">
              <w:t>T9</w:t>
            </w:r>
            <w:r w:rsidRPr="000F3D4B">
              <w:tab/>
              <w:t>Installation of substation Direct Current circuit breakers (DC CB’s) and associated equipment encompassing:</w:t>
            </w:r>
          </w:p>
          <w:p w:rsidR="00000000" w:rsidRPr="000F3D4B" w:rsidP="000F3D4B">
            <w:pPr>
              <w:pStyle w:val="ListBullet"/>
            </w:pPr>
            <w:r w:rsidRPr="000F3D4B">
              <w:t xml:space="preserve">Standards, codes, legislation, supply authority regulations and or enterprise requirements pertaining </w:t>
            </w:r>
            <w:r w:rsidRPr="000F3D4B">
              <w:t>to the installation of substation Direct Current circuit breakers (DC CB’s)</w:t>
            </w:r>
          </w:p>
          <w:p w:rsidR="00000000" w:rsidRPr="000F3D4B" w:rsidP="000F3D4B">
            <w:pPr>
              <w:pStyle w:val="ListBullet"/>
            </w:pPr>
            <w:r w:rsidRPr="000F3D4B">
              <w:t>Safety precautions when installing substation Direct Current circuit breakers (DC CB’s) - safe operation procedures, Occupational Health and Safety hazards and precautions, identif</w:t>
            </w:r>
            <w:r w:rsidRPr="000F3D4B">
              <w:t xml:space="preserve">ication of hazards, assessing and controlling risks, types, selection, maintenance and uses of personnel protective equipment, permit to work systems and isolation procedures, safe working practices when using specialised equipment, emergency response and </w:t>
            </w:r>
            <w:r w:rsidRPr="000F3D4B">
              <w:t>rescue including First Aid etc.</w:t>
            </w:r>
          </w:p>
          <w:p w:rsidR="00000000" w:rsidRPr="000F3D4B" w:rsidP="000F3D4B">
            <w:pPr>
              <w:pStyle w:val="ListBullet"/>
            </w:pPr>
            <w:r w:rsidRPr="000F3D4B">
              <w:t xml:space="preserve">Use and interpretation of technical manuals and diagrams - manufacturer/Enterprise Manuals, block, wiring and schematic diagrams, 1500 V sectioning diagrams, substation HV operating diagrams, substation arrangement diagrams </w:t>
            </w:r>
            <w:r w:rsidRPr="000F3D4B">
              <w:t>and layout drawings, technical/manufactures’ specifications, maintenance instructions/schedules</w:t>
            </w:r>
          </w:p>
          <w:p w:rsidR="00000000" w:rsidRPr="000F3D4B" w:rsidP="000F3D4B">
            <w:pPr>
              <w:pStyle w:val="ListBullet"/>
            </w:pPr>
            <w:r w:rsidRPr="000F3D4B">
              <w:t>Techniques in the safe installation of DC CB’s.</w:t>
            </w:r>
          </w:p>
          <w:p w:rsidR="00000000" w:rsidRPr="000F3D4B" w:rsidP="000F3D4B">
            <w:pPr>
              <w:pStyle w:val="BodyText"/>
            </w:pPr>
            <w:r w:rsidRPr="000F3D4B">
              <w:t>T10</w:t>
            </w:r>
            <w:r w:rsidRPr="000F3D4B">
              <w:tab/>
              <w:t>Low voltage substation switching principles encompassing:</w:t>
            </w:r>
          </w:p>
          <w:p w:rsidR="00000000" w:rsidRPr="000F3D4B" w:rsidP="000F3D4B">
            <w:pPr>
              <w:pStyle w:val="ListBullet"/>
            </w:pPr>
            <w:r w:rsidRPr="000F3D4B">
              <w:t>Standards, codes, legislation, supply authority r</w:t>
            </w:r>
            <w:r w:rsidRPr="000F3D4B">
              <w:t>egulations and or enterprise requirements applicable to low voltage substation switching</w:t>
            </w:r>
          </w:p>
          <w:p w:rsidR="00000000" w:rsidRPr="000F3D4B" w:rsidP="000F3D4B">
            <w:pPr>
              <w:pStyle w:val="ListBullet"/>
            </w:pPr>
            <w:r w:rsidRPr="000F3D4B">
              <w:t>Requirements for the use of manuals, system diagrams/plans and drawings - types, characteristics and capabilities of LV electrical equipment to be switched, use, chara</w:t>
            </w:r>
            <w:r w:rsidRPr="000F3D4B">
              <w:t>cteristics and capabilities of specialised tools and testing equipment</w:t>
            </w:r>
          </w:p>
          <w:p w:rsidR="00000000" w:rsidRPr="000F3D4B" w:rsidP="000F3D4B">
            <w:pPr>
              <w:pStyle w:val="ListBullet"/>
            </w:pPr>
            <w:r w:rsidRPr="000F3D4B">
              <w:t>Role and responsibilities of the LV switching operator</w:t>
            </w:r>
          </w:p>
          <w:p w:rsidR="00000000" w:rsidRPr="000F3D4B" w:rsidP="000F3D4B">
            <w:pPr>
              <w:pStyle w:val="ListBullet"/>
            </w:pPr>
            <w:r w:rsidRPr="000F3D4B">
              <w:t>Operational forms, access authorities and permits associated with LV switching - types of operational forms, access authorities an</w:t>
            </w:r>
            <w:r w:rsidRPr="000F3D4B">
              <w:t>d permits, purpose and procedure for operational forms, access authorities and permits</w:t>
            </w:r>
          </w:p>
          <w:p w:rsidR="00000000" w:rsidRPr="000F3D4B" w:rsidP="000F3D4B">
            <w:pPr>
              <w:pStyle w:val="ListBullet"/>
            </w:pPr>
            <w:r w:rsidRPr="000F3D4B">
              <w:t>Use, care and operation of equipment associated with LV substation switching</w:t>
            </w:r>
          </w:p>
          <w:p w:rsidR="00000000" w:rsidRPr="000F3D4B" w:rsidP="000F3D4B">
            <w:pPr>
              <w:pStyle w:val="ListBullet"/>
            </w:pPr>
            <w:r w:rsidRPr="000F3D4B">
              <w:t>LV switchgear – types, categories, application, operating capabilities</w:t>
            </w:r>
          </w:p>
          <w:p w:rsidR="00000000" w:rsidRPr="000F3D4B" w:rsidP="000F3D4B">
            <w:pPr>
              <w:pStyle w:val="ListBullet"/>
            </w:pPr>
            <w:r w:rsidRPr="000F3D4B">
              <w:t>Operation of LV subst</w:t>
            </w:r>
            <w:r w:rsidRPr="000F3D4B">
              <w:t>ation switching or indicating devices</w:t>
            </w:r>
          </w:p>
          <w:p w:rsidR="00000000" w:rsidRPr="000F3D4B" w:rsidP="000F3D4B">
            <w:pPr>
              <w:pStyle w:val="ListBullet"/>
            </w:pPr>
            <w:r w:rsidRPr="000F3D4B">
              <w:t>Operation of protection systems and substation equipment</w:t>
            </w:r>
          </w:p>
          <w:p w:rsidR="00000000" w:rsidRPr="000F3D4B" w:rsidP="000F3D4B">
            <w:pPr>
              <w:pStyle w:val="ListBullet"/>
            </w:pPr>
            <w:r w:rsidRPr="000F3D4B">
              <w:t>Restrictions pertaining to LV switching equipment</w:t>
            </w:r>
          </w:p>
          <w:p w:rsidR="00000000" w:rsidRPr="000F3D4B" w:rsidP="000F3D4B">
            <w:pPr>
              <w:pStyle w:val="ListBullet"/>
            </w:pPr>
            <w:r w:rsidRPr="000F3D4B">
              <w:t>Earthing LV electrical apparatus practices and procedures for access</w:t>
            </w:r>
          </w:p>
          <w:p w:rsidR="00000000" w:rsidRPr="000F3D4B" w:rsidP="000F3D4B">
            <w:pPr>
              <w:pStyle w:val="ListBullet"/>
            </w:pPr>
            <w:r w:rsidRPr="000F3D4B">
              <w:t>Low voltage switching techniques</w:t>
            </w:r>
          </w:p>
          <w:p w:rsidR="00000000" w:rsidRPr="000F3D4B" w:rsidP="000F3D4B">
            <w:pPr>
              <w:pStyle w:val="ListBullet"/>
            </w:pPr>
            <w:r w:rsidRPr="000F3D4B">
              <w:t>Restrictions pertaining to Enterprise Specific procedures</w:t>
            </w:r>
          </w:p>
        </w:tc>
      </w:tr>
    </w:tbl>
    <w:p w:rsidR="00000000" w:rsidRPr="000F3D4B" w:rsidP="000F3D4B">
      <w:pPr>
        <w:pStyle w:val="BodyText"/>
      </w:pPr>
    </w:p>
    <w:p w:rsidR="00000000" w:rsidRPr="000F3D4B" w:rsidP="000F3D4B">
      <w:pPr>
        <w:pStyle w:val="AllowPageBreak"/>
      </w:pPr>
    </w:p>
    <w:p w:rsidR="00000000" w:rsidRPr="000F3D4B" w:rsidP="000F3D4B">
      <w:pPr>
        <w:pStyle w:val="Heading1"/>
      </w:pPr>
      <w:bookmarkStart w:id="10" w:name="O_459271"/>
      <w:bookmarkEnd w:id="10"/>
      <w:r w:rsidRPr="000F3D4B">
        <w:t>Evidence Guide</w:t>
      </w:r>
    </w:p>
    <w:tbl>
      <w:tblPr>
        <w:tblW w:w="0" w:type="auto"/>
        <w:tblLayout w:type="fixed"/>
        <w:tblCellMar>
          <w:left w:w="62" w:type="dxa"/>
          <w:right w:w="62" w:type="dxa"/>
        </w:tblCellMar>
        <w:tblLook w:val="0000"/>
      </w:tblPr>
      <w:tblGrid>
        <w:gridCol w:w="1890"/>
        <w:gridCol w:w="6570"/>
      </w:tblGrid>
      <w:tr w:rsidTr="00855B0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EVIDENCE GUIDE</w:t>
            </w:r>
          </w:p>
        </w:tc>
      </w:tr>
      <w:tr w:rsidTr="00855B0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rPr>
                <w:rStyle w:val="SpecialBold"/>
              </w:rPr>
              <w:t>9)</w:t>
            </w:r>
            <w:r w:rsidRPr="000F3D4B">
              <w:t xml:space="preserve"> This provides essential advice for assessment of the competency standard unit and must be read </w:t>
            </w:r>
            <w:r w:rsidRPr="000F3D4B">
              <w:t>in conjunction with the Performance Criteria and the Range Statement of the competency standard unit and the Training Package Assessment Guidelines.</w:t>
            </w:r>
          </w:p>
          <w:p w:rsidR="00000000" w:rsidP="000F3D4B">
            <w:pPr>
              <w:pStyle w:val="BodyText"/>
              <w:rPr>
                <w:lang w:val="en-NZ"/>
              </w:rPr>
            </w:pPr>
            <w:r w:rsidRPr="000F3D4B">
              <w:t>The Evidence Guide forms an integral part of this Competency Standard Unit and shall be used in conjunction</w:t>
            </w:r>
            <w:r w:rsidRPr="000F3D4B">
              <w:t xml:space="preserve"> with all component parts of this unit and, performed in accordance with the Assessment Guidelines of this Training Package.</w:t>
            </w:r>
          </w:p>
        </w:tc>
      </w:tr>
      <w:tr w:rsidTr="00855B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9.1)</w:t>
            </w:r>
          </w:p>
        </w:tc>
      </w:tr>
      <w:tr w:rsidTr="00855B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t>Longitudinal competency development approaches to assessment, such as Profiling, require data to be</w:t>
            </w:r>
            <w:r w:rsidRPr="000F3D4B">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0F3D4B">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0F3D4B">
              <w:t>assessment in part or full can occur outside the workplace. However, it must be in accord with Industry and, Regulatory policy in this regard.</w:t>
            </w:r>
          </w:p>
          <w:p w:rsidR="00000000" w:rsidRPr="000F3D4B" w:rsidP="000F3D4B">
            <w:pPr>
              <w:pStyle w:val="BodyText"/>
            </w:pPr>
            <w:r w:rsidRPr="000F3D4B">
              <w:t>Methods chosen for a particular assessment will be influenced by various factors. These include the extent of the</w:t>
            </w:r>
            <w:r w:rsidRPr="000F3D4B">
              <w:t xml:space="preserve"> assessment, the most effective locations for the assessment activities to take place, access to physical resources, additional safety measures that may be required and the critical nature of the competencies being assessed.</w:t>
            </w:r>
          </w:p>
          <w:p w:rsidR="00000000" w:rsidRPr="000F3D4B" w:rsidP="000F3D4B">
            <w:pPr>
              <w:pStyle w:val="BodyText"/>
            </w:pPr>
            <w:r w:rsidRPr="000F3D4B">
              <w:t>The critical safety nature of w</w:t>
            </w:r>
            <w:r w:rsidRPr="000F3D4B">
              <w:t>orking with electricity, electrical equipment, gas or any other hazardous substance/material carries risk in deeming a person competent. Hence, sources of evidence need to be ‘rich’ in nature so as to minimise error in judgment.</w:t>
            </w:r>
          </w:p>
          <w:p w:rsidR="00000000" w:rsidRPr="000F3D4B" w:rsidP="000F3D4B">
            <w:pPr>
              <w:pStyle w:val="BodyText"/>
            </w:pPr>
            <w:r w:rsidRPr="000F3D4B">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0F3D4B">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0F3D4B">
              <w:t>of this Training Package.</w:t>
            </w:r>
          </w:p>
        </w:tc>
      </w:tr>
    </w:tbl>
    <w:p w:rsidR="00000000" w:rsidRPr="000F3D4B" w:rsidP="000F3D4B">
      <w:pPr>
        <w:pStyle w:val="BodyText"/>
      </w:pPr>
    </w:p>
    <w:tbl>
      <w:tblPr>
        <w:tblW w:w="0" w:type="auto"/>
        <w:tblLayout w:type="fixed"/>
        <w:tblCellMar>
          <w:left w:w="62" w:type="dxa"/>
          <w:right w:w="62" w:type="dxa"/>
        </w:tblCellMar>
        <w:tblLook w:val="0000"/>
      </w:tblPr>
      <w:tblGrid>
        <w:gridCol w:w="1870"/>
        <w:gridCol w:w="20"/>
        <w:gridCol w:w="720"/>
        <w:gridCol w:w="1260"/>
        <w:gridCol w:w="2160"/>
        <w:gridCol w:w="2430"/>
      </w:tblGrid>
      <w:tr w:rsidTr="00855B01">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9.2)</w:t>
            </w:r>
          </w:p>
        </w:tc>
      </w:tr>
      <w:tr w:rsidTr="00855B01">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t>Before the critical aspects of evidence are considered all prerequisites shall be met.</w:t>
            </w:r>
          </w:p>
          <w:p w:rsidR="00000000" w:rsidRPr="000F3D4B" w:rsidP="000F3D4B">
            <w:pPr>
              <w:pStyle w:val="BodyText"/>
            </w:pPr>
            <w:r w:rsidRPr="000F3D4B">
              <w:t>Evidence for competence in this unit shall be consider</w:t>
            </w:r>
            <w:r w:rsidRPr="000F3D4B">
              <w:t>ed holistically. Each element and associated Performance Criteria shall be demonstrated on at least two occasions in accordance with the “Assessment Guidelines – UET12”. Evidence shall also comprise:</w:t>
            </w:r>
          </w:p>
          <w:p w:rsidR="00000000" w:rsidRPr="000F3D4B" w:rsidP="000F3D4B">
            <w:pPr>
              <w:pStyle w:val="ListBullet"/>
            </w:pPr>
            <w:r w:rsidRPr="000F3D4B">
              <w:t>A representative body of Performance Criteria demonstra</w:t>
            </w:r>
            <w:r w:rsidRPr="000F3D4B">
              <w:t>ted within the timeframes typically expected of the discipline, work function and industrial environment. In particular this shall incorporate evidence that shows a candidate is able to:</w:t>
            </w:r>
          </w:p>
          <w:p w:rsidR="00000000" w:rsidRPr="000F3D4B" w:rsidP="000F3D4B">
            <w:pPr>
              <w:pStyle w:val="ListBullet2"/>
            </w:pPr>
            <w:r w:rsidRPr="000F3D4B">
              <w:t>Implement Occupational Health and Safety workplace procedures and practices including the use of risk control measures as specified in the Performance Criteria and range; and</w:t>
            </w:r>
          </w:p>
          <w:p w:rsidR="00000000" w:rsidRPr="000F3D4B" w:rsidP="000F3D4B">
            <w:pPr>
              <w:pStyle w:val="ListBullet2"/>
            </w:pPr>
            <w:r w:rsidRPr="000F3D4B">
              <w:t>Apply sustainable energy principles and practices as specified in the Performance</w:t>
            </w:r>
            <w:r w:rsidRPr="000F3D4B">
              <w:t xml:space="preserve"> Criteria and range; and</w:t>
            </w:r>
          </w:p>
          <w:p w:rsidR="00000000" w:rsidRPr="000F3D4B" w:rsidP="000F3D4B">
            <w:pPr>
              <w:pStyle w:val="ListBullet2"/>
            </w:pPr>
            <w:r w:rsidRPr="000F3D4B">
              <w:t>Demonstrate an understanding of the essential knowledge and associated skills as described in this unit to such an extent that the learner’s performance outcome is reported in accordance with the preferred approach; namely a percen</w:t>
            </w:r>
            <w:r w:rsidRPr="000F3D4B">
              <w:t>tile graded result, where required by the regulated environment; and</w:t>
            </w:r>
          </w:p>
          <w:p w:rsidR="00000000" w:rsidRPr="000F3D4B" w:rsidP="000F3D4B">
            <w:pPr>
              <w:pStyle w:val="ListBullet2"/>
            </w:pPr>
            <w:r w:rsidRPr="000F3D4B">
              <w:t>Demonstrate an appropriate level of employability skills; and</w:t>
            </w:r>
          </w:p>
          <w:p w:rsidR="00000000" w:rsidRPr="000F3D4B" w:rsidP="000F3D4B">
            <w:pPr>
              <w:pStyle w:val="ListBullet"/>
            </w:pPr>
            <w:r w:rsidRPr="000F3D4B">
              <w:t>Conduct work observing the relevant Anti Discrimination legislation, regulations, policies and workplace procedures; and</w:t>
            </w:r>
          </w:p>
          <w:p w:rsidR="00000000" w:rsidP="000F3D4B">
            <w:pPr>
              <w:pStyle w:val="ListBullet2"/>
              <w:rPr>
                <w:lang w:val="en-NZ"/>
              </w:rPr>
            </w:pPr>
            <w:r w:rsidRPr="000F3D4B">
              <w:t>De</w:t>
            </w:r>
            <w:r w:rsidRPr="000F3D4B">
              <w:t>monstrated performance across a representative range of contexts from the prescribed items below:</w:t>
            </w:r>
          </w:p>
        </w:tc>
      </w:tr>
      <w:tr w:rsidTr="00855B01">
        <w:tblPrEx>
          <w:tblW w:w="0" w:type="auto"/>
          <w:tblLayout w:type="fixed"/>
          <w:tblCellMar>
            <w:left w:w="62" w:type="dxa"/>
            <w:right w:w="62" w:type="dxa"/>
          </w:tblCellMar>
          <w:tblLook w:val="0000"/>
        </w:tblPrEx>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0" w:type="dxa"/>
            <w:gridSpan w:val="2"/>
            <w:tcBorders>
              <w:top w:val="nil"/>
              <w:left w:val="nil"/>
              <w:bottom w:val="nil"/>
              <w:right w:val="single" w:sz="4" w:space="0" w:color="auto"/>
            </w:tcBorders>
            <w:tcMar>
              <w:top w:w="0" w:type="dxa"/>
              <w:left w:w="62" w:type="dxa"/>
              <w:bottom w:w="0" w:type="dxa"/>
              <w:right w:w="62" w:type="dxa"/>
            </w:tcMar>
          </w:tcPr>
          <w:p w:rsidR="00000000" w:rsidRPr="000F3D4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D4B">
            <w:pPr>
              <w:pStyle w:val="BodyText"/>
              <w:rPr>
                <w:lang w:val="en-NZ"/>
              </w:rPr>
            </w:pPr>
            <w:r w:rsidRPr="000F3D4B">
              <w:rPr>
                <w:rStyle w:val="SpecialBold"/>
              </w:rPr>
              <w:t>Range of tools/equipment/materials/procedures/workplaces/other variables</w:t>
            </w:r>
          </w:p>
        </w:tc>
      </w:tr>
      <w:tr w:rsidTr="00855B01">
        <w:tblPrEx>
          <w:tblW w:w="0" w:type="auto"/>
          <w:tblLayout w:type="fixed"/>
          <w:tblCellMar>
            <w:left w:w="62" w:type="dxa"/>
            <w:right w:w="62" w:type="dxa"/>
          </w:tblCellMar>
          <w:tblLook w:val="0000"/>
        </w:tblPrEx>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0" w:type="dxa"/>
            <w:gridSpan w:val="2"/>
            <w:tcBorders>
              <w:top w:val="nil"/>
              <w:left w:val="nil"/>
              <w:bottom w:val="nil"/>
              <w:right w:val="single" w:sz="4" w:space="0" w:color="auto"/>
            </w:tcBorders>
            <w:tcMar>
              <w:top w:w="0" w:type="dxa"/>
              <w:left w:w="62" w:type="dxa"/>
              <w:bottom w:w="0" w:type="dxa"/>
              <w:right w:w="62" w:type="dxa"/>
            </w:tcMar>
          </w:tcPr>
          <w:p w:rsidR="00000000" w:rsidRPr="000F3D4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D4B" w:rsidP="000F3D4B">
            <w:pPr>
              <w:pStyle w:val="BodyText"/>
            </w:pPr>
            <w:r w:rsidRPr="000F3D4B">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D4B" w:rsidP="000F3D4B">
            <w:pPr>
              <w:pStyle w:val="BodyText"/>
            </w:pPr>
            <w:r w:rsidRPr="000F3D4B">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D4B">
            <w:pPr>
              <w:pStyle w:val="BodyText"/>
              <w:rPr>
                <w:lang w:val="en-NZ"/>
              </w:rPr>
            </w:pPr>
            <w:r w:rsidRPr="000F3D4B">
              <w:rPr>
                <w:rStyle w:val="SpecialBold"/>
              </w:rPr>
              <w:t>Item List</w:t>
            </w:r>
          </w:p>
        </w:tc>
      </w:tr>
      <w:tr w:rsidTr="00855B01">
        <w:tblPrEx>
          <w:tblW w:w="0" w:type="auto"/>
          <w:tblLayout w:type="fixed"/>
          <w:tblCellMar>
            <w:left w:w="62" w:type="dxa"/>
            <w:right w:w="62" w:type="dxa"/>
          </w:tblCellMar>
          <w:tblLook w:val="0000"/>
        </w:tblPrEx>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0"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D4B">
            <w:pPr>
              <w:pStyle w:val="BodyText"/>
              <w:rPr>
                <w:lang w:val="en-NZ"/>
              </w:rPr>
            </w:pPr>
            <w:r w:rsidRPr="000F3D4B">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D4B">
            <w:pPr>
              <w:pStyle w:val="BodyText"/>
              <w:rPr>
                <w:lang w:val="en-NZ"/>
              </w:rPr>
            </w:pPr>
            <w:r w:rsidRPr="000F3D4B">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D4B" w:rsidP="000F3D4B">
            <w:pPr>
              <w:pStyle w:val="BodyText"/>
            </w:pPr>
            <w:r w:rsidRPr="000F3D4B">
              <w:t>Multimeters</w:t>
            </w:r>
          </w:p>
          <w:p w:rsidR="00000000" w:rsidRPr="000F3D4B" w:rsidP="000F3D4B">
            <w:pPr>
              <w:pStyle w:val="BodyText"/>
            </w:pPr>
            <w:r w:rsidRPr="000F3D4B">
              <w:t>Low resistance high current</w:t>
            </w:r>
          </w:p>
          <w:p w:rsidR="00000000" w:rsidRPr="000F3D4B" w:rsidP="000F3D4B">
            <w:pPr>
              <w:pStyle w:val="BodyText"/>
            </w:pPr>
            <w:r w:rsidRPr="000F3D4B">
              <w:t>Megger tester</w:t>
            </w:r>
          </w:p>
          <w:p w:rsidR="00000000" w:rsidRPr="000F3D4B" w:rsidP="000F3D4B">
            <w:pPr>
              <w:pStyle w:val="BodyText"/>
            </w:pPr>
            <w:r w:rsidRPr="000F3D4B">
              <w:t>Ammeter</w:t>
            </w:r>
          </w:p>
          <w:p w:rsidR="00000000" w:rsidRPr="000F3D4B" w:rsidP="000F3D4B">
            <w:pPr>
              <w:pStyle w:val="BodyText"/>
            </w:pPr>
            <w:r w:rsidRPr="000F3D4B">
              <w:t>Voltmeter</w:t>
            </w:r>
          </w:p>
          <w:p w:rsidR="00000000" w:rsidRPr="000F3D4B" w:rsidP="000F3D4B">
            <w:pPr>
              <w:pStyle w:val="BodyText"/>
            </w:pPr>
            <w:r w:rsidRPr="000F3D4B">
              <w:t>1500 V drop out tester</w:t>
            </w:r>
          </w:p>
          <w:p w:rsidR="00000000" w:rsidRPr="000F3D4B" w:rsidP="000F3D4B">
            <w:pPr>
              <w:pStyle w:val="BodyText"/>
            </w:pPr>
            <w:r w:rsidRPr="000F3D4B">
              <w:t>Wiring diagrams</w:t>
            </w:r>
          </w:p>
          <w:p w:rsidR="00000000" w:rsidRPr="000F3D4B" w:rsidP="000F3D4B">
            <w:pPr>
              <w:pStyle w:val="BodyText"/>
            </w:pPr>
            <w:r w:rsidRPr="000F3D4B">
              <w:t>Schematic drawings</w:t>
            </w:r>
          </w:p>
          <w:p w:rsidR="00000000" w:rsidRPr="000F3D4B" w:rsidP="000F3D4B">
            <w:pPr>
              <w:pStyle w:val="BodyText"/>
            </w:pPr>
            <w:r w:rsidRPr="000F3D4B">
              <w:t>Operating and substation arrangement diagrams</w:t>
            </w:r>
          </w:p>
          <w:p w:rsidR="00000000" w:rsidRPr="000F3D4B" w:rsidP="000F3D4B">
            <w:pPr>
              <w:pStyle w:val="BodyText"/>
            </w:pPr>
            <w:r w:rsidRPr="000F3D4B">
              <w:t>Building layouts</w:t>
            </w:r>
          </w:p>
          <w:p w:rsidR="00000000" w:rsidP="000F3D4B">
            <w:pPr>
              <w:pStyle w:val="BodyText"/>
              <w:rPr>
                <w:lang w:val="en-NZ"/>
              </w:rPr>
            </w:pPr>
            <w:r w:rsidRPr="000F3D4B">
              <w:t>Cable block and schedule diagrams</w:t>
            </w:r>
          </w:p>
        </w:tc>
      </w:tr>
      <w:tr w:rsidTr="00855B01">
        <w:tblPrEx>
          <w:tblW w:w="0" w:type="auto"/>
          <w:tblLayout w:type="fixed"/>
          <w:tblCellMar>
            <w:left w:w="62" w:type="dxa"/>
            <w:right w:w="62" w:type="dxa"/>
          </w:tblCellMar>
          <w:tblLook w:val="0000"/>
        </w:tblPrEx>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0"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D4B">
            <w:pPr>
              <w:pStyle w:val="BodyText"/>
              <w:rPr>
                <w:lang w:val="en-NZ"/>
              </w:rPr>
            </w:pPr>
            <w:r w:rsidRPr="000F3D4B">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D4B">
            <w:pPr>
              <w:pStyle w:val="BodyText"/>
              <w:rPr>
                <w:lang w:val="en-NZ"/>
              </w:rPr>
            </w:pPr>
            <w:r w:rsidRPr="000F3D4B">
              <w:t>At least six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D4B" w:rsidP="000F3D4B">
            <w:pPr>
              <w:pStyle w:val="BodyText"/>
            </w:pPr>
            <w:r w:rsidRPr="000F3D4B">
              <w:t>Direct current circuit breakers</w:t>
            </w:r>
          </w:p>
          <w:p w:rsidR="00000000" w:rsidRPr="000F3D4B" w:rsidP="000F3D4B">
            <w:pPr>
              <w:pStyle w:val="BodyText"/>
            </w:pPr>
            <w:r w:rsidRPr="000F3D4B">
              <w:t>Rectifier transformers</w:t>
            </w:r>
          </w:p>
          <w:p w:rsidR="00000000" w:rsidRPr="000F3D4B" w:rsidP="000F3D4B">
            <w:pPr>
              <w:pStyle w:val="BodyText"/>
            </w:pPr>
            <w:r w:rsidRPr="000F3D4B">
              <w:t>Rectifiers</w:t>
            </w:r>
          </w:p>
          <w:p w:rsidR="00000000" w:rsidRPr="000F3D4B" w:rsidP="000F3D4B">
            <w:pPr>
              <w:pStyle w:val="BodyText"/>
            </w:pPr>
            <w:r w:rsidRPr="000F3D4B">
              <w:t>Isolators and links</w:t>
            </w:r>
          </w:p>
          <w:p w:rsidR="00000000" w:rsidRPr="000F3D4B" w:rsidP="000F3D4B">
            <w:pPr>
              <w:pStyle w:val="BodyText"/>
            </w:pPr>
            <w:r w:rsidRPr="000F3D4B">
              <w:t>Harmonic filters</w:t>
            </w:r>
          </w:p>
          <w:p w:rsidR="00000000" w:rsidRPr="000F3D4B" w:rsidP="000F3D4B">
            <w:pPr>
              <w:pStyle w:val="BodyText"/>
            </w:pPr>
            <w:r w:rsidRPr="000F3D4B">
              <w:t>Negative reactors</w:t>
            </w:r>
          </w:p>
          <w:p w:rsidR="00000000" w:rsidP="000F3D4B">
            <w:pPr>
              <w:pStyle w:val="BodyText"/>
              <w:rPr>
                <w:lang w:val="en-NZ"/>
              </w:rPr>
            </w:pPr>
            <w:r w:rsidRPr="000F3D4B">
              <w:t>Energy dissipation resistors</w:t>
            </w:r>
          </w:p>
        </w:tc>
      </w:tr>
      <w:tr w:rsidTr="00855B01">
        <w:tblPrEx>
          <w:tblW w:w="0" w:type="auto"/>
          <w:tblLayout w:type="fixed"/>
          <w:tblCellMar>
            <w:left w:w="62" w:type="dxa"/>
            <w:right w:w="62" w:type="dxa"/>
          </w:tblCellMar>
          <w:tblLook w:val="0000"/>
        </w:tblPrEx>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0"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D4B">
            <w:pPr>
              <w:pStyle w:val="BodyText"/>
              <w:rPr>
                <w:lang w:val="en-NZ"/>
              </w:rPr>
            </w:pPr>
            <w:r w:rsidRPr="000F3D4B">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D4B">
            <w:pPr>
              <w:pStyle w:val="BodyText"/>
              <w:rPr>
                <w:lang w:val="en-NZ"/>
              </w:rPr>
            </w:pPr>
            <w:r w:rsidRPr="000F3D4B">
              <w:t>At least ten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D4B" w:rsidP="000F3D4B">
            <w:pPr>
              <w:pStyle w:val="BodyText"/>
            </w:pPr>
            <w:r w:rsidRPr="000F3D4B">
              <w:t>DC feeders</w:t>
            </w:r>
          </w:p>
          <w:p w:rsidR="00000000" w:rsidRPr="000F3D4B" w:rsidP="000F3D4B">
            <w:pPr>
              <w:pStyle w:val="BodyText"/>
            </w:pPr>
            <w:r w:rsidRPr="000F3D4B">
              <w:t>Surge arresters</w:t>
            </w:r>
          </w:p>
          <w:p w:rsidR="00000000" w:rsidRPr="000F3D4B" w:rsidP="000F3D4B">
            <w:pPr>
              <w:pStyle w:val="BodyText"/>
            </w:pPr>
            <w:r w:rsidRPr="000F3D4B">
              <w:t>Isolating links</w:t>
            </w:r>
          </w:p>
          <w:p w:rsidR="00000000" w:rsidRPr="000F3D4B" w:rsidP="000F3D4B">
            <w:pPr>
              <w:pStyle w:val="BodyText"/>
            </w:pPr>
            <w:r w:rsidRPr="000F3D4B">
              <w:t>Busbar</w:t>
            </w:r>
          </w:p>
          <w:p w:rsidR="00000000" w:rsidRPr="000F3D4B" w:rsidP="000F3D4B">
            <w:pPr>
              <w:pStyle w:val="BodyText"/>
            </w:pPr>
            <w:r w:rsidRPr="000F3D4B">
              <w:t>Cables</w:t>
            </w:r>
          </w:p>
          <w:p w:rsidR="00000000" w:rsidRPr="000F3D4B" w:rsidP="000F3D4B">
            <w:pPr>
              <w:pStyle w:val="BodyText"/>
            </w:pPr>
            <w:r w:rsidRPr="000F3D4B">
              <w:t>Cable supports</w:t>
            </w:r>
          </w:p>
          <w:p w:rsidR="00000000" w:rsidRPr="000F3D4B" w:rsidP="000F3D4B">
            <w:pPr>
              <w:pStyle w:val="BodyText"/>
            </w:pPr>
            <w:r w:rsidRPr="000F3D4B">
              <w:t>Pits and enclosures</w:t>
            </w:r>
          </w:p>
          <w:p w:rsidR="00000000" w:rsidRPr="000F3D4B" w:rsidP="000F3D4B">
            <w:pPr>
              <w:pStyle w:val="BodyText"/>
            </w:pPr>
            <w:r w:rsidRPr="000F3D4B">
              <w:t>Protection/alarm systems</w:t>
            </w:r>
          </w:p>
          <w:p w:rsidR="00000000" w:rsidRPr="000F3D4B" w:rsidP="000F3D4B">
            <w:pPr>
              <w:pStyle w:val="BodyText"/>
            </w:pPr>
            <w:r w:rsidRPr="000F3D4B">
              <w:t>Control wiring</w:t>
            </w:r>
          </w:p>
          <w:p w:rsidR="00000000" w:rsidRPr="000F3D4B" w:rsidP="000F3D4B">
            <w:pPr>
              <w:pStyle w:val="BodyText"/>
            </w:pPr>
            <w:r w:rsidRPr="000F3D4B">
              <w:t>Metering</w:t>
            </w:r>
          </w:p>
          <w:p w:rsidR="00000000" w:rsidRPr="000F3D4B" w:rsidP="000F3D4B">
            <w:pPr>
              <w:pStyle w:val="BodyText"/>
            </w:pPr>
            <w:r w:rsidRPr="000F3D4B">
              <w:t>Supervisory interface</w:t>
            </w:r>
          </w:p>
          <w:p w:rsidR="00000000" w:rsidRPr="000F3D4B" w:rsidP="000F3D4B">
            <w:pPr>
              <w:pStyle w:val="BodyText"/>
            </w:pPr>
            <w:r w:rsidRPr="000F3D4B">
              <w:t>Cabinets</w:t>
            </w:r>
          </w:p>
          <w:p w:rsidR="00000000" w:rsidP="000F3D4B">
            <w:pPr>
              <w:pStyle w:val="BodyText"/>
              <w:rPr>
                <w:lang w:val="en-NZ"/>
              </w:rPr>
            </w:pPr>
            <w:r w:rsidRPr="000F3D4B">
              <w:t>REC</w:t>
            </w:r>
          </w:p>
        </w:tc>
      </w:tr>
      <w:tr w:rsidTr="00855B01">
        <w:tblPrEx>
          <w:tblW w:w="0" w:type="auto"/>
          <w:tblLayout w:type="fixed"/>
          <w:tblCellMar>
            <w:left w:w="62" w:type="dxa"/>
            <w:right w:w="62" w:type="dxa"/>
          </w:tblCellMar>
          <w:tblLook w:val="0000"/>
        </w:tblPrEx>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0"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D4B">
            <w:pPr>
              <w:pStyle w:val="BodyText"/>
              <w:rPr>
                <w:lang w:val="en-NZ"/>
              </w:rPr>
            </w:pPr>
            <w:r w:rsidRPr="000F3D4B">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D4B">
            <w:pPr>
              <w:pStyle w:val="BodyText"/>
              <w:rPr>
                <w:lang w:val="en-NZ"/>
              </w:rPr>
            </w:pPr>
            <w:r w:rsidRPr="000F3D4B">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D4B" w:rsidP="000F3D4B">
            <w:pPr>
              <w:pStyle w:val="BodyText"/>
            </w:pPr>
            <w:r w:rsidRPr="000F3D4B">
              <w:t>Buchholz</w:t>
            </w:r>
          </w:p>
          <w:p w:rsidR="00000000" w:rsidRPr="000F3D4B" w:rsidP="000F3D4B">
            <w:pPr>
              <w:pStyle w:val="BodyText"/>
            </w:pPr>
            <w:r w:rsidRPr="000F3D4B">
              <w:t>Frame leakage</w:t>
            </w:r>
          </w:p>
          <w:p w:rsidR="00000000" w:rsidRPr="000F3D4B" w:rsidP="000F3D4B">
            <w:pPr>
              <w:pStyle w:val="BodyText"/>
            </w:pPr>
            <w:r w:rsidRPr="000F3D4B">
              <w:t>Overcurrent</w:t>
            </w:r>
          </w:p>
          <w:p w:rsidR="00000000" w:rsidRPr="000F3D4B" w:rsidP="000F3D4B">
            <w:pPr>
              <w:pStyle w:val="BodyText"/>
            </w:pPr>
            <w:r w:rsidRPr="000F3D4B">
              <w:t>Earth leakage</w:t>
            </w:r>
          </w:p>
          <w:p w:rsidR="00000000" w:rsidRPr="000F3D4B" w:rsidP="000F3D4B">
            <w:pPr>
              <w:pStyle w:val="BodyText"/>
            </w:pPr>
            <w:r w:rsidRPr="000F3D4B">
              <w:t>Reverse current</w:t>
            </w:r>
          </w:p>
          <w:p w:rsidR="00000000" w:rsidRPr="000F3D4B" w:rsidP="000F3D4B">
            <w:pPr>
              <w:pStyle w:val="BodyText"/>
            </w:pPr>
            <w:r w:rsidRPr="000F3D4B">
              <w:t>Delta i</w:t>
            </w:r>
          </w:p>
          <w:p w:rsidR="00000000" w:rsidP="000F3D4B">
            <w:pPr>
              <w:pStyle w:val="BodyText"/>
              <w:rPr>
                <w:lang w:val="en-NZ"/>
              </w:rPr>
            </w:pPr>
            <w:r w:rsidRPr="000F3D4B">
              <w:t>Diode protection</w:t>
            </w:r>
          </w:p>
        </w:tc>
      </w:tr>
      <w:tr w:rsidTr="00855B01">
        <w:tblPrEx>
          <w:tblW w:w="0" w:type="auto"/>
          <w:tblLayout w:type="fixed"/>
          <w:tblCellMar>
            <w:left w:w="62" w:type="dxa"/>
            <w:right w:w="62" w:type="dxa"/>
          </w:tblCellMar>
          <w:tblLook w:val="0000"/>
        </w:tblPrEx>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0"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D4B">
            <w:pPr>
              <w:pStyle w:val="BodyText"/>
              <w:rPr>
                <w:lang w:val="en-NZ"/>
              </w:rPr>
            </w:pPr>
            <w:r w:rsidRPr="000F3D4B">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D4B">
            <w:pPr>
              <w:pStyle w:val="BodyText"/>
              <w:rPr>
                <w:lang w:val="en-NZ"/>
              </w:rPr>
            </w:pPr>
            <w:r w:rsidRPr="000F3D4B">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D4B" w:rsidP="000F3D4B">
            <w:pPr>
              <w:pStyle w:val="BodyText"/>
            </w:pPr>
            <w:r w:rsidRPr="000F3D4B">
              <w:t>Cable terminations</w:t>
            </w:r>
          </w:p>
          <w:p w:rsidR="00000000" w:rsidRPr="000F3D4B" w:rsidP="000F3D4B">
            <w:pPr>
              <w:pStyle w:val="BodyText"/>
            </w:pPr>
            <w:r w:rsidRPr="000F3D4B">
              <w:t>Busbar termination/joint</w:t>
            </w:r>
          </w:p>
          <w:p w:rsidR="00000000" w:rsidP="000F3D4B">
            <w:pPr>
              <w:pStyle w:val="BodyText"/>
              <w:rPr>
                <w:lang w:val="en-NZ"/>
              </w:rPr>
            </w:pPr>
            <w:r w:rsidRPr="000F3D4B">
              <w:t>Alignment of electrical contacts of withdrawable equipment</w:t>
            </w:r>
          </w:p>
        </w:tc>
      </w:tr>
      <w:tr w:rsidTr="00855B01">
        <w:tblPrEx>
          <w:tblW w:w="0" w:type="auto"/>
          <w:tblLayout w:type="fixed"/>
          <w:tblCellMar>
            <w:left w:w="62" w:type="dxa"/>
            <w:right w:w="62" w:type="dxa"/>
          </w:tblCellMar>
          <w:tblLook w:val="0000"/>
        </w:tblPrEx>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0"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D4B">
            <w:pPr>
              <w:pStyle w:val="BodyText"/>
              <w:rPr>
                <w:lang w:val="en-NZ"/>
              </w:rPr>
            </w:pPr>
            <w:r w:rsidRPr="000F3D4B">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D4B">
            <w:pPr>
              <w:pStyle w:val="BodyText"/>
              <w:rPr>
                <w:lang w:val="en-NZ"/>
              </w:rPr>
            </w:pPr>
            <w:r w:rsidRPr="000F3D4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D4B" w:rsidP="000F3D4B">
            <w:pPr>
              <w:pStyle w:val="BodyText"/>
            </w:pPr>
            <w:r w:rsidRPr="000F3D4B">
              <w:t>Dealing with an unplanned event by drawing on essential knowledge and associated skills to provide appropriate solutions incorporated in the holistic assessment with the above listed items.</w:t>
            </w:r>
          </w:p>
        </w:tc>
      </w:tr>
    </w:tbl>
    <w:p w:rsidR="00000000" w:rsidRPr="000F3D4B" w:rsidP="000F3D4B">
      <w:pPr>
        <w:pStyle w:val="BodyText"/>
      </w:pPr>
    </w:p>
    <w:tbl>
      <w:tblPr>
        <w:tblW w:w="0" w:type="auto"/>
        <w:tblLayout w:type="fixed"/>
        <w:tblCellMar>
          <w:left w:w="62" w:type="dxa"/>
          <w:right w:w="62" w:type="dxa"/>
        </w:tblCellMar>
        <w:tblLook w:val="0000"/>
      </w:tblPr>
      <w:tblGrid>
        <w:gridCol w:w="1890"/>
        <w:gridCol w:w="6570"/>
      </w:tblGrid>
      <w:tr w:rsidTr="00855B0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9.3)</w:t>
            </w:r>
          </w:p>
        </w:tc>
      </w:tr>
      <w:tr w:rsidTr="00855B0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t>This uni</w:t>
            </w:r>
            <w:r w:rsidRPr="000F3D4B">
              <w:t>t should be assessed as it relates to normal work practice using procedures, information and resources typical of a workplace. This should include:</w:t>
            </w:r>
          </w:p>
          <w:p w:rsidR="00000000" w:rsidRPr="000F3D4B" w:rsidP="000F3D4B">
            <w:pPr>
              <w:pStyle w:val="ListBullet"/>
            </w:pPr>
            <w:r w:rsidRPr="000F3D4B">
              <w:t>OHS policy and work procedures and instructions.</w:t>
            </w:r>
          </w:p>
          <w:p w:rsidR="00000000" w:rsidRPr="000F3D4B" w:rsidP="000F3D4B">
            <w:pPr>
              <w:pStyle w:val="ListBullet"/>
            </w:pPr>
            <w:r w:rsidRPr="000F3D4B">
              <w:t>Suitable work environment, facilities, equipment and materials to undertake actual installation of high current DC switchgear and equipment.</w:t>
            </w:r>
          </w:p>
          <w:p w:rsidR="00000000" w:rsidRPr="000F3D4B" w:rsidP="000F3D4B">
            <w:pPr>
              <w:pStyle w:val="BodyText"/>
            </w:pPr>
            <w:r w:rsidRPr="000F3D4B">
              <w:t>In addition to the resources listed above, in Context of and specific resources for assessment, evidence should sho</w:t>
            </w:r>
            <w:r w:rsidRPr="000F3D4B">
              <w:t xml:space="preserve">w demonstrated competency working: </w:t>
            </w:r>
          </w:p>
          <w:p w:rsidR="00000000" w:rsidRPr="000F3D4B" w:rsidP="000F3D4B">
            <w:pPr>
              <w:pStyle w:val="BodyText"/>
            </w:pPr>
            <w:r w:rsidRPr="000F3D4B">
              <w:t>Below ground, in limited spaces, with different structural/construction types and method and in a variety of environments.</w:t>
            </w:r>
          </w:p>
        </w:tc>
      </w:tr>
    </w:tbl>
    <w:p w:rsidR="00000000" w:rsidRPr="000F3D4B" w:rsidP="000F3D4B">
      <w:pPr>
        <w:pStyle w:val="BodyText"/>
      </w:pPr>
    </w:p>
    <w:tbl>
      <w:tblPr>
        <w:tblW w:w="0" w:type="auto"/>
        <w:tblLayout w:type="fixed"/>
        <w:tblCellMar>
          <w:left w:w="62" w:type="dxa"/>
          <w:right w:w="62" w:type="dxa"/>
        </w:tblCellMar>
        <w:tblLook w:val="0000"/>
      </w:tblPr>
      <w:tblGrid>
        <w:gridCol w:w="1890"/>
        <w:gridCol w:w="6570"/>
      </w:tblGrid>
      <w:tr w:rsidTr="00855B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9.4)</w:t>
            </w:r>
          </w:p>
        </w:tc>
      </w:tr>
      <w:tr w:rsidTr="00855B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t>This Competency Standard Unit shall be assessed by methods given in Volume 1, Part 3 “Assessment Guidelines”.</w:t>
            </w:r>
          </w:p>
          <w:p w:rsidR="00000000" w:rsidRPr="000F3D4B" w:rsidP="000F3D4B">
            <w:pPr>
              <w:pStyle w:val="BodyText"/>
            </w:pPr>
            <w:r w:rsidRPr="000F3D4B">
              <w:t>Note:</w:t>
            </w:r>
          </w:p>
          <w:p w:rsidR="00000000" w:rsidRPr="000F3D4B" w:rsidP="000F3D4B">
            <w:pPr>
              <w:pStyle w:val="BodyText"/>
            </w:pPr>
            <w:r w:rsidRPr="000F3D4B">
              <w:t>Competent performance with inherent safe working practices is expected in the Transmission, Distribution and Rail Traction Industry. This re</w:t>
            </w:r>
            <w:r w:rsidRPr="000F3D4B">
              <w:t>quires that the specified essential knowledge and associated skills are assessed in a structured environment which is primarily intended for learning/assessment and incorporates all necessary equipment and facilities for learners to develop and demonstrate</w:t>
            </w:r>
            <w:r w:rsidRPr="000F3D4B">
              <w:t xml:space="preserve"> the essential knowledge and associated skills described in this unit.</w:t>
            </w:r>
          </w:p>
        </w:tc>
      </w:tr>
    </w:tbl>
    <w:p w:rsidR="00000000" w:rsidRPr="000F3D4B" w:rsidP="000F3D4B">
      <w:pPr>
        <w:pStyle w:val="BodyText"/>
      </w:pPr>
    </w:p>
    <w:tbl>
      <w:tblPr>
        <w:tblW w:w="0" w:type="auto"/>
        <w:tblLayout w:type="fixed"/>
        <w:tblCellMar>
          <w:left w:w="62" w:type="dxa"/>
          <w:right w:w="62" w:type="dxa"/>
        </w:tblCellMar>
        <w:tblLook w:val="0000"/>
      </w:tblPr>
      <w:tblGrid>
        <w:gridCol w:w="1890"/>
        <w:gridCol w:w="6570"/>
      </w:tblGrid>
      <w:tr w:rsidTr="00855B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9.5)</w:t>
            </w:r>
          </w:p>
        </w:tc>
      </w:tr>
      <w:tr w:rsidTr="00855B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t>There are no concurrent assessment recommendations for this unit.</w:t>
            </w:r>
          </w:p>
        </w:tc>
      </w:tr>
    </w:tbl>
    <w:p w:rsidR="00000000" w:rsidRPr="000F3D4B" w:rsidP="000F3D4B">
      <w:pPr>
        <w:pStyle w:val="BodyText"/>
      </w:pPr>
    </w:p>
    <w:p w:rsidR="00000000" w:rsidRPr="000F3D4B" w:rsidP="000F3D4B">
      <w:pPr>
        <w:pStyle w:val="AllowPageBreak"/>
      </w:pPr>
    </w:p>
    <w:p w:rsidR="00000000" w:rsidRPr="000F3D4B" w:rsidP="000F3D4B">
      <w:pPr>
        <w:pStyle w:val="Heading1"/>
      </w:pPr>
      <w:bookmarkStart w:id="11" w:name="O_459275"/>
      <w:bookmarkEnd w:id="11"/>
      <w:r w:rsidRPr="000F3D4B">
        <w:t>Range Statement</w:t>
      </w:r>
    </w:p>
    <w:tbl>
      <w:tblPr>
        <w:tblW w:w="0" w:type="auto"/>
        <w:tblLayout w:type="fixed"/>
        <w:tblCellMar>
          <w:left w:w="62" w:type="dxa"/>
          <w:right w:w="62" w:type="dxa"/>
        </w:tblCellMar>
        <w:tblLook w:val="0000"/>
      </w:tblPr>
      <w:tblGrid>
        <w:gridCol w:w="8460"/>
      </w:tblGrid>
      <w:tr w:rsidTr="00855B0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RANGE STATEMENT</w:t>
            </w:r>
          </w:p>
        </w:tc>
      </w:tr>
      <w:tr w:rsidTr="00855B0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rPr>
                <w:rStyle w:val="SpecialBold"/>
              </w:rPr>
              <w:t>10)</w:t>
            </w:r>
            <w:r w:rsidRPr="000F3D4B">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0F3D4B" w:rsidP="000F3D4B">
            <w:pPr>
              <w:pStyle w:val="BodyText"/>
            </w:pPr>
            <w:r w:rsidRPr="000F3D4B">
              <w:t>This Competency Stand</w:t>
            </w:r>
            <w:r w:rsidRPr="000F3D4B">
              <w:t>ard Unit shall be demonstrated in relation to the installation of high current DC switchgear and equipment</w:t>
            </w:r>
          </w:p>
          <w:p w:rsidR="00000000" w:rsidRPr="000F3D4B" w:rsidP="000F3D4B">
            <w:pPr>
              <w:pStyle w:val="BodyText"/>
            </w:pPr>
            <w:r w:rsidRPr="000F3D4B">
              <w:t>DC switchgear and other equipment include but are not limited to direct current circuit breakers, rectifier transformers, rectifiers, invertors, isol</w:t>
            </w:r>
            <w:r w:rsidRPr="000F3D4B">
              <w:t>ators and links, harmonic filters, negative reactors, energy dissipating resistors (EDR’s) and rail earth contactor.</w:t>
            </w:r>
          </w:p>
          <w:p w:rsidR="00000000" w:rsidRPr="000F3D4B" w:rsidP="000F3D4B">
            <w:pPr>
              <w:pStyle w:val="BodyText"/>
            </w:pPr>
            <w:r w:rsidRPr="000F3D4B">
              <w:t>Associated equipment may include DC feeders, surge arresters, isolating links, busbar, cables, cable supports, pits and enclosures, control</w:t>
            </w:r>
            <w:r w:rsidRPr="000F3D4B">
              <w:t xml:space="preserve"> wiring of protection/alarm systems, metering, supervisory interface and cabinets.</w:t>
            </w:r>
          </w:p>
          <w:p w:rsidR="00000000" w:rsidRPr="000F3D4B" w:rsidP="000F3D4B">
            <w:pPr>
              <w:pStyle w:val="BodyText"/>
            </w:pPr>
            <w:r w:rsidRPr="000F3D4B">
              <w:t>Test and measurement equipments may include multimeters, low resistance high current, megger tester, ammeter, voltmeter, 1500 V dropout test sets.</w:t>
            </w:r>
          </w:p>
          <w:p w:rsidR="00000000" w:rsidRPr="000F3D4B" w:rsidP="000F3D4B">
            <w:pPr>
              <w:pStyle w:val="BodyText"/>
            </w:pPr>
            <w:r w:rsidRPr="000F3D4B">
              <w:t>Drawings can refer to wiri</w:t>
            </w:r>
            <w:r w:rsidRPr="000F3D4B">
              <w:t>ng, schematic, operating and substation arrangement diagrams, cable block and schedule diagrams and building layouts.</w:t>
            </w:r>
          </w:p>
          <w:p w:rsidR="00000000" w:rsidRPr="000F3D4B" w:rsidP="000F3D4B">
            <w:pPr>
              <w:pStyle w:val="BodyText"/>
            </w:pPr>
            <w:r w:rsidRPr="000F3D4B">
              <w:t>Confined Spaces may apply to pits, cable tunnels, false floors, and cable basements.</w:t>
            </w:r>
          </w:p>
          <w:p w:rsidR="00000000" w:rsidRPr="000F3D4B" w:rsidP="000F3D4B">
            <w:pPr>
              <w:pStyle w:val="BodyText"/>
            </w:pPr>
            <w:r w:rsidRPr="000F3D4B">
              <w:t>Protection systems may include Buchholz, frame leakag</w:t>
            </w:r>
            <w:r w:rsidRPr="000F3D4B">
              <w:t xml:space="preserve">e, overcurrent, earth leakage, reverse current, Delta I and diode protection. </w:t>
            </w:r>
          </w:p>
          <w:p w:rsidR="00000000" w:rsidRPr="000F3D4B" w:rsidP="000F3D4B">
            <w:pPr>
              <w:pStyle w:val="BodyText"/>
            </w:pPr>
            <w:r w:rsidRPr="000F3D4B">
              <w:t>The following constants and variables included in the element/Performance Criteria in this unit are fully described in the Definitions Section 1 of this volume and form an integ</w:t>
            </w:r>
            <w:r w:rsidRPr="000F3D4B">
              <w:t>ral part of the Range Statement of this unit:</w:t>
            </w:r>
          </w:p>
          <w:p w:rsidR="00000000" w:rsidRPr="000F3D4B" w:rsidP="000F3D4B">
            <w:pPr>
              <w:pStyle w:val="ListBullet3"/>
            </w:pPr>
            <w:r w:rsidRPr="000F3D4B">
              <w:t>Appropriate and relevant persons (see Personnel)</w:t>
            </w:r>
          </w:p>
          <w:p w:rsidR="00000000" w:rsidRPr="000F3D4B" w:rsidP="000F3D4B">
            <w:pPr>
              <w:pStyle w:val="ListBullet3"/>
            </w:pPr>
            <w:r w:rsidRPr="000F3D4B">
              <w:t>Appropriate authorities</w:t>
            </w:r>
          </w:p>
          <w:p w:rsidR="00000000" w:rsidRPr="000F3D4B" w:rsidP="000F3D4B">
            <w:pPr>
              <w:pStyle w:val="ListBullet3"/>
            </w:pPr>
            <w:r w:rsidRPr="000F3D4B">
              <w:t>Appropriate work platform</w:t>
            </w:r>
          </w:p>
          <w:p w:rsidR="00000000" w:rsidRPr="000F3D4B" w:rsidP="000F3D4B">
            <w:pPr>
              <w:pStyle w:val="ListBullet3"/>
            </w:pPr>
            <w:r w:rsidRPr="000F3D4B">
              <w:t>Assessing risk</w:t>
            </w:r>
          </w:p>
          <w:p w:rsidR="00000000" w:rsidRPr="000F3D4B" w:rsidP="000F3D4B">
            <w:pPr>
              <w:pStyle w:val="ListBullet3"/>
            </w:pPr>
            <w:r w:rsidRPr="000F3D4B">
              <w:t>Assessment</w:t>
            </w:r>
          </w:p>
          <w:p w:rsidR="00000000" w:rsidRPr="000F3D4B" w:rsidP="000F3D4B">
            <w:pPr>
              <w:pStyle w:val="ListBullet3"/>
            </w:pPr>
            <w:r w:rsidRPr="000F3D4B">
              <w:t>Authorisation</w:t>
            </w:r>
          </w:p>
          <w:p w:rsidR="00000000" w:rsidRPr="000F3D4B" w:rsidP="000F3D4B">
            <w:pPr>
              <w:pStyle w:val="ListBullet3"/>
            </w:pPr>
            <w:r w:rsidRPr="000F3D4B">
              <w:t>Confined space</w:t>
            </w:r>
          </w:p>
          <w:p w:rsidR="00000000" w:rsidRPr="000F3D4B" w:rsidP="000F3D4B">
            <w:pPr>
              <w:pStyle w:val="ListBullet3"/>
            </w:pPr>
            <w:r w:rsidRPr="000F3D4B">
              <w:t>Diagnostic, testing and restoration</w:t>
            </w:r>
          </w:p>
          <w:p w:rsidR="00000000" w:rsidRPr="000F3D4B" w:rsidP="000F3D4B">
            <w:pPr>
              <w:pStyle w:val="ListBullet3"/>
            </w:pPr>
            <w:r w:rsidRPr="000F3D4B">
              <w:t>Docu</w:t>
            </w:r>
            <w:r w:rsidRPr="000F3D4B">
              <w:t>menting detail work events, record keeping and or storage of information</w:t>
            </w:r>
          </w:p>
          <w:p w:rsidR="00000000" w:rsidRPr="000F3D4B" w:rsidP="000F3D4B">
            <w:pPr>
              <w:pStyle w:val="ListBullet3"/>
            </w:pPr>
            <w:r w:rsidRPr="000F3D4B">
              <w:t>Drawings and specifications</w:t>
            </w:r>
          </w:p>
          <w:p w:rsidR="00000000" w:rsidRPr="000F3D4B" w:rsidP="000F3D4B">
            <w:pPr>
              <w:pStyle w:val="ListBullet3"/>
            </w:pPr>
            <w:r w:rsidRPr="000F3D4B">
              <w:t>Emergency</w:t>
            </w:r>
          </w:p>
          <w:p w:rsidR="00000000" w:rsidRPr="000F3D4B" w:rsidP="000F3D4B">
            <w:pPr>
              <w:pStyle w:val="ListBullet3"/>
            </w:pPr>
            <w:r w:rsidRPr="000F3D4B">
              <w:t>Environmental and sustainable energy procedures</w:t>
            </w:r>
          </w:p>
          <w:p w:rsidR="00000000" w:rsidRPr="000F3D4B" w:rsidP="000F3D4B">
            <w:pPr>
              <w:pStyle w:val="ListBullet3"/>
            </w:pPr>
            <w:r w:rsidRPr="000F3D4B">
              <w:t>Environmental legislation</w:t>
            </w:r>
          </w:p>
          <w:p w:rsidR="00000000" w:rsidRPr="000F3D4B" w:rsidP="000F3D4B">
            <w:pPr>
              <w:pStyle w:val="ListBullet3"/>
            </w:pPr>
            <w:r w:rsidRPr="000F3D4B">
              <w:t>Environmental management documentation</w:t>
            </w:r>
          </w:p>
          <w:p w:rsidR="00000000" w:rsidRPr="000F3D4B" w:rsidP="000F3D4B">
            <w:pPr>
              <w:pStyle w:val="ListBullet3"/>
            </w:pPr>
            <w:r w:rsidRPr="000F3D4B">
              <w:t>Established procedures</w:t>
            </w:r>
          </w:p>
          <w:p w:rsidR="00000000" w:rsidRPr="000F3D4B" w:rsidP="000F3D4B">
            <w:pPr>
              <w:pStyle w:val="ListBullet3"/>
            </w:pPr>
            <w:r w:rsidRPr="000F3D4B">
              <w:t>Fall prev</w:t>
            </w:r>
            <w:r w:rsidRPr="000F3D4B">
              <w:t>ention</w:t>
            </w:r>
          </w:p>
          <w:p w:rsidR="00000000" w:rsidRPr="000F3D4B" w:rsidP="000F3D4B">
            <w:pPr>
              <w:pStyle w:val="ListBullet3"/>
            </w:pPr>
            <w:r w:rsidRPr="000F3D4B">
              <w:t>Hazards</w:t>
            </w:r>
          </w:p>
          <w:p w:rsidR="00000000" w:rsidRPr="000F3D4B" w:rsidP="000F3D4B">
            <w:pPr>
              <w:pStyle w:val="ListBullet3"/>
            </w:pPr>
            <w:r w:rsidRPr="000F3D4B">
              <w:t>Identifying hazards</w:t>
            </w:r>
          </w:p>
          <w:p w:rsidR="00000000" w:rsidRPr="000F3D4B" w:rsidP="000F3D4B">
            <w:pPr>
              <w:pStyle w:val="ListBullet3"/>
            </w:pPr>
            <w:r w:rsidRPr="000F3D4B">
              <w:t>Inspect</w:t>
            </w:r>
          </w:p>
          <w:p w:rsidR="00000000" w:rsidRPr="000F3D4B" w:rsidP="000F3D4B">
            <w:pPr>
              <w:pStyle w:val="ListBullet3"/>
            </w:pPr>
            <w:r w:rsidRPr="000F3D4B">
              <w:t>Legislation</w:t>
            </w:r>
          </w:p>
          <w:p w:rsidR="00000000" w:rsidRPr="000F3D4B" w:rsidP="000F3D4B">
            <w:pPr>
              <w:pStyle w:val="ListBullet3"/>
            </w:pPr>
            <w:r w:rsidRPr="000F3D4B">
              <w:t>MSDS</w:t>
            </w:r>
          </w:p>
          <w:p w:rsidR="00000000" w:rsidRPr="000F3D4B" w:rsidP="000F3D4B">
            <w:pPr>
              <w:pStyle w:val="ListBullet3"/>
            </w:pPr>
            <w:r w:rsidRPr="000F3D4B">
              <w:t>Notification</w:t>
            </w:r>
          </w:p>
          <w:p w:rsidR="00000000" w:rsidRPr="000F3D4B" w:rsidP="000F3D4B">
            <w:pPr>
              <w:pStyle w:val="ListBullet3"/>
            </w:pPr>
            <w:r w:rsidRPr="000F3D4B">
              <w:t>OHS practices</w:t>
            </w:r>
          </w:p>
          <w:p w:rsidR="00000000" w:rsidRPr="000F3D4B" w:rsidP="000F3D4B">
            <w:pPr>
              <w:pStyle w:val="ListBullet3"/>
            </w:pPr>
            <w:r w:rsidRPr="000F3D4B">
              <w:t>OHS issues</w:t>
            </w:r>
          </w:p>
          <w:p w:rsidR="00000000" w:rsidRPr="000F3D4B" w:rsidP="000F3D4B">
            <w:pPr>
              <w:pStyle w:val="ListBullet3"/>
            </w:pPr>
            <w:r w:rsidRPr="000F3D4B">
              <w:t>Permits and/or permits to work</w:t>
            </w:r>
          </w:p>
          <w:p w:rsidR="00000000" w:rsidRPr="000F3D4B" w:rsidP="000F3D4B">
            <w:pPr>
              <w:pStyle w:val="ListBullet3"/>
            </w:pPr>
            <w:r w:rsidRPr="000F3D4B">
              <w:t>Personnel</w:t>
            </w:r>
          </w:p>
          <w:p w:rsidR="00000000" w:rsidRPr="000F3D4B" w:rsidP="000F3D4B">
            <w:pPr>
              <w:pStyle w:val="ListBullet3"/>
            </w:pPr>
            <w:r w:rsidRPr="000F3D4B">
              <w:t>Quality assurance systems</w:t>
            </w:r>
          </w:p>
          <w:p w:rsidR="00000000" w:rsidRPr="000F3D4B" w:rsidP="000F3D4B">
            <w:pPr>
              <w:pStyle w:val="ListBullet3"/>
            </w:pPr>
            <w:r w:rsidRPr="000F3D4B">
              <w:t>Requirements</w:t>
            </w:r>
          </w:p>
          <w:p w:rsidR="00000000" w:rsidRPr="000F3D4B" w:rsidP="000F3D4B">
            <w:pPr>
              <w:pStyle w:val="ListBullet3"/>
            </w:pPr>
            <w:r w:rsidRPr="000F3D4B">
              <w:t>Testing procedures</w:t>
            </w:r>
          </w:p>
          <w:p w:rsidR="00000000" w:rsidRPr="000F3D4B" w:rsidP="000F3D4B">
            <w:pPr>
              <w:pStyle w:val="ListBullet3"/>
            </w:pPr>
            <w:r w:rsidRPr="000F3D4B">
              <w:t>Work clearance systems</w:t>
            </w:r>
          </w:p>
        </w:tc>
      </w:tr>
    </w:tbl>
    <w:p w:rsidR="00000000" w:rsidRPr="000F3D4B" w:rsidP="000F3D4B">
      <w:pPr>
        <w:pStyle w:val="BodyText"/>
      </w:pPr>
    </w:p>
    <w:p w:rsidR="00000000" w:rsidRPr="000F3D4B" w:rsidP="000F3D4B">
      <w:pPr>
        <w:pStyle w:val="AllowPageBreak"/>
      </w:pPr>
    </w:p>
    <w:p w:rsidR="00000000" w:rsidRPr="000F3D4B" w:rsidP="000F3D4B">
      <w:pPr>
        <w:pStyle w:val="Heading1"/>
      </w:pPr>
      <w:bookmarkStart w:id="12" w:name="O_459278"/>
      <w:bookmarkEnd w:id="12"/>
      <w:r w:rsidRPr="000F3D4B">
        <w:t>Unit Sector(s)</w:t>
      </w:r>
    </w:p>
    <w:p w:rsidR="00000000" w:rsidRPr="000F3D4B" w:rsidP="000F3D4B">
      <w:pPr>
        <w:pStyle w:val="BodyText"/>
      </w:pPr>
      <w:r w:rsidRPr="000F3D4B">
        <w:t>Not applicable.</w:t>
      </w:r>
    </w:p>
    <w:p w:rsidR="00000000" w:rsidRPr="000F3D4B" w:rsidP="000F3D4B">
      <w:pPr>
        <w:pStyle w:val="AllowPageBreak"/>
      </w:pPr>
    </w:p>
    <w:p w:rsidR="00000000" w:rsidRPr="000F3D4B" w:rsidP="000F3D4B">
      <w:pPr>
        <w:pStyle w:val="Heading1"/>
      </w:pPr>
      <w:bookmarkStart w:id="13" w:name="O_459267"/>
      <w:bookmarkEnd w:id="13"/>
      <w:r w:rsidRPr="000F3D4B">
        <w:t>Competency Field</w:t>
      </w:r>
    </w:p>
    <w:tbl>
      <w:tblPr>
        <w:tblW w:w="0" w:type="auto"/>
        <w:tblLayout w:type="fixed"/>
        <w:tblCellMar>
          <w:left w:w="62" w:type="dxa"/>
          <w:right w:w="62" w:type="dxa"/>
        </w:tblCellMar>
        <w:tblLook w:val="0000"/>
      </w:tblPr>
      <w:tblGrid>
        <w:gridCol w:w="2700"/>
        <w:gridCol w:w="5760"/>
      </w:tblGrid>
      <w:tr w:rsidTr="00855B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F3D4B">
            <w:pPr>
              <w:pStyle w:val="BodyText"/>
              <w:rPr>
                <w:lang w:val="en-NZ"/>
              </w:rPr>
            </w:pPr>
            <w:r w:rsidRPr="000F3D4B">
              <w:rPr>
                <w:rStyle w:val="SpecialBold"/>
              </w:rPr>
              <w:t xml:space="preserve">11) </w:t>
            </w:r>
          </w:p>
        </w:tc>
      </w:tr>
      <w:tr w:rsidTr="00855B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F3D4B" w:rsidP="000F3D4B">
            <w:pPr>
              <w:pStyle w:val="BodyText"/>
            </w:pPr>
            <w:r w:rsidRPr="000F3D4B">
              <w:t>Substation Units</w:t>
            </w:r>
          </w:p>
        </w:tc>
      </w:tr>
    </w:tbl>
    <w:p w:rsidR="00000000" w:rsidRPr="000F3D4B" w:rsidP="000F3D4B">
      <w:pPr>
        <w:pStyle w:val="BodyText"/>
      </w:pPr>
    </w:p>
    <w:p w:rsidR="00000000" w:rsidRPr="000F3D4B" w:rsidP="000F3D4B"/>
    <w:sectPr w:rsidSect="000F3D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5B01" w:rsidP="00855B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B01" w:rsidP="000F3D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55B01" w:rsidP="000F3D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55B01" w:rsidP="000F3D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5B01" w:rsidP="00855B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B01" w:rsidP="000F3D4B">
    <w:pPr>
      <w:pStyle w:val="Header"/>
      <w:framePr w:wrap="around"/>
    </w:pPr>
    <w:r>
      <w:fldChar w:fldCharType="begin"/>
    </w:r>
    <w:r>
      <w:instrText xml:space="preserve"> TITLE   \* MERGEFORMAT </w:instrText>
    </w:r>
    <w:r>
      <w:fldChar w:fldCharType="separate"/>
    </w:r>
    <w:r>
      <w:t>UETTDRSB26A Install high current DC equipment and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55B01" w:rsidP="000F3D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2AE5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581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644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D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3D4B"/>
    <w:pPr>
      <w:spacing w:before="360" w:after="60"/>
      <w:outlineLvl w:val="0"/>
    </w:pPr>
    <w:rPr>
      <w:sz w:val="32"/>
    </w:rPr>
  </w:style>
  <w:style w:type="paragraph" w:styleId="Heading2">
    <w:name w:val="heading 2"/>
    <w:basedOn w:val="HeadingBase"/>
    <w:next w:val="BodyText"/>
    <w:link w:val="Heading2Char"/>
    <w:qFormat/>
    <w:rsid w:val="000F3D4B"/>
    <w:pPr>
      <w:keepLines/>
      <w:spacing w:before="240" w:after="120"/>
      <w:outlineLvl w:val="1"/>
    </w:pPr>
    <w:rPr>
      <w:sz w:val="28"/>
      <w:szCs w:val="40"/>
    </w:rPr>
  </w:style>
  <w:style w:type="paragraph" w:styleId="Heading3">
    <w:name w:val="heading 3"/>
    <w:basedOn w:val="HeadingBase"/>
    <w:next w:val="BodyText"/>
    <w:link w:val="Heading3Char"/>
    <w:qFormat/>
    <w:rsid w:val="000F3D4B"/>
    <w:pPr>
      <w:spacing w:before="180" w:after="120"/>
      <w:outlineLvl w:val="2"/>
    </w:pPr>
    <w:rPr>
      <w:spacing w:val="-10"/>
      <w:kern w:val="32"/>
    </w:rPr>
  </w:style>
  <w:style w:type="paragraph" w:styleId="Heading4">
    <w:name w:val="heading 4"/>
    <w:basedOn w:val="HeadingBase"/>
    <w:next w:val="BodyText"/>
    <w:link w:val="Heading4Char"/>
    <w:qFormat/>
    <w:rsid w:val="000F3D4B"/>
    <w:pPr>
      <w:spacing w:before="160" w:after="120"/>
      <w:outlineLvl w:val="3"/>
    </w:pPr>
    <w:rPr>
      <w:sz w:val="22"/>
    </w:rPr>
  </w:style>
  <w:style w:type="paragraph" w:styleId="Heading5">
    <w:name w:val="heading 5"/>
    <w:basedOn w:val="HeadingBase"/>
    <w:next w:val="Normal"/>
    <w:link w:val="Heading5Char"/>
    <w:qFormat/>
    <w:rsid w:val="000F3D4B"/>
    <w:pPr>
      <w:spacing w:before="80"/>
      <w:outlineLvl w:val="4"/>
    </w:pPr>
    <w:rPr>
      <w:color w:val="918585"/>
      <w:sz w:val="20"/>
    </w:rPr>
  </w:style>
  <w:style w:type="paragraph" w:styleId="Heading6">
    <w:name w:val="heading 6"/>
    <w:basedOn w:val="HeadingBase"/>
    <w:next w:val="Normal"/>
    <w:link w:val="Heading6Char"/>
    <w:qFormat/>
    <w:rsid w:val="000F3D4B"/>
    <w:pPr>
      <w:spacing w:before="60"/>
      <w:outlineLvl w:val="5"/>
    </w:pPr>
    <w:rPr>
      <w:color w:val="918585"/>
      <w:sz w:val="20"/>
    </w:rPr>
  </w:style>
  <w:style w:type="paragraph" w:styleId="Heading7">
    <w:name w:val="heading 7"/>
    <w:basedOn w:val="Normal"/>
    <w:next w:val="Normal"/>
    <w:link w:val="Heading7Char"/>
    <w:qFormat/>
    <w:rsid w:val="000F3D4B"/>
    <w:pPr>
      <w:ind w:left="720"/>
      <w:outlineLvl w:val="6"/>
    </w:pPr>
    <w:rPr>
      <w:i/>
    </w:rPr>
  </w:style>
  <w:style w:type="paragraph" w:styleId="Heading8">
    <w:name w:val="heading 8"/>
    <w:basedOn w:val="Normal"/>
    <w:next w:val="Normal"/>
    <w:link w:val="Heading8Char"/>
    <w:qFormat/>
    <w:rsid w:val="000F3D4B"/>
    <w:pPr>
      <w:ind w:left="720"/>
      <w:outlineLvl w:val="7"/>
    </w:pPr>
    <w:rPr>
      <w:i/>
    </w:rPr>
  </w:style>
  <w:style w:type="paragraph" w:styleId="Heading9">
    <w:name w:val="heading 9"/>
    <w:basedOn w:val="Normal"/>
    <w:next w:val="Normal"/>
    <w:link w:val="Heading9Char"/>
    <w:qFormat/>
    <w:rsid w:val="000F3D4B"/>
    <w:pPr>
      <w:ind w:left="720"/>
      <w:outlineLvl w:val="8"/>
    </w:pPr>
    <w:rPr>
      <w:i/>
    </w:rPr>
  </w:style>
  <w:style w:type="character" w:default="1" w:styleId="DefaultParagraphFont">
    <w:name w:val="Default Paragraph Font"/>
    <w:uiPriority w:val="1"/>
    <w:unhideWhenUsed/>
    <w:rsid w:val="000F3D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D4B"/>
  </w:style>
  <w:style w:type="character" w:customStyle="1" w:styleId="Heading1Char">
    <w:name w:val="Heading 1 Char"/>
    <w:basedOn w:val="DefaultParagraphFont"/>
    <w:link w:val="Heading1"/>
    <w:rsid w:val="000F3D4B"/>
    <w:rPr>
      <w:rFonts w:ascii="Times New Roman" w:eastAsia="Times New Roman" w:hAnsi="Times New Roman" w:cs="Times New Roman"/>
      <w:b/>
      <w:sz w:val="32"/>
      <w:szCs w:val="20"/>
      <w:lang w:eastAsia="en-US"/>
    </w:rPr>
  </w:style>
  <w:style w:type="paragraph" w:styleId="BodyText">
    <w:name w:val="Body Text"/>
    <w:basedOn w:val="Normal"/>
    <w:link w:val="BodyTextChar"/>
    <w:rsid w:val="000F3D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3D4B"/>
    <w:rPr>
      <w:rFonts w:ascii="Times New Roman" w:eastAsia="Times New Roman" w:hAnsi="Times New Roman" w:cs="Times New Roman"/>
      <w:sz w:val="24"/>
      <w:lang w:val="en-US" w:eastAsia="en-US"/>
    </w:rPr>
  </w:style>
  <w:style w:type="paragraph" w:styleId="Footer">
    <w:name w:val="footer"/>
    <w:basedOn w:val="Normal"/>
    <w:link w:val="FooterChar"/>
    <w:rsid w:val="000F3D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D4B"/>
    <w:rPr>
      <w:rFonts w:ascii="Times New Roman" w:eastAsia="Times New Roman" w:hAnsi="Times New Roman" w:cs="Times New Roman"/>
      <w:sz w:val="16"/>
      <w:lang w:val="en-US" w:eastAsia="en-US"/>
    </w:rPr>
  </w:style>
  <w:style w:type="paragraph" w:styleId="ListBullet">
    <w:name w:val="List Bullet"/>
    <w:basedOn w:val="List"/>
    <w:rsid w:val="000F3D4B"/>
    <w:pPr>
      <w:numPr>
        <w:numId w:val="14"/>
      </w:numPr>
      <w:tabs>
        <w:tab w:val="clear" w:pos="340"/>
      </w:tabs>
      <w:spacing w:before="40" w:after="40"/>
    </w:pPr>
  </w:style>
  <w:style w:type="character" w:customStyle="1" w:styleId="SpecialBold">
    <w:name w:val="Special Bold"/>
    <w:basedOn w:val="DefaultParagraphFont"/>
    <w:rsid w:val="000F3D4B"/>
    <w:rPr>
      <w:b/>
      <w:spacing w:val="0"/>
    </w:rPr>
  </w:style>
  <w:style w:type="paragraph" w:styleId="ListBullet2">
    <w:name w:val="List Bullet 2"/>
    <w:basedOn w:val="List2"/>
    <w:rsid w:val="000F3D4B"/>
    <w:pPr>
      <w:numPr>
        <w:numId w:val="15"/>
      </w:numPr>
      <w:tabs>
        <w:tab w:val="clear" w:pos="680"/>
      </w:tabs>
    </w:pPr>
  </w:style>
  <w:style w:type="paragraph" w:styleId="Header">
    <w:name w:val="header"/>
    <w:basedOn w:val="Normal"/>
    <w:link w:val="HeaderChar"/>
    <w:rsid w:val="000F3D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D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3D4B"/>
    <w:pPr>
      <w:spacing w:before="240" w:after="120"/>
      <w:outlineLvl w:val="0"/>
    </w:pPr>
    <w:rPr>
      <w:rFonts w:ascii="Times New Roman" w:hAnsi="Times New Roman"/>
      <w:b/>
      <w:sz w:val="28"/>
    </w:rPr>
  </w:style>
  <w:style w:type="paragraph" w:customStyle="1" w:styleId="AllowPageBreak">
    <w:name w:val="AllowPageBreak"/>
    <w:rsid w:val="000F3D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3D4B"/>
    <w:pPr>
      <w:numPr>
        <w:numId w:val="3"/>
      </w:numPr>
      <w:tabs>
        <w:tab w:val="clear" w:pos="1021"/>
      </w:tabs>
      <w:ind w:left="1037" w:hanging="357"/>
    </w:pPr>
  </w:style>
  <w:style w:type="character" w:customStyle="1" w:styleId="Heading2Char">
    <w:name w:val="Heading 2 Char"/>
    <w:basedOn w:val="DefaultParagraphFont"/>
    <w:link w:val="Heading2"/>
    <w:rsid w:val="000F3D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D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D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D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D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D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3D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3D4B"/>
    <w:rPr>
      <w:rFonts w:ascii="Courier New" w:eastAsia="Times New Roman" w:hAnsi="Courier New" w:cs="Times New Roman"/>
      <w:i/>
      <w:szCs w:val="20"/>
      <w:lang w:val="en-US" w:eastAsia="en-US"/>
    </w:rPr>
  </w:style>
  <w:style w:type="paragraph" w:customStyle="1" w:styleId="HeadingBase">
    <w:name w:val="Heading Base"/>
    <w:rsid w:val="000F3D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D4B"/>
    <w:pPr>
      <w:tabs>
        <w:tab w:val="right" w:leader="dot" w:pos="9072"/>
      </w:tabs>
      <w:ind w:left="567"/>
    </w:pPr>
    <w:rPr>
      <w:szCs w:val="22"/>
    </w:rPr>
  </w:style>
  <w:style w:type="paragraph" w:customStyle="1" w:styleId="TOCBase">
    <w:name w:val="TOC Base"/>
    <w:rsid w:val="000F3D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D4B"/>
    <w:pPr>
      <w:tabs>
        <w:tab w:val="right" w:leader="dot" w:pos="9072"/>
      </w:tabs>
      <w:spacing w:before="40" w:after="40"/>
      <w:ind w:left="284"/>
    </w:pPr>
    <w:rPr>
      <w:rFonts w:ascii="Times New Roman" w:hAnsi="Times New Roman"/>
    </w:rPr>
  </w:style>
  <w:style w:type="paragraph" w:styleId="TOC1">
    <w:name w:val="toc 1"/>
    <w:basedOn w:val="TOCBase"/>
    <w:next w:val="Normal"/>
    <w:rsid w:val="000F3D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3D4B"/>
    <w:pPr>
      <w:spacing w:before="5040"/>
      <w:jc w:val="center"/>
    </w:pPr>
    <w:rPr>
      <w:sz w:val="48"/>
      <w:szCs w:val="72"/>
      <w:lang w:val="en-US"/>
    </w:rPr>
  </w:style>
  <w:style w:type="character" w:customStyle="1" w:styleId="TitleChar">
    <w:name w:val="Title Char"/>
    <w:basedOn w:val="DefaultParagraphFont"/>
    <w:link w:val="Title"/>
    <w:rsid w:val="000F3D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D4B"/>
    <w:pPr>
      <w:tabs>
        <w:tab w:val="left" w:pos="3600"/>
        <w:tab w:val="left" w:pos="3958"/>
      </w:tabs>
    </w:pPr>
  </w:style>
  <w:style w:type="paragraph" w:styleId="List">
    <w:name w:val="List"/>
    <w:basedOn w:val="BodyText"/>
    <w:next w:val="BodyText"/>
    <w:rsid w:val="000F3D4B"/>
    <w:pPr>
      <w:tabs>
        <w:tab w:val="left" w:pos="340"/>
      </w:tabs>
      <w:spacing w:before="60" w:after="60"/>
      <w:ind w:left="340" w:hanging="340"/>
    </w:pPr>
  </w:style>
  <w:style w:type="paragraph" w:customStyle="1" w:styleId="Note">
    <w:name w:val="Note"/>
    <w:basedOn w:val="BodyText"/>
    <w:rsid w:val="000F3D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D4B"/>
    <w:pPr>
      <w:framePr w:wrap="auto" w:hAnchor="text" w:y="6049"/>
    </w:pPr>
    <w:rPr>
      <w:color w:val="000000"/>
      <w:sz w:val="40"/>
    </w:rPr>
  </w:style>
  <w:style w:type="paragraph" w:customStyle="1" w:styleId="TOCTitle">
    <w:name w:val="TOCTitle"/>
    <w:basedOn w:val="Heading1"/>
    <w:rsid w:val="000F3D4B"/>
    <w:pPr>
      <w:spacing w:after="240"/>
      <w:jc w:val="center"/>
      <w:outlineLvl w:val="9"/>
    </w:pPr>
    <w:rPr>
      <w:caps/>
    </w:rPr>
  </w:style>
  <w:style w:type="paragraph" w:customStyle="1" w:styleId="Version">
    <w:name w:val="Version"/>
    <w:rsid w:val="000F3D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D4B"/>
    <w:pPr>
      <w:keepNext w:val="0"/>
      <w:tabs>
        <w:tab w:val="right" w:pos="4176"/>
      </w:tabs>
      <w:ind w:left="198" w:hanging="198"/>
    </w:pPr>
    <w:rPr>
      <w:rFonts w:ascii="Garamond" w:hAnsi="Garamond"/>
    </w:rPr>
  </w:style>
  <w:style w:type="paragraph" w:styleId="IndexHeading">
    <w:name w:val="index heading"/>
    <w:basedOn w:val="Normal"/>
    <w:next w:val="Index1"/>
    <w:semiHidden/>
    <w:rsid w:val="000F3D4B"/>
    <w:pPr>
      <w:spacing w:before="120" w:after="120"/>
    </w:pPr>
    <w:rPr>
      <w:rFonts w:ascii="Arial" w:hAnsi="Arial"/>
      <w:b/>
      <w:color w:val="918585"/>
      <w:sz w:val="24"/>
    </w:rPr>
  </w:style>
  <w:style w:type="paragraph" w:customStyle="1" w:styleId="Chapter">
    <w:name w:val="Chapter"/>
    <w:basedOn w:val="Normal"/>
    <w:rsid w:val="000F3D4B"/>
    <w:pPr>
      <w:spacing w:before="240"/>
    </w:pPr>
    <w:rPr>
      <w:rFonts w:ascii="Times New Roman" w:hAnsi="Times New Roman"/>
      <w:smallCaps/>
      <w:spacing w:val="80"/>
      <w:sz w:val="28"/>
    </w:rPr>
  </w:style>
  <w:style w:type="paragraph" w:customStyle="1" w:styleId="InChapter">
    <w:name w:val="InChapter"/>
    <w:basedOn w:val="Heading3"/>
    <w:rsid w:val="000F3D4B"/>
    <w:pPr>
      <w:spacing w:after="240"/>
      <w:outlineLvl w:val="9"/>
    </w:pPr>
    <w:rPr>
      <w:noProof/>
    </w:rPr>
  </w:style>
  <w:style w:type="paragraph" w:styleId="Index2">
    <w:name w:val="index 2"/>
    <w:basedOn w:val="Normal"/>
    <w:next w:val="Normal"/>
    <w:semiHidden/>
    <w:rsid w:val="000F3D4B"/>
    <w:pPr>
      <w:tabs>
        <w:tab w:val="right" w:pos="4176"/>
      </w:tabs>
      <w:ind w:left="568" w:hanging="284"/>
    </w:pPr>
    <w:rPr>
      <w:rFonts w:ascii="Garamond" w:hAnsi="Garamond"/>
    </w:rPr>
  </w:style>
  <w:style w:type="paragraph" w:customStyle="1" w:styleId="Byline">
    <w:name w:val="Byline"/>
    <w:rsid w:val="000F3D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D4B"/>
    <w:pPr>
      <w:tabs>
        <w:tab w:val="clear" w:pos="3600"/>
        <w:tab w:val="clear" w:pos="3958"/>
      </w:tabs>
      <w:jc w:val="right"/>
    </w:pPr>
  </w:style>
  <w:style w:type="character" w:styleId="Emphasis">
    <w:name w:val="Emphasis"/>
    <w:basedOn w:val="DefaultParagraphFont"/>
    <w:qFormat/>
    <w:rsid w:val="000F3D4B"/>
    <w:rPr>
      <w:i/>
    </w:rPr>
  </w:style>
  <w:style w:type="paragraph" w:styleId="Caption">
    <w:name w:val="caption"/>
    <w:basedOn w:val="BodyText"/>
    <w:next w:val="Normal"/>
    <w:qFormat/>
    <w:rsid w:val="000F3D4B"/>
    <w:pPr>
      <w:framePr w:w="2268" w:hSpace="181" w:vSpace="181" w:wrap="around" w:vAnchor="text" w:hAnchor="page" w:x="1135" w:y="285" w:anchorLock="1"/>
    </w:pPr>
    <w:rPr>
      <w:i/>
    </w:rPr>
  </w:style>
  <w:style w:type="paragraph" w:customStyle="1" w:styleId="MiniTOCTitle">
    <w:name w:val="MiniTOCTitle"/>
    <w:basedOn w:val="Heading4"/>
    <w:rsid w:val="000F3D4B"/>
    <w:pPr>
      <w:spacing w:before="240"/>
      <w:outlineLvl w:val="9"/>
    </w:pPr>
    <w:rPr>
      <w:noProof/>
      <w:sz w:val="24"/>
    </w:rPr>
  </w:style>
  <w:style w:type="paragraph" w:customStyle="1" w:styleId="MiniTOCItem">
    <w:name w:val="MiniTOCItem"/>
    <w:basedOn w:val="ListBullet"/>
    <w:rsid w:val="000F3D4B"/>
    <w:pPr>
      <w:numPr>
        <w:numId w:val="0"/>
      </w:numPr>
      <w:tabs>
        <w:tab w:val="right" w:leader="dot" w:pos="6521"/>
      </w:tabs>
      <w:spacing w:before="0" w:after="0"/>
    </w:pPr>
  </w:style>
  <w:style w:type="paragraph" w:customStyle="1" w:styleId="TOFTitle">
    <w:name w:val="TOFTitle"/>
    <w:basedOn w:val="TOCTitle"/>
    <w:rsid w:val="000F3D4B"/>
  </w:style>
  <w:style w:type="paragraph" w:styleId="TableofFigures">
    <w:name w:val="table of figures"/>
    <w:basedOn w:val="Normal"/>
    <w:next w:val="Normal"/>
    <w:semiHidden/>
    <w:rsid w:val="000F3D4B"/>
    <w:pPr>
      <w:tabs>
        <w:tab w:val="right" w:leader="dot" w:pos="9072"/>
      </w:tabs>
      <w:ind w:left="970" w:hanging="403"/>
    </w:pPr>
    <w:rPr>
      <w:rFonts w:ascii="Times New Roman" w:hAnsi="Times New Roman"/>
      <w:b/>
    </w:rPr>
  </w:style>
  <w:style w:type="paragraph" w:styleId="ListNumber">
    <w:name w:val="List Number"/>
    <w:basedOn w:val="List"/>
    <w:rsid w:val="000F3D4B"/>
    <w:pPr>
      <w:numPr>
        <w:numId w:val="12"/>
      </w:numPr>
    </w:pPr>
  </w:style>
  <w:style w:type="character" w:customStyle="1" w:styleId="WingdingSymbols">
    <w:name w:val="Wingding Symbols"/>
    <w:rsid w:val="000F3D4B"/>
    <w:rPr>
      <w:rFonts w:ascii="Wingdings" w:hAnsi="Wingdings"/>
    </w:rPr>
  </w:style>
  <w:style w:type="paragraph" w:customStyle="1" w:styleId="TableHeading">
    <w:name w:val="Table Heading"/>
    <w:basedOn w:val="HeadingBase"/>
    <w:rsid w:val="000F3D4B"/>
    <w:pPr>
      <w:keepLines/>
      <w:pBdr>
        <w:bottom w:val="single" w:sz="6" w:space="1" w:color="918585"/>
      </w:pBdr>
      <w:spacing w:before="240"/>
    </w:pPr>
  </w:style>
  <w:style w:type="character" w:customStyle="1" w:styleId="HotSpot">
    <w:name w:val="HotSpot"/>
    <w:rsid w:val="000F3D4B"/>
    <w:rPr>
      <w:color w:val="0033CC"/>
      <w:u w:val="none"/>
    </w:rPr>
  </w:style>
  <w:style w:type="paragraph" w:customStyle="1" w:styleId="BodyTextRight">
    <w:name w:val="Body Text Right"/>
    <w:basedOn w:val="BodyText"/>
    <w:rsid w:val="000F3D4B"/>
    <w:pPr>
      <w:spacing w:before="0" w:after="0"/>
      <w:jc w:val="right"/>
    </w:pPr>
  </w:style>
  <w:style w:type="paragraph" w:styleId="Index3">
    <w:name w:val="index 3"/>
    <w:basedOn w:val="ListNumber2"/>
    <w:next w:val="Normal"/>
    <w:semiHidden/>
    <w:rsid w:val="000F3D4B"/>
    <w:pPr>
      <w:numPr>
        <w:numId w:val="0"/>
      </w:numPr>
      <w:tabs>
        <w:tab w:val="right" w:leader="dot" w:pos="4176"/>
      </w:tabs>
    </w:pPr>
  </w:style>
  <w:style w:type="paragraph" w:styleId="ListNumber2">
    <w:name w:val="List Number 2"/>
    <w:basedOn w:val="List2"/>
    <w:rsid w:val="000F3D4B"/>
    <w:pPr>
      <w:numPr>
        <w:numId w:val="11"/>
      </w:numPr>
      <w:tabs>
        <w:tab w:val="clear" w:pos="1060"/>
      </w:tabs>
    </w:pPr>
  </w:style>
  <w:style w:type="paragraph" w:customStyle="1" w:styleId="MarginNote">
    <w:name w:val="Margin Note"/>
    <w:basedOn w:val="BodyText"/>
    <w:rsid w:val="000F3D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D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D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3D4B"/>
    <w:rPr>
      <w:sz w:val="32"/>
    </w:rPr>
  </w:style>
  <w:style w:type="paragraph" w:customStyle="1" w:styleId="HeadingProcedure">
    <w:name w:val="Heading Procedure"/>
    <w:basedOn w:val="HeadingBase"/>
    <w:next w:val="Normal"/>
    <w:rsid w:val="000F3D4B"/>
    <w:pPr>
      <w:tabs>
        <w:tab w:val="left" w:pos="0"/>
      </w:tabs>
      <w:spacing w:before="120" w:after="60"/>
    </w:pPr>
    <w:rPr>
      <w:i/>
      <w:color w:val="918585"/>
      <w:sz w:val="22"/>
    </w:rPr>
  </w:style>
  <w:style w:type="paragraph" w:customStyle="1" w:styleId="TableBodyText">
    <w:name w:val="Table Body Text"/>
    <w:basedOn w:val="BodyText"/>
    <w:rsid w:val="000F3D4B"/>
    <w:pPr>
      <w:spacing w:before="60" w:after="60"/>
    </w:pPr>
  </w:style>
  <w:style w:type="paragraph" w:styleId="ListContinue">
    <w:name w:val="List Continue"/>
    <w:basedOn w:val="List"/>
    <w:rsid w:val="000F3D4B"/>
    <w:pPr>
      <w:ind w:firstLine="0"/>
    </w:pPr>
  </w:style>
  <w:style w:type="paragraph" w:customStyle="1" w:styleId="ListNote">
    <w:name w:val="List Note"/>
    <w:basedOn w:val="List"/>
    <w:rsid w:val="000F3D4B"/>
    <w:pPr>
      <w:pBdr>
        <w:top w:val="single" w:sz="6" w:space="2" w:color="918585"/>
        <w:bottom w:val="single" w:sz="6" w:space="2" w:color="918585"/>
      </w:pBdr>
      <w:tabs>
        <w:tab w:val="left" w:pos="1021"/>
      </w:tabs>
      <w:ind w:firstLine="0"/>
    </w:pPr>
  </w:style>
  <w:style w:type="paragraph" w:customStyle="1" w:styleId="Warning">
    <w:name w:val="Warning"/>
    <w:basedOn w:val="BodyText"/>
    <w:rsid w:val="000F3D4B"/>
    <w:pPr>
      <w:shd w:val="clear" w:color="auto" w:fill="D9D9D9"/>
      <w:tabs>
        <w:tab w:val="left" w:pos="992"/>
      </w:tabs>
      <w:ind w:left="119" w:right="119"/>
    </w:pPr>
    <w:rPr>
      <w:sz w:val="20"/>
    </w:rPr>
  </w:style>
  <w:style w:type="paragraph" w:customStyle="1" w:styleId="MarginIcons">
    <w:name w:val="Margin Icons"/>
    <w:basedOn w:val="BodyText"/>
    <w:rsid w:val="000F3D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D4B"/>
    <w:rPr>
      <w:rFonts w:ascii="Courier New" w:hAnsi="Courier New"/>
    </w:rPr>
  </w:style>
  <w:style w:type="paragraph" w:customStyle="1" w:styleId="NoteBullet">
    <w:name w:val="Note Bullet"/>
    <w:basedOn w:val="Note"/>
    <w:rsid w:val="000F3D4B"/>
    <w:pPr>
      <w:tabs>
        <w:tab w:val="clear" w:pos="680"/>
      </w:tabs>
      <w:spacing w:before="60" w:after="60"/>
    </w:pPr>
  </w:style>
  <w:style w:type="paragraph" w:customStyle="1" w:styleId="SubHeading2">
    <w:name w:val="SubHeading2"/>
    <w:basedOn w:val="HeadingBase"/>
    <w:rsid w:val="000F3D4B"/>
    <w:pPr>
      <w:spacing w:before="240" w:after="60"/>
    </w:pPr>
    <w:rPr>
      <w:sz w:val="20"/>
    </w:rPr>
  </w:style>
  <w:style w:type="paragraph" w:customStyle="1" w:styleId="SubHeading1">
    <w:name w:val="SubHeading1"/>
    <w:basedOn w:val="HeadingBase"/>
    <w:rsid w:val="000F3D4B"/>
    <w:pPr>
      <w:spacing w:before="240" w:after="60"/>
    </w:pPr>
    <w:rPr>
      <w:color w:val="918585"/>
      <w:sz w:val="22"/>
    </w:rPr>
  </w:style>
  <w:style w:type="paragraph" w:customStyle="1" w:styleId="SideHeading">
    <w:name w:val="Side Heading"/>
    <w:basedOn w:val="HeadingBase"/>
    <w:rsid w:val="000F3D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D4B"/>
    <w:pPr>
      <w:numPr>
        <w:numId w:val="13"/>
      </w:numPr>
    </w:pPr>
  </w:style>
  <w:style w:type="paragraph" w:styleId="PlainText">
    <w:name w:val="Plain Text"/>
    <w:basedOn w:val="Normal"/>
    <w:link w:val="PlainTextChar"/>
    <w:rsid w:val="000F3D4B"/>
    <w:rPr>
      <w:sz w:val="20"/>
    </w:rPr>
  </w:style>
  <w:style w:type="character" w:customStyle="1" w:styleId="PlainTextChar">
    <w:name w:val="Plain Text Char"/>
    <w:basedOn w:val="DefaultParagraphFont"/>
    <w:link w:val="PlainText"/>
    <w:rsid w:val="000F3D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3D4B"/>
    <w:rPr>
      <w:b/>
      <w:smallCaps/>
    </w:rPr>
  </w:style>
  <w:style w:type="paragraph" w:customStyle="1" w:styleId="TableListNumber">
    <w:name w:val="Table List Number"/>
    <w:basedOn w:val="ListNumber"/>
    <w:rsid w:val="000F3D4B"/>
    <w:pPr>
      <w:numPr>
        <w:numId w:val="0"/>
      </w:numPr>
    </w:pPr>
  </w:style>
  <w:style w:type="paragraph" w:styleId="TOC4">
    <w:name w:val="toc 4"/>
    <w:basedOn w:val="TOCBase"/>
    <w:next w:val="Normal"/>
    <w:semiHidden/>
    <w:rsid w:val="000F3D4B"/>
    <w:pPr>
      <w:tabs>
        <w:tab w:val="right" w:leader="dot" w:pos="9071"/>
      </w:tabs>
      <w:ind w:left="1701"/>
    </w:pPr>
  </w:style>
  <w:style w:type="paragraph" w:customStyle="1" w:styleId="ListAlpha">
    <w:name w:val="List Alpha"/>
    <w:basedOn w:val="List"/>
    <w:rsid w:val="000F3D4B"/>
    <w:pPr>
      <w:numPr>
        <w:numId w:val="10"/>
      </w:numPr>
    </w:pPr>
  </w:style>
  <w:style w:type="paragraph" w:customStyle="1" w:styleId="ListAlpha2">
    <w:name w:val="List Alpha 2"/>
    <w:basedOn w:val="List2"/>
    <w:rsid w:val="000F3D4B"/>
    <w:pPr>
      <w:numPr>
        <w:numId w:val="9"/>
      </w:numPr>
    </w:pPr>
  </w:style>
  <w:style w:type="paragraph" w:styleId="List2">
    <w:name w:val="List 2"/>
    <w:basedOn w:val="BodyText"/>
    <w:rsid w:val="000F3D4B"/>
    <w:pPr>
      <w:tabs>
        <w:tab w:val="left" w:pos="680"/>
      </w:tabs>
      <w:spacing w:before="60" w:after="60"/>
      <w:ind w:left="680" w:hanging="340"/>
    </w:pPr>
  </w:style>
  <w:style w:type="paragraph" w:styleId="List3">
    <w:name w:val="List 3"/>
    <w:basedOn w:val="BodyText"/>
    <w:rsid w:val="000F3D4B"/>
    <w:pPr>
      <w:tabs>
        <w:tab w:val="left" w:pos="1021"/>
      </w:tabs>
      <w:spacing w:before="60" w:after="60"/>
      <w:ind w:left="1020" w:hanging="340"/>
    </w:pPr>
  </w:style>
  <w:style w:type="paragraph" w:styleId="List4">
    <w:name w:val="List 4"/>
    <w:basedOn w:val="BodyText"/>
    <w:rsid w:val="000F3D4B"/>
    <w:pPr>
      <w:tabs>
        <w:tab w:val="left" w:pos="1361"/>
      </w:tabs>
      <w:spacing w:before="60" w:after="60"/>
      <w:ind w:left="1361" w:hanging="340"/>
    </w:pPr>
  </w:style>
  <w:style w:type="paragraph" w:styleId="List5">
    <w:name w:val="List 5"/>
    <w:basedOn w:val="BodyText"/>
    <w:rsid w:val="000F3D4B"/>
    <w:pPr>
      <w:tabs>
        <w:tab w:val="left" w:pos="1701"/>
      </w:tabs>
      <w:spacing w:before="60" w:after="60"/>
      <w:ind w:left="1701" w:hanging="340"/>
    </w:pPr>
  </w:style>
  <w:style w:type="paragraph" w:styleId="ListBullet4">
    <w:name w:val="List Bullet 4"/>
    <w:basedOn w:val="List4"/>
    <w:rsid w:val="000F3D4B"/>
    <w:pPr>
      <w:numPr>
        <w:numId w:val="4"/>
      </w:numPr>
    </w:pPr>
  </w:style>
  <w:style w:type="paragraph" w:styleId="ListBullet5">
    <w:name w:val="List Bullet 5"/>
    <w:basedOn w:val="List5"/>
    <w:rsid w:val="000F3D4B"/>
    <w:pPr>
      <w:numPr>
        <w:numId w:val="5"/>
      </w:numPr>
    </w:pPr>
  </w:style>
  <w:style w:type="paragraph" w:styleId="ListContinue2">
    <w:name w:val="List Continue 2"/>
    <w:basedOn w:val="List2"/>
    <w:rsid w:val="000F3D4B"/>
    <w:pPr>
      <w:ind w:firstLine="0"/>
    </w:pPr>
  </w:style>
  <w:style w:type="paragraph" w:styleId="ListContinue3">
    <w:name w:val="List Continue 3"/>
    <w:basedOn w:val="List3"/>
    <w:rsid w:val="000F3D4B"/>
    <w:pPr>
      <w:ind w:left="1021" w:firstLine="0"/>
    </w:pPr>
  </w:style>
  <w:style w:type="paragraph" w:styleId="ListContinue4">
    <w:name w:val="List Continue 4"/>
    <w:basedOn w:val="List4"/>
    <w:rsid w:val="000F3D4B"/>
    <w:pPr>
      <w:ind w:firstLine="0"/>
    </w:pPr>
  </w:style>
  <w:style w:type="paragraph" w:styleId="ListContinue5">
    <w:name w:val="List Continue 5"/>
    <w:basedOn w:val="List5"/>
    <w:rsid w:val="000F3D4B"/>
    <w:pPr>
      <w:ind w:firstLine="0"/>
    </w:pPr>
  </w:style>
  <w:style w:type="paragraph" w:styleId="ListNumber3">
    <w:name w:val="List Number 3"/>
    <w:basedOn w:val="List3"/>
    <w:rsid w:val="000F3D4B"/>
    <w:pPr>
      <w:numPr>
        <w:numId w:val="6"/>
      </w:numPr>
    </w:pPr>
  </w:style>
  <w:style w:type="paragraph" w:styleId="ListNumber4">
    <w:name w:val="List Number 4"/>
    <w:basedOn w:val="List4"/>
    <w:rsid w:val="000F3D4B"/>
    <w:pPr>
      <w:numPr>
        <w:numId w:val="7"/>
      </w:numPr>
    </w:pPr>
  </w:style>
  <w:style w:type="paragraph" w:styleId="ListNumber5">
    <w:name w:val="List Number 5"/>
    <w:basedOn w:val="List5"/>
    <w:rsid w:val="000F3D4B"/>
    <w:pPr>
      <w:numPr>
        <w:numId w:val="8"/>
      </w:numPr>
    </w:pPr>
  </w:style>
  <w:style w:type="paragraph" w:styleId="BlockText">
    <w:name w:val="Block Text"/>
    <w:basedOn w:val="Normal"/>
    <w:rsid w:val="000F3D4B"/>
    <w:pPr>
      <w:spacing w:after="120"/>
      <w:ind w:left="1440" w:right="1440"/>
    </w:pPr>
  </w:style>
  <w:style w:type="character" w:customStyle="1" w:styleId="Subscript">
    <w:name w:val="Subscript"/>
    <w:basedOn w:val="DefaultParagraphFont"/>
    <w:rsid w:val="000F3D4B"/>
    <w:rPr>
      <w:sz w:val="16"/>
      <w:vertAlign w:val="subscript"/>
    </w:rPr>
  </w:style>
  <w:style w:type="character" w:customStyle="1" w:styleId="Superscript">
    <w:name w:val="Superscript"/>
    <w:basedOn w:val="DefaultParagraphFont"/>
    <w:rsid w:val="000F3D4B"/>
    <w:rPr>
      <w:sz w:val="16"/>
      <w:vertAlign w:val="superscript"/>
    </w:rPr>
  </w:style>
  <w:style w:type="character" w:customStyle="1" w:styleId="Symbols">
    <w:name w:val="Symbols"/>
    <w:basedOn w:val="DefaultParagraphFont"/>
    <w:rsid w:val="000F3D4B"/>
    <w:rPr>
      <w:rFonts w:ascii="Symbol" w:hAnsi="Symbol"/>
    </w:rPr>
  </w:style>
  <w:style w:type="character" w:customStyle="1" w:styleId="MenuOptions">
    <w:name w:val="Menu Options"/>
    <w:basedOn w:val="DefaultParagraphFont"/>
    <w:rsid w:val="000F3D4B"/>
    <w:rPr>
      <w:rFonts w:ascii="Arial Narrow" w:hAnsi="Arial Narrow"/>
      <w:smallCaps/>
    </w:rPr>
  </w:style>
  <w:style w:type="character" w:customStyle="1" w:styleId="Buttons">
    <w:name w:val="Buttons"/>
    <w:basedOn w:val="DefaultParagraphFont"/>
    <w:rsid w:val="000F3D4B"/>
    <w:rPr>
      <w:b/>
    </w:rPr>
  </w:style>
  <w:style w:type="character" w:customStyle="1" w:styleId="Underlined">
    <w:name w:val="Underlined"/>
    <w:basedOn w:val="DefaultParagraphFont"/>
    <w:rsid w:val="000F3D4B"/>
    <w:rPr>
      <w:u w:val="single"/>
    </w:rPr>
  </w:style>
  <w:style w:type="paragraph" w:customStyle="1" w:styleId="TableBodyTextRight">
    <w:name w:val="Table Body Text Right"/>
    <w:basedOn w:val="TableBodyText"/>
    <w:rsid w:val="000F3D4B"/>
    <w:pPr>
      <w:widowControl w:val="0"/>
      <w:autoSpaceDE w:val="0"/>
      <w:autoSpaceDN w:val="0"/>
      <w:adjustRightInd w:val="0"/>
      <w:jc w:val="right"/>
    </w:pPr>
    <w:rPr>
      <w:rFonts w:cs="Arial"/>
      <w:szCs w:val="18"/>
    </w:rPr>
  </w:style>
  <w:style w:type="paragraph" w:customStyle="1" w:styleId="CopyrightText">
    <w:name w:val="Copyright Text"/>
    <w:basedOn w:val="BodyText"/>
    <w:rsid w:val="000F3D4B"/>
    <w:rPr>
      <w:sz w:val="18"/>
    </w:rPr>
  </w:style>
  <w:style w:type="paragraph" w:customStyle="1" w:styleId="BodySmallRight">
    <w:name w:val="Body Small Right"/>
    <w:basedOn w:val="BodyTextRight"/>
    <w:rsid w:val="000F3D4B"/>
    <w:rPr>
      <w:sz w:val="18"/>
      <w:szCs w:val="18"/>
    </w:rPr>
  </w:style>
  <w:style w:type="paragraph" w:customStyle="1" w:styleId="MarginEdition">
    <w:name w:val="Margin Edition"/>
    <w:basedOn w:val="MarginNote"/>
    <w:rsid w:val="000F3D4B"/>
    <w:pPr>
      <w:spacing w:before="0" w:after="0"/>
    </w:pPr>
    <w:rPr>
      <w:rFonts w:ascii="Times New Roman" w:hAnsi="Times New Roman"/>
      <w:color w:val="999999"/>
    </w:rPr>
  </w:style>
  <w:style w:type="paragraph" w:customStyle="1" w:styleId="Spacer">
    <w:name w:val="Spacer"/>
    <w:basedOn w:val="Normal"/>
    <w:rsid w:val="000F3D4B"/>
    <w:rPr>
      <w:sz w:val="2"/>
      <w:szCs w:val="2"/>
    </w:rPr>
  </w:style>
  <w:style w:type="character" w:customStyle="1" w:styleId="Small">
    <w:name w:val="Small"/>
    <w:basedOn w:val="DefaultParagraphFont"/>
    <w:rsid w:val="000F3D4B"/>
    <w:rPr>
      <w:sz w:val="16"/>
    </w:rPr>
  </w:style>
  <w:style w:type="paragraph" w:customStyle="1" w:styleId="WideTable">
    <w:name w:val="Wide Table"/>
    <w:basedOn w:val="Normal"/>
    <w:rsid w:val="000F3D4B"/>
    <w:pPr>
      <w:ind w:left="-1418"/>
    </w:pPr>
    <w:rPr>
      <w:sz w:val="2"/>
      <w:szCs w:val="2"/>
    </w:rPr>
  </w:style>
  <w:style w:type="character" w:styleId="PageNumber">
    <w:name w:val="page number"/>
    <w:basedOn w:val="DefaultParagraphFont"/>
    <w:rsid w:val="000F3D4B"/>
  </w:style>
  <w:style w:type="paragraph" w:styleId="Quote">
    <w:name w:val="Quote"/>
    <w:basedOn w:val="Heading1"/>
    <w:link w:val="QuoteChar"/>
    <w:qFormat/>
    <w:rsid w:val="000F3D4B"/>
    <w:rPr>
      <w:b w:val="0"/>
      <w:sz w:val="72"/>
      <w:szCs w:val="72"/>
      <w:lang w:val="en-NZ"/>
    </w:rPr>
  </w:style>
  <w:style w:type="character" w:customStyle="1" w:styleId="QuoteChar">
    <w:name w:val="Quote Char"/>
    <w:basedOn w:val="DefaultParagraphFont"/>
    <w:link w:val="Quote"/>
    <w:rsid w:val="000F3D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D4B"/>
    <w:pPr>
      <w:pageBreakBefore/>
    </w:pPr>
  </w:style>
  <w:style w:type="paragraph" w:customStyle="1" w:styleId="Border">
    <w:name w:val="Border"/>
    <w:basedOn w:val="Normal"/>
    <w:qFormat/>
    <w:rsid w:val="000F3D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D4B"/>
    <w:rPr>
      <w:b/>
      <w:bCs/>
      <w:i/>
      <w:iCs/>
      <w:color w:val="auto"/>
    </w:rPr>
  </w:style>
  <w:style w:type="paragraph" w:styleId="IntenseQuote">
    <w:name w:val="Intense Quote"/>
    <w:basedOn w:val="Normal"/>
    <w:next w:val="Normal"/>
    <w:link w:val="IntenseQuoteChar"/>
    <w:uiPriority w:val="30"/>
    <w:qFormat/>
    <w:rsid w:val="000F3D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D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3D4B"/>
    <w:rPr>
      <w:smallCaps/>
      <w:color w:val="auto"/>
      <w:u w:val="single"/>
    </w:rPr>
  </w:style>
  <w:style w:type="character" w:styleId="IntenseReference">
    <w:name w:val="Intense Reference"/>
    <w:basedOn w:val="DefaultParagraphFont"/>
    <w:uiPriority w:val="32"/>
    <w:qFormat/>
    <w:rsid w:val="000F3D4B"/>
    <w:rPr>
      <w:b/>
      <w:bCs/>
      <w:smallCaps/>
      <w:color w:val="auto"/>
      <w:spacing w:val="5"/>
      <w:u w:val="single"/>
    </w:rPr>
  </w:style>
  <w:style w:type="paragraph" w:customStyle="1" w:styleId="2ColumnHeading">
    <w:name w:val="2Column Heading"/>
    <w:basedOn w:val="BodyText"/>
    <w:qFormat/>
    <w:rsid w:val="000F3D4B"/>
    <w:pPr>
      <w:spacing w:after="60"/>
      <w:ind w:left="-2268"/>
    </w:pPr>
    <w:rPr>
      <w:b/>
    </w:rPr>
  </w:style>
  <w:style w:type="paragraph" w:customStyle="1" w:styleId="Heading1TOC">
    <w:name w:val="Heading1 TOC"/>
    <w:basedOn w:val="Normal"/>
    <w:qFormat/>
    <w:rsid w:val="000F3D4B"/>
    <w:pPr>
      <w:spacing w:before="240" w:after="120"/>
    </w:pPr>
    <w:rPr>
      <w:rFonts w:ascii="Times New Roman" w:hAnsi="Times New Roman"/>
      <w:b/>
      <w:sz w:val="32"/>
    </w:rPr>
  </w:style>
  <w:style w:type="paragraph" w:customStyle="1" w:styleId="Heading2TOC">
    <w:name w:val="Heading2 TOC"/>
    <w:basedOn w:val="Normal"/>
    <w:qFormat/>
    <w:rsid w:val="000F3D4B"/>
    <w:pPr>
      <w:spacing w:before="240" w:after="60"/>
    </w:pPr>
    <w:rPr>
      <w:rFonts w:ascii="Times New Roman" w:hAnsi="Times New Roman"/>
      <w:b/>
      <w:sz w:val="28"/>
    </w:rPr>
  </w:style>
  <w:style w:type="character" w:customStyle="1" w:styleId="Underline">
    <w:name w:val="Underline"/>
    <w:basedOn w:val="DefaultParagraphFont"/>
    <w:qFormat/>
    <w:rsid w:val="000F3D4B"/>
    <w:rPr>
      <w:u w:val="single"/>
    </w:rPr>
  </w:style>
  <w:style w:type="character" w:customStyle="1" w:styleId="BoldandItalics">
    <w:name w:val="Bold and Italics"/>
    <w:qFormat/>
    <w:rsid w:val="000F3D4B"/>
    <w:rPr>
      <w:b/>
      <w:i/>
      <w:u w:val="none"/>
    </w:rPr>
  </w:style>
  <w:style w:type="paragraph" w:styleId="BalloonText">
    <w:name w:val="Balloon Text"/>
    <w:basedOn w:val="Normal"/>
    <w:link w:val="BalloonTextChar"/>
    <w:rsid w:val="000F3D4B"/>
    <w:rPr>
      <w:rFonts w:ascii="Tahoma" w:hAnsi="Tahoma" w:cs="Tahoma"/>
      <w:sz w:val="16"/>
      <w:szCs w:val="16"/>
    </w:rPr>
  </w:style>
  <w:style w:type="character" w:customStyle="1" w:styleId="BalloonTextChar">
    <w:name w:val="Balloon Text Char"/>
    <w:basedOn w:val="DefaultParagraphFont"/>
    <w:link w:val="BalloonText"/>
    <w:rsid w:val="000F3D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3D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3D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3751</Words>
  <Characters>24207</Characters>
  <Application>Microsoft Office Word</Application>
  <DocSecurity>0</DocSecurity>
  <Lines>816</Lines>
  <Paragraphs>353</Paragraphs>
  <ScaleCrop>false</ScaleCrop>
  <Company>Author-it Software Corporation Ltd.</Company>
  <LinksUpToDate>false</LinksUpToDate>
  <CharactersWithSpaces>27726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UETTDRSB26A Install high current DC equipment and switchgear</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2012-05-26T12:19:00Z</dcterms:created>
  <dcterms:modified xsi:type="dcterms:W3CDTF">2012-05-26T12:19:00Z</dcterms:modified>
</cp:coreProperties>
</file>