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988" w:rsidP="00575988">
      <w:pPr>
        <w:pStyle w:val="Title"/>
      </w:pPr>
      <w:r>
        <w:fldChar w:fldCharType="begin"/>
      </w:r>
      <w:r>
        <w:instrText xml:space="preserve"> TITLE   \* MERGEFORMAT </w:instrText>
      </w:r>
      <w:r>
        <w:fldChar w:fldCharType="separate"/>
      </w:r>
      <w:r>
        <w:t>UETTDRSB22A Carry out power systems substation inspection</w:t>
      </w:r>
      <w:r>
        <w:fldChar w:fldCharType="end"/>
      </w:r>
    </w:p>
    <w:p w:rsidR="00575988" w:rsidP="00575988">
      <w:pPr>
        <w:pStyle w:val="Version"/>
        <w:sectPr w:rsidSect="00896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F07" w:rsidP="00896F07">
      <w:pPr>
        <w:pStyle w:val="SuperHeading"/>
      </w:pPr>
      <w:r w:rsidRPr="00896F07">
        <w:t>UETTDRSB22A Carry out power systems substation inspection</w:t>
      </w:r>
    </w:p>
    <w:p w:rsidR="00000000" w:rsidRPr="00896F07" w:rsidP="00896F07">
      <w:pPr>
        <w:pStyle w:val="Heading1"/>
      </w:pPr>
      <w:bookmarkStart w:id="1" w:name="O_459049"/>
      <w:bookmarkEnd w:id="1"/>
      <w:r w:rsidRPr="00896F07">
        <w:t>Modification History</w:t>
      </w:r>
    </w:p>
    <w:p w:rsidR="00000000" w:rsidRPr="00896F07" w:rsidP="00896F07">
      <w:pPr>
        <w:pStyle w:val="BodyText"/>
      </w:pPr>
      <w:r w:rsidRPr="00896F07">
        <w:t>Not applicable.</w:t>
      </w:r>
    </w:p>
    <w:p w:rsidR="00000000" w:rsidRPr="00896F07" w:rsidP="00896F07">
      <w:pPr>
        <w:pStyle w:val="AllowPageBreak"/>
      </w:pPr>
    </w:p>
    <w:p w:rsidR="00000000" w:rsidRPr="00896F07" w:rsidP="00896F07">
      <w:pPr>
        <w:pStyle w:val="Heading1"/>
      </w:pPr>
      <w:bookmarkStart w:id="2" w:name="O_459047"/>
      <w:bookmarkEnd w:id="2"/>
      <w:r w:rsidRPr="00896F07">
        <w:t>Unit Descriptor</w:t>
      </w:r>
    </w:p>
    <w:tbl>
      <w:tblPr>
        <w:tblW w:w="0" w:type="auto"/>
        <w:tblLayout w:type="fixed"/>
        <w:tblCellMar>
          <w:left w:w="62" w:type="dxa"/>
          <w:right w:w="62" w:type="dxa"/>
        </w:tblCellMar>
        <w:tblLook w:val="0000"/>
      </w:tblPr>
      <w:tblGrid>
        <w:gridCol w:w="2700"/>
        <w:gridCol w:w="5760"/>
      </w:tblGrid>
      <w:tr w:rsidTr="005759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1)</w:t>
            </w:r>
            <w:r w:rsidRPr="00896F07">
              <w:t xml:space="preserve"> </w:t>
            </w:r>
            <w:r w:rsidRPr="00896F07">
              <w:rPr>
                <w:rStyle w:val="SpecialBold"/>
              </w:rPr>
              <w:t>Scope:</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6F0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1.1) Descriptor</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This Competency Standard Unit covers the security, electrical and environmental inspections of substations. It includes inspection, recording of information and reporting of defective/non-compliant conditions in accordance with established enterprise stand</w:t>
            </w:r>
            <w:r w:rsidRPr="00896F07">
              <w:t>ards and procedures.</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3" w:name="O_459036"/>
      <w:bookmarkEnd w:id="3"/>
      <w:r w:rsidRPr="00896F07">
        <w:t>Application of the Unit</w:t>
      </w:r>
    </w:p>
    <w:tbl>
      <w:tblPr>
        <w:tblW w:w="0" w:type="auto"/>
        <w:tblLayout w:type="fixed"/>
        <w:tblCellMar>
          <w:left w:w="62" w:type="dxa"/>
          <w:right w:w="62" w:type="dxa"/>
        </w:tblCellMar>
        <w:tblLook w:val="0000"/>
      </w:tblPr>
      <w:tblGrid>
        <w:gridCol w:w="2672"/>
        <w:gridCol w:w="5699"/>
      </w:tblGrid>
      <w:tr w:rsidTr="005759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2)</w:t>
            </w:r>
          </w:p>
        </w:tc>
      </w:tr>
      <w:tr w:rsidTr="005759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 xml:space="preserve">This Competency Standard Unit is intended to augment formally acquired competencies. It is suitable for employment-based programs under an </w:t>
            </w:r>
            <w:r w:rsidRPr="00896F07">
              <w:t>approved contract of training.</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4" w:name="O_459043"/>
      <w:bookmarkEnd w:id="4"/>
      <w:r w:rsidRPr="00896F07">
        <w:t>Licensing/Regulatory Information</w:t>
      </w:r>
    </w:p>
    <w:tbl>
      <w:tblPr>
        <w:tblW w:w="0" w:type="auto"/>
        <w:tblLayout w:type="fixed"/>
        <w:tblCellMar>
          <w:left w:w="62" w:type="dxa"/>
          <w:right w:w="62" w:type="dxa"/>
        </w:tblCellMar>
        <w:tblLook w:val="0000"/>
      </w:tblPr>
      <w:tblGrid>
        <w:gridCol w:w="2700"/>
        <w:gridCol w:w="5760"/>
      </w:tblGrid>
      <w:tr w:rsidTr="005759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 xml:space="preserve">3) </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The skills and knowledge described in this unit requires a licence/registration to practice in the work place subject to regulations for undertakin</w:t>
            </w:r>
            <w:r w:rsidRPr="00896F07">
              <w:t xml:space="preserve">g of electrical work. Practice in workplace and during training is also subject to regulations directly related to Occupational Health and Safety, electricity/telecommunications/gas/water industry safety and compliance, industrial relations, environmental </w:t>
            </w:r>
            <w:r w:rsidRPr="00896F07">
              <w:t xml:space="preserve">protection, anti discrimination and training. Commonwealth, State/Territory or Local Government </w:t>
            </w:r>
            <w:r w:rsidRPr="00896F07">
              <w:t>legislation and regulations may exist that limits the age of operating certain equipment.</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5" w:name="O_459044"/>
      <w:bookmarkEnd w:id="5"/>
      <w:r w:rsidRPr="00896F07">
        <w:t>Pre-Requisites</w:t>
      </w:r>
    </w:p>
    <w:tbl>
      <w:tblPr>
        <w:tblW w:w="0" w:type="auto"/>
        <w:tblLayout w:type="fixed"/>
        <w:tblCellMar>
          <w:left w:w="62" w:type="dxa"/>
          <w:right w:w="62" w:type="dxa"/>
        </w:tblCellMar>
        <w:tblLook w:val="0000"/>
      </w:tblPr>
      <w:tblGrid>
        <w:gridCol w:w="2700"/>
        <w:gridCol w:w="2070"/>
        <w:gridCol w:w="3690"/>
      </w:tblGrid>
      <w:tr w:rsidTr="005759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 xml:space="preserve">4) </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4.1)</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Granting of competency in this unit shall be made only after competency in the following unit(s) has/have been confirmed.</w:t>
            </w:r>
          </w:p>
          <w:p w:rsidR="00000000" w:rsidRPr="00896F07" w:rsidP="00896F07">
            <w:pPr>
              <w:pStyle w:val="BodyText"/>
            </w:pPr>
            <w:r w:rsidRPr="00896F07">
              <w:t>Where pre-requisite pathways have been identified. All competencies in the Common Unit Group must be have been completed plus all the competencies in one (1) of the identified Pathway Unit Group(s):</w:t>
            </w:r>
          </w:p>
          <w:p w:rsidR="00000000" w:rsidP="00896F07">
            <w:pPr>
              <w:pStyle w:val="BodyText"/>
              <w:rPr>
                <w:lang w:val="en-NZ"/>
              </w:rPr>
            </w:pPr>
            <w:r w:rsidRPr="00896F07">
              <w:t>Common Unit Group</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Unit Code</w:t>
            </w:r>
            <w:r w:rsidRPr="00896F07">
              <w:tab/>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Unit Title</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Apply Occupational Health and Safety regulations, codes and practices in the workplace</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Fabricate, assemble and dismantle utilities industry components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Solve problems in d.c.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Fix and secure elect</w:t>
            </w:r>
            <w:r w:rsidRPr="00896F07">
              <w:t>rotechnology equipment</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Use drawings, diagrams, schedules, standards, codes and specifications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Document and apply measures to control OHS risks associated with electrotechnology work</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Solve problems in single and three phase low voltage machines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 xml:space="preserve">Solve problems in single and three phase electrical apparatus and </w:t>
            </w:r>
            <w:r w:rsidRPr="00896F07">
              <w:t>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Arrange circuits, control and protection for general electrical installations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Solve problems in electromagnetic devices and related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Solve problems in electromagnetic devices and related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Terminate cables, cords and accessories for low voltage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Trouble-shoot and repair faults in low voltage electrical apparatus and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Develop and connect electrical control circuits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Apply environmentally and sustainable energy procedures in the energy sector</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Pathway 1 - Electric</w:t>
            </w:r>
            <w:r w:rsidRPr="00896F07">
              <w:t>ian</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Install low voltage wiring and accessories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Install appliances, switchgear and associated accessories for low voltage electrical installations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Verify compliance and functionality of low voltage general electrical installations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Select wiring systems and cables for low voltage general electrical installations</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Pathway 2 – Electrical Fitter</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896F07">
            <w:pPr>
              <w:pStyle w:val="BodyText"/>
              <w:rPr>
                <w:lang w:val="en-NZ"/>
              </w:rPr>
            </w:pPr>
            <w:r w:rsidRPr="00896F07">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896F07" w:rsidP="00896F07">
            <w:pPr>
              <w:pStyle w:val="BodyText"/>
            </w:pPr>
            <w:r w:rsidRPr="00896F07">
              <w:t>Conduct compliance and functional verification of electrical apparatus and existing circuits</w:t>
            </w:r>
          </w:p>
        </w:tc>
      </w:tr>
    </w:tbl>
    <w:p w:rsidR="00000000" w:rsidRPr="00896F07" w:rsidP="00896F0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7598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 xml:space="preserve">4.2) </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Participants are best equipped to achieve thi</w:t>
            </w:r>
            <w:r w:rsidRPr="00896F07">
              <w:t>s unit if they have reading, writing and numeracy skills indicated by the following scales. Description of each scale is given in Volume 2, Part 3 “Literacy and Numeracy”</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Reading</w:t>
            </w:r>
          </w:p>
        </w:tc>
        <w:tc>
          <w:tcPr>
            <w:tcW w:w="81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4</w:t>
            </w:r>
          </w:p>
        </w:tc>
        <w:tc>
          <w:tcPr>
            <w:tcW w:w="99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Writing</w:t>
            </w:r>
          </w:p>
        </w:tc>
        <w:tc>
          <w:tcPr>
            <w:tcW w:w="90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4</w:t>
            </w:r>
          </w:p>
        </w:tc>
        <w:tc>
          <w:tcPr>
            <w:tcW w:w="12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Numeracy</w:t>
            </w:r>
          </w:p>
        </w:tc>
        <w:tc>
          <w:tcPr>
            <w:tcW w:w="72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4</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6" w:name="O_459040"/>
      <w:bookmarkEnd w:id="6"/>
      <w:r w:rsidRPr="00896F07">
        <w:t>Employability Skills Information</w:t>
      </w:r>
    </w:p>
    <w:tbl>
      <w:tblPr>
        <w:tblW w:w="0" w:type="auto"/>
        <w:tblLayout w:type="fixed"/>
        <w:tblCellMar>
          <w:left w:w="62" w:type="dxa"/>
          <w:right w:w="62" w:type="dxa"/>
        </w:tblCellMar>
        <w:tblLook w:val="0000"/>
      </w:tblPr>
      <w:tblGrid>
        <w:gridCol w:w="2700"/>
        <w:gridCol w:w="5760"/>
      </w:tblGrid>
      <w:tr w:rsidTr="005759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 xml:space="preserve">5) </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The required outcomes described in this unit of competency contain applicable facets of Employability Skills. The Employability Skills Summary of the qualification in which this unit of competency</w:t>
            </w:r>
            <w:r w:rsidRPr="00896F07">
              <w:t xml:space="preserve"> is packaged will assist in identifying Employability Skill requirements.</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7" w:name="O_459039"/>
      <w:bookmarkEnd w:id="7"/>
      <w:r w:rsidRPr="00896F07">
        <w:t>Elements and Performance Criteria Pre-Content</w:t>
      </w:r>
    </w:p>
    <w:tbl>
      <w:tblPr>
        <w:tblW w:w="0" w:type="auto"/>
        <w:tblLayout w:type="fixed"/>
        <w:tblCellMar>
          <w:left w:w="62" w:type="dxa"/>
          <w:right w:w="62" w:type="dxa"/>
        </w:tblCellMar>
        <w:tblLook w:val="0000"/>
      </w:tblPr>
      <w:tblGrid>
        <w:gridCol w:w="2700"/>
        <w:gridCol w:w="5760"/>
      </w:tblGrid>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6)</w:t>
            </w:r>
            <w:r w:rsidRPr="00896F0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Performance Criteria describe the required performance needed to demonstrate achievement of the element. Assessment of performance is to be consistent with the Evidence Guide.</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8" w:name="O_459038"/>
      <w:bookmarkEnd w:id="8"/>
      <w:r w:rsidRPr="00896F07">
        <w:t>Elements and Performance Criteria</w:t>
      </w:r>
    </w:p>
    <w:tbl>
      <w:tblPr>
        <w:tblW w:w="0" w:type="auto"/>
        <w:tblLayout w:type="fixed"/>
        <w:tblCellMar>
          <w:left w:w="62" w:type="dxa"/>
          <w:right w:w="62" w:type="dxa"/>
        </w:tblCellMar>
        <w:tblLook w:val="0000"/>
      </w:tblPr>
      <w:tblGrid>
        <w:gridCol w:w="405"/>
        <w:gridCol w:w="2243"/>
        <w:gridCol w:w="52"/>
        <w:gridCol w:w="831"/>
        <w:gridCol w:w="4764"/>
        <w:gridCol w:w="165"/>
      </w:tblGrid>
      <w:tr w:rsidTr="0057598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PERFORMANCE CRITER</w:t>
            </w:r>
            <w:r w:rsidRPr="00896F07">
              <w:rPr>
                <w:rStyle w:val="SpecialBold"/>
              </w:rPr>
              <w:t>IA</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w:t>
            </w:r>
          </w:p>
        </w:tc>
        <w:tc>
          <w:tcPr>
            <w:tcW w:w="2243"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Prepare/plan to carry out substation inspections</w:t>
            </w: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1.1</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Work schedules including drawings, plans, requirements procedures and material lists are acquired, analysed and the extent of work determined.</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1.2</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Relevant requirements and established procedures for the work are communicated to all personnel and identified for all work sites.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1.3</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Hazards are identified, OHS risks assessed and control measures are prioritised, implemented and monitored including e</w:t>
            </w:r>
            <w:r w:rsidRPr="00896F07">
              <w:t>mergency exits kept clear, to ensure safe systems of work are followed and according to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1.4</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Work is prioritised and sequenced for the most efficient and effective outcome following consultation with others for completion within acceptable timeframes, to agreed quality standards and in accordance with established policies and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1.5</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Ri</w:t>
            </w:r>
            <w:r w:rsidRPr="00896F07">
              <w:t>sk control measures are identified, prioritised, implemented and evaluated against the work schedule.</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1.6</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Resources including personnel, equipment, tools and personal protective equipment required for the job are identified, acquired and confirmed in sa</w:t>
            </w:r>
            <w:r w:rsidRPr="00896F07">
              <w:t>fe/technical working order.</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1.7</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Liaison issues with other personnel and/or authorities are resolved and activities coordinated to facilitate the work.</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1.8</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Personnel participating in the work including plant operators and contractors are fully briefed, their respective responsibilities explained and coordinated and appropriate authorisation checked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1.9</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Work site i</w:t>
            </w:r>
            <w:r w:rsidRPr="00896F07">
              <w:t>s prepared according to the work schedule and to minimise risk and damage to property and personnel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w:t>
            </w:r>
          </w:p>
        </w:tc>
        <w:tc>
          <w:tcPr>
            <w:tcW w:w="2243"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Carry out substation inspections</w:t>
            </w: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2.1</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OHS and sustainable energy principles and practices to reduce the inciden</w:t>
            </w:r>
            <w:r w:rsidRPr="00896F07">
              <w:t>ce of accidents and minimise waste are implemented and monitored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2.2</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CPR, Rescue from live electrical apparatus and other related safety procedures are in place according to requirements and established procedu</w:t>
            </w:r>
            <w:r w:rsidRPr="00896F07">
              <w:t>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2.3</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Safe working documentation is acquired if appropriate and requirements completed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2.4</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Lifting, climbing and working aloft, use of power tools/equipment techniques and prac</w:t>
            </w:r>
            <w:r w:rsidRPr="00896F07">
              <w:t>tices are safely exercised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2.5</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Hazard warnings and safety signs are recognised and hazards and assessed OHS risks are reported to the immediate authorised persons for directions according to established procedu</w:t>
            </w:r>
            <w:r w:rsidRPr="00896F07">
              <w:t>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2.6</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Substation equipment, environmental protection systems and security systems are inspected, checked to requirements and as per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2.7</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Critical defects are assessed for level of safety/system impact and communicated to app</w:t>
            </w:r>
            <w:r w:rsidRPr="00896F07">
              <w:t>ropriate personnel for further action.</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2.8</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Minor defects and/or non conformances are rectified in-situ.</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2.9</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 xml:space="preserve">Essential knowledge and associated skills are applied for the safe carrying out of substation inspections to ensure completion in an agreed </w:t>
            </w:r>
            <w:r w:rsidRPr="00896F07">
              <w:t>timeframe and to quality standards according to requirements.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2.10</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Unplanned events or conditions are responded to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w:t>
            </w:r>
          </w:p>
        </w:tc>
        <w:tc>
          <w:tcPr>
            <w:tcW w:w="2243"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Record the outcomes of substation inspections</w:t>
            </w: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3.1</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Work undertaken is checked against work sc</w:t>
            </w:r>
            <w:r w:rsidRPr="00896F07">
              <w:t>hedule for conformance with requirements, anomalies reported and solutions identified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3.2</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Safe working documentation is surrendered if appropriate.</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3.3</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Work site is rehabilitated, cleaned up and confirmed safe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3.4</w:t>
            </w:r>
          </w:p>
        </w:tc>
        <w:tc>
          <w:tcPr>
            <w:tcW w:w="4764"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Tools, equipment and any surplus resources and materials are cleaned, checked and returned to storage in accordance with established procedures.</w:t>
            </w:r>
          </w:p>
        </w:tc>
      </w:tr>
      <w:tr w:rsidTr="00575988">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gridSpan w:val="2"/>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t>3.5</w:t>
            </w:r>
          </w:p>
        </w:tc>
        <w:tc>
          <w:tcPr>
            <w:tcW w:w="4764"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Required works completion records, reports and/or documentation and information are completed, processed and appropriate personnel notified in accordance with established procedures.</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9" w:name="O_459046"/>
      <w:bookmarkEnd w:id="9"/>
      <w:r w:rsidRPr="00896F07">
        <w:t>Required Skills and Knowledge</w:t>
      </w:r>
    </w:p>
    <w:tbl>
      <w:tblPr>
        <w:tblW w:w="0" w:type="auto"/>
        <w:tblLayout w:type="fixed"/>
        <w:tblCellMar>
          <w:left w:w="62" w:type="dxa"/>
          <w:right w:w="62" w:type="dxa"/>
        </w:tblCellMar>
        <w:tblLook w:val="0000"/>
      </w:tblPr>
      <w:tblGrid>
        <w:gridCol w:w="8460"/>
      </w:tblGrid>
      <w:tr w:rsidTr="005759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REQUIRED SKILLS AND KNOWLEDGE</w:t>
            </w:r>
          </w:p>
        </w:tc>
      </w:tr>
      <w:tr w:rsidTr="0057598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8)</w:t>
            </w:r>
            <w:r w:rsidRPr="00896F07">
              <w:t xml:space="preserve"> Essential Knowledge and Associated Skills (EKAS): This describes the essential skills and knowledge and their level, required for this unit.</w:t>
            </w:r>
          </w:p>
          <w:p w:rsidR="00000000" w:rsidRPr="00896F07" w:rsidP="00896F07">
            <w:pPr>
              <w:pStyle w:val="BodyText"/>
            </w:pPr>
            <w:r w:rsidRPr="00896F07">
              <w:t>Evidence shall show that knowledge has been acquired of carrying out substation i</w:t>
            </w:r>
            <w:r w:rsidRPr="00896F07">
              <w:t>nspection.</w:t>
            </w:r>
          </w:p>
          <w:p w:rsidR="00000000" w:rsidRPr="00896F07" w:rsidP="00896F07">
            <w:pPr>
              <w:pStyle w:val="BodyText"/>
            </w:pPr>
            <w:r w:rsidRPr="00896F07">
              <w:t>All knowledge and skills detailed in this unit should be contextualised to current industry practices and technologies.</w:t>
            </w:r>
          </w:p>
          <w:p w:rsidR="00000000" w:rsidRPr="00896F07" w:rsidP="00896F07">
            <w:pPr>
              <w:pStyle w:val="BodyText"/>
            </w:pPr>
            <w:r w:rsidRPr="00896F07">
              <w:t xml:space="preserve">KS01-TSB22A </w:t>
            </w:r>
            <w:r w:rsidRPr="00896F07">
              <w:tab/>
              <w:t>Power systems substation inspection</w:t>
            </w:r>
          </w:p>
          <w:p w:rsidR="00000000" w:rsidRPr="00896F07" w:rsidP="00896F07">
            <w:pPr>
              <w:pStyle w:val="BodyText"/>
            </w:pPr>
            <w:r w:rsidRPr="00896F07">
              <w:t xml:space="preserve">Evidence shall show an understanding of power systems substation inspection </w:t>
            </w:r>
            <w:r w:rsidRPr="00896F07">
              <w:t xml:space="preserve">to an extent indicated by the following aspects: </w:t>
            </w:r>
          </w:p>
          <w:p w:rsidR="00000000" w:rsidRPr="00896F07" w:rsidP="00896F07">
            <w:pPr>
              <w:pStyle w:val="BodyText"/>
            </w:pPr>
            <w:r w:rsidRPr="00896F07">
              <w:t>T1</w:t>
            </w:r>
            <w:r w:rsidRPr="00896F07">
              <w:tab/>
              <w:t>Enterprise specific — policy and procedure instructions encompassing:</w:t>
            </w:r>
          </w:p>
          <w:p w:rsidR="00000000" w:rsidRPr="00896F07" w:rsidP="00896F07">
            <w:pPr>
              <w:pStyle w:val="ListBullet"/>
            </w:pPr>
            <w:r w:rsidRPr="00896F07">
              <w:t>Responsibilities and duty of care of employer and employee relationship</w:t>
            </w:r>
          </w:p>
          <w:p w:rsidR="00000000" w:rsidRPr="00896F07" w:rsidP="00896F07">
            <w:pPr>
              <w:pStyle w:val="ListBullet"/>
            </w:pPr>
            <w:r w:rsidRPr="00896F07">
              <w:t>Methods of obtaining the up-to-date information on enterpris</w:t>
            </w:r>
            <w:r w:rsidRPr="00896F07">
              <w:t>e policy and procedures</w:t>
            </w:r>
          </w:p>
          <w:p w:rsidR="00000000" w:rsidRPr="00896F07" w:rsidP="00896F07">
            <w:pPr>
              <w:pStyle w:val="ListBullet"/>
            </w:pPr>
            <w:r w:rsidRPr="00896F07">
              <w:t>Rules and regulations</w:t>
            </w:r>
          </w:p>
          <w:p w:rsidR="00000000" w:rsidRPr="00896F07" w:rsidP="00896F07">
            <w:pPr>
              <w:pStyle w:val="ListBullet"/>
            </w:pPr>
            <w:r w:rsidRPr="00896F07">
              <w:t>Induction into workplace - location of work area and storage area, timetable, uniform, personal well-being, housekeeping rules, emergency procedures, evacuation procedures</w:t>
            </w:r>
          </w:p>
          <w:p w:rsidR="00000000" w:rsidRPr="00896F07" w:rsidP="00896F07">
            <w:pPr>
              <w:pStyle w:val="ListBullet"/>
            </w:pPr>
            <w:r w:rsidRPr="00896F07">
              <w:t>Techniques when deal with others - wor</w:t>
            </w:r>
            <w:r w:rsidRPr="00896F07">
              <w:t>king in teams, customer relation, complaint and issues procedures.</w:t>
            </w:r>
          </w:p>
          <w:p w:rsidR="00000000" w:rsidRPr="00896F07" w:rsidP="00896F07">
            <w:pPr>
              <w:pStyle w:val="ListBullet"/>
            </w:pPr>
            <w:r w:rsidRPr="00896F07">
              <w:t>Overview of enterprise professional development - fire fighting procedures, fatigue management, training and competency development - understanding and promotion</w:t>
            </w:r>
          </w:p>
          <w:p w:rsidR="00000000" w:rsidRPr="00896F07" w:rsidP="00896F07">
            <w:pPr>
              <w:pStyle w:val="BodyText"/>
            </w:pPr>
            <w:r w:rsidRPr="00896F07">
              <w:t>T2</w:t>
            </w:r>
            <w:r w:rsidRPr="00896F07">
              <w:tab/>
              <w:t>Enterprises specific —</w:t>
            </w:r>
            <w:r w:rsidRPr="00896F07">
              <w:t xml:space="preserve"> OHS instructions encompassing:</w:t>
            </w:r>
          </w:p>
          <w:p w:rsidR="00000000" w:rsidRPr="00896F07" w:rsidP="00896F07">
            <w:pPr>
              <w:pStyle w:val="ListBullet"/>
            </w:pPr>
            <w:r w:rsidRPr="00896F07">
              <w:t>Standards, codes, legislation, supply authority regulations and specific enterprise regulations pertaining to the OHS policies and procedures</w:t>
            </w:r>
          </w:p>
          <w:p w:rsidR="00000000" w:rsidRPr="00896F07" w:rsidP="00896F07">
            <w:pPr>
              <w:pStyle w:val="ListBullet"/>
            </w:pPr>
            <w:r w:rsidRPr="00896F07">
              <w:t>Methods of obtaining the up-to-date information on enterprise OHS policy and proc</w:t>
            </w:r>
            <w:r w:rsidRPr="00896F07">
              <w:t>edures</w:t>
            </w:r>
          </w:p>
          <w:p w:rsidR="00000000" w:rsidRPr="00896F07" w:rsidP="00896F07">
            <w:pPr>
              <w:pStyle w:val="ListBullet"/>
            </w:pPr>
            <w:r w:rsidRPr="00896F07">
              <w:t>Specific enterprise personal protection equipment - type and application, where and when to be used, method of replacement, responsibility of maintenance including cleaning inspection and testing, emergency response, rescue, evacuation and First Aid</w:t>
            </w:r>
            <w:r w:rsidRPr="00896F07">
              <w:t xml:space="preserve"> procedures</w:t>
            </w:r>
          </w:p>
          <w:p w:rsidR="00000000" w:rsidRPr="00896F07" w:rsidP="00896F07">
            <w:pPr>
              <w:pStyle w:val="ListBullet"/>
            </w:pPr>
            <w:r w:rsidRPr="00896F07">
              <w:t>Personal well-being – hygiene, fatigue/stress management, drugs/alcohol</w:t>
            </w:r>
          </w:p>
          <w:p w:rsidR="00000000" w:rsidRPr="00896F07" w:rsidP="00896F07">
            <w:pPr>
              <w:pStyle w:val="ListBullet"/>
            </w:pPr>
            <w:r w:rsidRPr="00896F07">
              <w:t>OHS training - induction training, specific hazard training, specific task or equipment training, emergency and evacuation training, training as part of broader programs su</w:t>
            </w:r>
            <w:r w:rsidRPr="00896F07">
              <w:t>ch as equipment operation</w:t>
            </w:r>
          </w:p>
          <w:p w:rsidR="00000000" w:rsidRPr="00896F07" w:rsidP="00896F07">
            <w:pPr>
              <w:pStyle w:val="ListBullet"/>
            </w:pPr>
            <w:r w:rsidRPr="00896F07">
              <w:t>OHS records including audits, inspection reports, workplace health and environmental monitoring records, training and instruction records, manufacturers and suppliers information such as MSDSs, registers, maintenance reports, work</w:t>
            </w:r>
            <w:r w:rsidRPr="00896F07">
              <w:t>ers compensation and rehabilitation records and First Aid/medical records</w:t>
            </w:r>
          </w:p>
          <w:p w:rsidR="00000000" w:rsidRPr="00896F07" w:rsidP="00896F07">
            <w:pPr>
              <w:pStyle w:val="BodyText"/>
            </w:pPr>
            <w:r w:rsidRPr="00896F07">
              <w:t>T3</w:t>
            </w:r>
            <w:r w:rsidRPr="00896F07">
              <w:tab/>
              <w:t>Enterprise Specific Data Management Processes encompassing:</w:t>
            </w:r>
          </w:p>
          <w:p w:rsidR="00000000" w:rsidRPr="00896F07" w:rsidP="00896F07">
            <w:pPr>
              <w:pStyle w:val="ListBullet"/>
            </w:pPr>
            <w:r w:rsidRPr="00896F07">
              <w:t>Standards, codes, legislation, supply authority regulations and or enterprise requirements applicable to Data Manageme</w:t>
            </w:r>
            <w:r w:rsidRPr="00896F07">
              <w:t>nt</w:t>
            </w:r>
          </w:p>
          <w:p w:rsidR="00000000" w:rsidRPr="00896F07" w:rsidP="00896F07">
            <w:pPr>
              <w:pStyle w:val="ListBullet"/>
            </w:pPr>
            <w:r w:rsidRPr="00896F07">
              <w:t>Requirements for the use of manuals, substation diagrams/plans and drawings</w:t>
            </w:r>
          </w:p>
          <w:p w:rsidR="00000000" w:rsidRPr="00896F07" w:rsidP="00896F07">
            <w:pPr>
              <w:pStyle w:val="ListBullet"/>
            </w:pPr>
            <w:r w:rsidRPr="00896F07">
              <w:t>Types of enterprise specific computer software</w:t>
            </w:r>
          </w:p>
          <w:p w:rsidR="00000000" w:rsidRPr="00896F07" w:rsidP="00896F07">
            <w:pPr>
              <w:pStyle w:val="ListBullet"/>
            </w:pPr>
            <w:r w:rsidRPr="00896F07">
              <w:t>Techniques in storing and retrieving data and reports from the computer</w:t>
            </w:r>
          </w:p>
          <w:p w:rsidR="00000000" w:rsidRPr="00896F07" w:rsidP="00896F07">
            <w:pPr>
              <w:pStyle w:val="ListBullet"/>
            </w:pPr>
            <w:r w:rsidRPr="00896F07">
              <w:t>Techniques in using the Data Management systems in followi</w:t>
            </w:r>
            <w:r w:rsidRPr="00896F07">
              <w:t xml:space="preserve">ng necessary commands and protocols in accordance with the Enterprise Specific Procedures </w:t>
            </w:r>
          </w:p>
          <w:p w:rsidR="00000000" w:rsidRPr="00896F07" w:rsidP="00896F07">
            <w:pPr>
              <w:pStyle w:val="ListBullet"/>
            </w:pPr>
            <w:r w:rsidRPr="00896F07">
              <w:t>Calculation of results and data measurements using the computer</w:t>
            </w:r>
          </w:p>
          <w:p w:rsidR="00000000" w:rsidRPr="00896F07" w:rsidP="00896F07">
            <w:pPr>
              <w:pStyle w:val="ListBullet"/>
            </w:pPr>
            <w:r w:rsidRPr="00896F07">
              <w:t>Techniques in the preparation of preliminary works creation and closure.</w:t>
            </w:r>
          </w:p>
          <w:p w:rsidR="00000000" w:rsidRPr="00896F07" w:rsidP="00896F07">
            <w:pPr>
              <w:pStyle w:val="BodyText"/>
            </w:pPr>
            <w:r w:rsidRPr="00896F07">
              <w:t>T4</w:t>
            </w:r>
            <w:r w:rsidRPr="00896F07">
              <w:tab/>
              <w:t>Fault conditions and symp</w:t>
            </w:r>
            <w:r w:rsidRPr="00896F07">
              <w:t>toms related to the plant and/or equipment type encompassing:</w:t>
            </w:r>
          </w:p>
          <w:p w:rsidR="00000000" w:rsidRPr="00896F07" w:rsidP="00896F07">
            <w:pPr>
              <w:pStyle w:val="ListBullet"/>
            </w:pPr>
            <w:r w:rsidRPr="00896F07">
              <w:t>Standards, codes, Commonwealth, State/Territory/local government legislation, supply authority regulations and or enterprise requirements pertaining to typical fault conditions and systems</w:t>
            </w:r>
          </w:p>
          <w:p w:rsidR="00000000" w:rsidRPr="00896F07" w:rsidP="00896F07">
            <w:pPr>
              <w:pStyle w:val="ListBullet"/>
            </w:pPr>
            <w:r w:rsidRPr="00896F07">
              <w:t>Inte</w:t>
            </w:r>
            <w:r w:rsidRPr="00896F07">
              <w:t>rpretation of faults in operating mechanisms which may include drive trains and mechanical power drives, stored energy systems including hydraulic systems, pneumatic systems and mechanical storage systems, accumulators</w:t>
            </w:r>
          </w:p>
          <w:p w:rsidR="00000000" w:rsidRPr="00896F07" w:rsidP="00896F07">
            <w:pPr>
              <w:pStyle w:val="ListBullet"/>
            </w:pPr>
            <w:r w:rsidRPr="00896F07">
              <w:t>Interpretation of faults in electrica</w:t>
            </w:r>
            <w:r w:rsidRPr="00896F07">
              <w:t>l control systems which may include electro-mechanical relay systems, micro-processor based systems, PLC systems, integrated control systems or combinations of electrical/mechanical systems</w:t>
            </w:r>
          </w:p>
          <w:p w:rsidR="00000000" w:rsidRPr="00896F07" w:rsidP="00896F07">
            <w:pPr>
              <w:pStyle w:val="ListBullet"/>
            </w:pPr>
            <w:r w:rsidRPr="00896F07">
              <w:t>Types of electrical systems including AC, DC and combinations of b</w:t>
            </w:r>
            <w:r w:rsidRPr="00896F07">
              <w:t>oth</w:t>
            </w:r>
          </w:p>
          <w:p w:rsidR="00000000" w:rsidRPr="00896F07" w:rsidP="00896F07">
            <w:pPr>
              <w:pStyle w:val="ListBullet"/>
            </w:pPr>
            <w:r w:rsidRPr="00896F07">
              <w:t>Types of fault conditions - failure to operate, failure in service and include the appropriate procedures for work on in service plant/equipment</w:t>
            </w:r>
          </w:p>
          <w:p w:rsidR="00000000" w:rsidRPr="00896F07" w:rsidP="00896F07">
            <w:pPr>
              <w:pStyle w:val="ListBullet"/>
            </w:pPr>
            <w:r w:rsidRPr="00896F07">
              <w:t>Types of symptoms - alarms, relay flags, mechanical defects, insulation deterioration, leaks, over-pressure, under pressure, out of tolerance measurements and checks.</w:t>
            </w:r>
          </w:p>
          <w:p w:rsidR="00000000" w:rsidRPr="00896F07" w:rsidP="00896F07">
            <w:pPr>
              <w:pStyle w:val="BodyText"/>
            </w:pPr>
            <w:r w:rsidRPr="00896F07">
              <w:t>T5</w:t>
            </w:r>
            <w:r w:rsidRPr="00896F07">
              <w:tab/>
              <w:t>Substation equipment components and materials related to the plant and/or equipment ty</w:t>
            </w:r>
            <w:r w:rsidRPr="00896F07">
              <w:t>pe encompassing:</w:t>
            </w:r>
          </w:p>
          <w:p w:rsidR="00000000" w:rsidRPr="00896F07" w:rsidP="00896F07">
            <w:pPr>
              <w:pStyle w:val="ListBullet"/>
            </w:pPr>
            <w:r w:rsidRPr="00896F07">
              <w:t>Types of components - complete unit of plant and/or equipment, replacement components or appropriate substitutes, their dimensions, suitability and serviceability; also the components associated with the local control systems of the equip</w:t>
            </w:r>
            <w:r w:rsidRPr="00896F07">
              <w:t>ment including indication of levels, quantities, volumes, pressures and temperatures and the operating principles of these devices and components</w:t>
            </w:r>
          </w:p>
          <w:p w:rsidR="00000000" w:rsidRPr="00896F07" w:rsidP="00896F07">
            <w:pPr>
              <w:pStyle w:val="ListBullet"/>
            </w:pPr>
            <w:r w:rsidRPr="00896F07">
              <w:t>Types of materials - insulation, construction, fabrication or lubrication of the plant/equipment</w:t>
            </w:r>
          </w:p>
          <w:p w:rsidR="00000000" w:rsidRPr="00896F07" w:rsidP="00896F07">
            <w:pPr>
              <w:pStyle w:val="ListBullet"/>
            </w:pPr>
            <w:r w:rsidRPr="00896F07">
              <w:t>Techniques in</w:t>
            </w:r>
            <w:r w:rsidRPr="00896F07">
              <w:t xml:space="preserve"> enterprise procedures and regulatory/legislative requirements for the handling/use and storage of equipment components and materials which may present an OHS hazard to persons in the workplace</w:t>
            </w:r>
          </w:p>
          <w:p w:rsidR="00000000" w:rsidRPr="00896F07" w:rsidP="00896F07">
            <w:pPr>
              <w:pStyle w:val="BodyText"/>
            </w:pPr>
            <w:r w:rsidRPr="00896F07">
              <w:t>T6</w:t>
            </w:r>
            <w:r w:rsidRPr="00896F07">
              <w:tab/>
              <w:t>Substation safety practices encompassing:</w:t>
            </w:r>
          </w:p>
          <w:p w:rsidR="00000000" w:rsidRPr="00896F07" w:rsidP="00896F07">
            <w:pPr>
              <w:pStyle w:val="ListBullet"/>
            </w:pPr>
            <w:r w:rsidRPr="00896F07">
              <w:t>Standards, codes</w:t>
            </w:r>
            <w:r w:rsidRPr="00896F07">
              <w:t>, Commonwealth, State/Territory/local government legislation, supply authority regulations and or enterprise requirements pertaining to substation safety practices</w:t>
            </w:r>
          </w:p>
          <w:p w:rsidR="00000000" w:rsidRPr="00896F07" w:rsidP="00896F07">
            <w:pPr>
              <w:pStyle w:val="ListBullet"/>
            </w:pPr>
            <w:r w:rsidRPr="00896F07">
              <w:t>Techniques in the use of protective apparatus and apparel for substations work, including re</w:t>
            </w:r>
            <w:r w:rsidRPr="00896F07">
              <w:t>sponsibilities with regard to the use and maintenance of protective apparatus and apparel and the types of protective apparatus and apparel used for work in substations</w:t>
            </w:r>
          </w:p>
          <w:p w:rsidR="00000000" w:rsidRPr="00896F07" w:rsidP="00896F07">
            <w:pPr>
              <w:pStyle w:val="ListBullet"/>
            </w:pPr>
            <w:r w:rsidRPr="00896F07">
              <w:t>Requirements for the use of ladders and appropriate ladder types for work in substation</w:t>
            </w:r>
            <w:r w:rsidRPr="00896F07">
              <w:t>s - safe work methods when carrying, erecting, collapsing and lowering different types of extension ladder against substation structures, plant and equipment, maintenance checks on different types of ladders, renewal of extension ropes and the safety issue</w:t>
            </w:r>
            <w:r w:rsidRPr="00896F07">
              <w:t>s relating to clearances from energised conductors</w:t>
            </w:r>
          </w:p>
          <w:p w:rsidR="00000000" w:rsidRPr="00896F07" w:rsidP="00896F07">
            <w:pPr>
              <w:pStyle w:val="ListBullet"/>
            </w:pPr>
            <w:r w:rsidRPr="00896F07">
              <w:t>Requirements for climbing and working at heights in substations - attached climbing principles, selection, use and operation of elevated work platforms and any OHS requirements associated with the use of E</w:t>
            </w:r>
            <w:r w:rsidRPr="00896F07">
              <w:t>WPs</w:t>
            </w:r>
          </w:p>
          <w:p w:rsidR="00000000" w:rsidRPr="00896F07" w:rsidP="00896F07">
            <w:pPr>
              <w:pStyle w:val="ListBullet"/>
            </w:pPr>
            <w:r w:rsidRPr="00896F07">
              <w:t>Control of small fires - identification, selection and operation of the appropriate extinguishing mediums for various types of fires and the precautions for personal protection when fighting small fires</w:t>
            </w:r>
          </w:p>
          <w:p w:rsidR="00000000" w:rsidRPr="00896F07" w:rsidP="00896F07">
            <w:pPr>
              <w:pStyle w:val="ListBullet"/>
            </w:pPr>
            <w:r w:rsidRPr="00896F07">
              <w:t>Control of oil spills - identification, use and m</w:t>
            </w:r>
            <w:r w:rsidRPr="00896F07">
              <w:t>aintenance of spill oil control equipment and materials, oil containment facilities and systems</w:t>
            </w:r>
          </w:p>
          <w:p w:rsidR="00000000" w:rsidRPr="00896F07" w:rsidP="00896F07">
            <w:pPr>
              <w:pStyle w:val="ListBullet"/>
            </w:pPr>
            <w:r w:rsidRPr="00896F07">
              <w:t>Rescue and release procedures - the rescue personnel from energised conductors, emergency descent from an EWP and may include rescue from confined spaces.</w:t>
            </w:r>
          </w:p>
          <w:p w:rsidR="00000000" w:rsidRPr="00896F07" w:rsidP="00896F07">
            <w:pPr>
              <w:pStyle w:val="ListBullet"/>
            </w:pPr>
            <w:r w:rsidRPr="00896F07">
              <w:t>Enter</w:t>
            </w:r>
            <w:r w:rsidRPr="00896F07">
              <w:t>prise requirements - safe access and Authorisation to Work procedures, use of mobile extendable equipment on or near energised HV conductors, emergency response procedures.</w:t>
            </w:r>
          </w:p>
          <w:p w:rsidR="00000000" w:rsidRPr="00896F07" w:rsidP="00896F07">
            <w:pPr>
              <w:pStyle w:val="ListBullet"/>
            </w:pPr>
            <w:r w:rsidRPr="00896F07">
              <w:t>Hazards associated with work in substations including earthing systems, transfer po</w:t>
            </w:r>
            <w:r w:rsidRPr="00896F07">
              <w:t>tentials, step and touch effects, electrostatic and electromagnetic induction, dangers of near approach to energised conductors.</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10" w:name="O_459041"/>
      <w:bookmarkEnd w:id="10"/>
      <w:r w:rsidRPr="00896F07">
        <w:t>Evidence Guide</w:t>
      </w:r>
    </w:p>
    <w:tbl>
      <w:tblPr>
        <w:tblW w:w="0" w:type="auto"/>
        <w:tblLayout w:type="fixed"/>
        <w:tblCellMar>
          <w:left w:w="62" w:type="dxa"/>
          <w:right w:w="62" w:type="dxa"/>
        </w:tblCellMar>
        <w:tblLook w:val="0000"/>
      </w:tblPr>
      <w:tblGrid>
        <w:gridCol w:w="8460"/>
      </w:tblGrid>
      <w:tr w:rsidTr="005759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EVIDENCE GUIDE</w:t>
            </w:r>
          </w:p>
        </w:tc>
      </w:tr>
      <w:tr w:rsidTr="005759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9)</w:t>
            </w:r>
            <w:r w:rsidRPr="00896F07">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896F07" w:rsidP="00896F07">
            <w:pPr>
              <w:pStyle w:val="BodyText"/>
            </w:pPr>
            <w:r w:rsidRPr="00896F07">
              <w:t>The Evidenc</w:t>
            </w:r>
            <w:r w:rsidRPr="00896F07">
              <w:t>e Guide forms an integral part of this Unit and shall be used in conjunction with all component parts of this unit and, performed in accordance with the Assessment Guidelines of this Training Package.</w:t>
            </w:r>
          </w:p>
        </w:tc>
      </w:tr>
    </w:tbl>
    <w:p w:rsidR="00000000" w:rsidRPr="00896F07" w:rsidP="00896F07">
      <w:pPr>
        <w:pStyle w:val="BodyText"/>
      </w:pPr>
    </w:p>
    <w:tbl>
      <w:tblPr>
        <w:tblW w:w="0" w:type="auto"/>
        <w:tblLayout w:type="fixed"/>
        <w:tblCellMar>
          <w:left w:w="62" w:type="dxa"/>
          <w:right w:w="62" w:type="dxa"/>
        </w:tblCellMar>
        <w:tblLook w:val="0000"/>
      </w:tblPr>
      <w:tblGrid>
        <w:gridCol w:w="1890"/>
        <w:gridCol w:w="6570"/>
      </w:tblGrid>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9.1)</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Longitudinal competency development approaches to assessment, such as Profiling, require data to be reliably gathered in a form that can be consistently interpreted over time. This approach is best utilised in Apprenticeship programs and reduces assessment</w:t>
            </w:r>
            <w:r w:rsidRPr="00896F0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96F07">
              <w:t>tency in a realistically simulated work environment. It is recognised that, in some circumstances, assessment in part or full can occur outside the workplace. However, it must be in accord with Industry and, Regulatory policy in this regard.</w:t>
            </w:r>
          </w:p>
          <w:p w:rsidR="00000000" w:rsidRPr="00896F07" w:rsidP="00896F07">
            <w:pPr>
              <w:pStyle w:val="BodyText"/>
            </w:pPr>
            <w:r w:rsidRPr="00896F07">
              <w:t>Methods chosen</w:t>
            </w:r>
            <w:r w:rsidRPr="00896F0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96F07">
              <w:t>equired and the critical nature of the competencies being assessed.</w:t>
            </w:r>
          </w:p>
          <w:p w:rsidR="00000000" w:rsidRPr="00896F07" w:rsidP="00896F07">
            <w:pPr>
              <w:pStyle w:val="BodyText"/>
            </w:pPr>
            <w:r w:rsidRPr="00896F07">
              <w:t>The critical safety nature of working with electricity, electrical equipment, gas or any other hazardous substance/material carries risk in deeming a person competent. Hence, sources of ev</w:t>
            </w:r>
            <w:r w:rsidRPr="00896F07">
              <w:t>idence need to be ‘rich’ in nature so as to minimise error in judgment.</w:t>
            </w:r>
          </w:p>
          <w:p w:rsidR="00000000" w:rsidRPr="00896F07" w:rsidP="00896F07">
            <w:pPr>
              <w:pStyle w:val="BodyText"/>
            </w:pPr>
            <w:r w:rsidRPr="00896F07">
              <w:t>Activities associated with normal every day work have a bearing on the decision as to how much and how detailed the data gathered will contribute to its ‘richness’. Some skills are mor</w:t>
            </w:r>
            <w:r w:rsidRPr="00896F07">
              <w:t>e critical to safety and operational requirements while the same skills may be more or less frequently practiced. These points are raised for the assessors to consider when choosing an assessment method and developing assessment instruments. Sample assessm</w:t>
            </w:r>
            <w:r w:rsidRPr="00896F07">
              <w:t>ent instruments are included for Assessors in the Assessment Guidelines of this Training Package.</w:t>
            </w:r>
          </w:p>
        </w:tc>
      </w:tr>
    </w:tbl>
    <w:p w:rsidR="00000000" w:rsidRPr="00896F07" w:rsidP="00896F0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9.2)</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Before the critical aspects of evidence are considered all prerequisi</w:t>
            </w:r>
            <w:r w:rsidRPr="00896F07">
              <w:t>tes shall be met.</w:t>
            </w:r>
          </w:p>
          <w:p w:rsidR="00000000" w:rsidRPr="00896F07" w:rsidP="00896F07">
            <w:pPr>
              <w:pStyle w:val="BodyText"/>
            </w:pPr>
            <w:r w:rsidRPr="00896F07">
              <w:t xml:space="preserve">Evidence for competence in this unit shall be considered holistically. Each element and associated Performance Criteria shall be demonstrated on at least two occasions in accordance with the “Assessment Guidelines – UET12”. Evidence </w:t>
            </w:r>
            <w:r w:rsidRPr="00896F07">
              <w:t>shall also comprise:</w:t>
            </w:r>
          </w:p>
          <w:p w:rsidR="00000000" w:rsidRPr="00896F07" w:rsidP="00896F07">
            <w:pPr>
              <w:pStyle w:val="ListBullet"/>
            </w:pPr>
            <w:r w:rsidRPr="00896F07">
              <w:t>A representative body of Performance Criteria demonstrated within the timeframes typically expected of the discipline, work function and industrial environment. In particular this shall incorporate evidence that shows a candidate is a</w:t>
            </w:r>
            <w:r w:rsidRPr="00896F07">
              <w:t>ble to:</w:t>
            </w:r>
          </w:p>
          <w:p w:rsidR="00000000" w:rsidRPr="00896F07" w:rsidP="00896F07">
            <w:pPr>
              <w:pStyle w:val="ListBullet2"/>
            </w:pPr>
            <w:r w:rsidRPr="00896F07">
              <w:t>Implement Occupational Health and Safety workplace procedures and practices including the use of risk control measures as specified in the Performance Criteria and range; and</w:t>
            </w:r>
          </w:p>
          <w:p w:rsidR="00000000" w:rsidRPr="00896F07" w:rsidP="00896F07">
            <w:pPr>
              <w:pStyle w:val="ListBullet2"/>
            </w:pPr>
            <w:r w:rsidRPr="00896F07">
              <w:t>Apply sustainable energy principles and practices as specified in the Pe</w:t>
            </w:r>
            <w:r w:rsidRPr="00896F07">
              <w:t>rformance Criteria and range; and</w:t>
            </w:r>
          </w:p>
          <w:p w:rsidR="00000000" w:rsidRPr="00896F07" w:rsidP="00896F07">
            <w:pPr>
              <w:pStyle w:val="ListBullet2"/>
            </w:pPr>
            <w:r w:rsidRPr="00896F07">
              <w:t>Demonstrate an understanding of the essential knowledge and associated skills as described in this unit to such an extent that the learner’s performance outcome is reported in accordance with the preferred approach; namely</w:t>
            </w:r>
            <w:r w:rsidRPr="00896F07">
              <w:t xml:space="preserve"> a percentile graded result, where required by the regulated environment; and</w:t>
            </w:r>
          </w:p>
          <w:p w:rsidR="00000000" w:rsidRPr="00896F07" w:rsidP="00896F07">
            <w:pPr>
              <w:pStyle w:val="ListBullet2"/>
            </w:pPr>
            <w:r w:rsidRPr="00896F07">
              <w:t>Demonstrate an appropriate level of employability skills; and</w:t>
            </w:r>
          </w:p>
          <w:p w:rsidR="00000000" w:rsidRPr="00896F07" w:rsidP="00896F07">
            <w:pPr>
              <w:pStyle w:val="ListBullet"/>
            </w:pPr>
            <w:r w:rsidRPr="00896F07">
              <w:t>Conduct work observing the relevant Anti Discrimination legislation, regulations, policies and workplace procedures</w:t>
            </w:r>
            <w:r w:rsidRPr="00896F07">
              <w:t>; and</w:t>
            </w:r>
          </w:p>
          <w:p w:rsidR="00000000" w:rsidP="00896F07">
            <w:pPr>
              <w:pStyle w:val="ListBullet2"/>
              <w:rPr>
                <w:lang w:val="en-NZ"/>
              </w:rPr>
            </w:pPr>
            <w:r w:rsidRPr="00896F07">
              <w:t>Demonstrated performance across a representative range of contexts from the prescribed items below:</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6F0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rPr>
                <w:rStyle w:val="SpecialBold"/>
              </w:rPr>
              <w:t>Range of tools/equipment/materials/procedures/workplaces/other variables</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6F0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rPr>
                <w:rStyle w:val="SpecialBold"/>
              </w:rPr>
              <w:t>Item List</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t>Transmission substation</w:t>
            </w:r>
          </w:p>
          <w:p w:rsidR="00000000" w:rsidRPr="00896F07" w:rsidP="00896F07">
            <w:pPr>
              <w:pStyle w:val="BodyText"/>
            </w:pPr>
            <w:r w:rsidRPr="00896F07">
              <w:t>Distribution substation</w:t>
            </w:r>
          </w:p>
          <w:p w:rsidR="00000000" w:rsidRPr="00896F07" w:rsidP="00896F07">
            <w:pPr>
              <w:pStyle w:val="BodyText"/>
            </w:pPr>
            <w:r w:rsidRPr="00896F07">
              <w:t>Traction substation</w:t>
            </w:r>
          </w:p>
          <w:p w:rsidR="00000000" w:rsidRPr="00896F07" w:rsidP="00896F07">
            <w:pPr>
              <w:pStyle w:val="BodyText"/>
            </w:pPr>
            <w:r w:rsidRPr="00896F07">
              <w:t>Zone substation</w:t>
            </w:r>
          </w:p>
          <w:p w:rsidR="00000000" w:rsidP="00896F07">
            <w:pPr>
              <w:pStyle w:val="BodyText"/>
              <w:rPr>
                <w:lang w:val="en-NZ"/>
              </w:rPr>
            </w:pPr>
            <w:r w:rsidRPr="00896F07">
              <w:t>Terminal switching stations</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t>Substation plant and equipment</w:t>
            </w:r>
          </w:p>
          <w:p w:rsidR="00000000" w:rsidRPr="00896F07" w:rsidP="00896F07">
            <w:pPr>
              <w:pStyle w:val="BodyText"/>
            </w:pPr>
            <w:r w:rsidRPr="00896F07">
              <w:t>Substation environmental systems</w:t>
            </w:r>
          </w:p>
          <w:p w:rsidR="00000000" w:rsidP="00896F07">
            <w:pPr>
              <w:pStyle w:val="BodyText"/>
              <w:rPr>
                <w:lang w:val="en-NZ"/>
              </w:rPr>
            </w:pPr>
            <w:r w:rsidRPr="00896F07">
              <w:t>Substation security systems</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At least ten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t>Circuit breakers</w:t>
            </w:r>
          </w:p>
          <w:p w:rsidR="00000000" w:rsidRPr="00896F07" w:rsidP="00896F07">
            <w:pPr>
              <w:pStyle w:val="BodyText"/>
            </w:pPr>
            <w:r w:rsidRPr="00896F07">
              <w:t>Transformers</w:t>
            </w:r>
          </w:p>
          <w:p w:rsidR="00000000" w:rsidRPr="00896F07" w:rsidP="00896F07">
            <w:pPr>
              <w:pStyle w:val="BodyText"/>
            </w:pPr>
            <w:r w:rsidRPr="00896F07">
              <w:t>Control systems</w:t>
            </w:r>
          </w:p>
          <w:p w:rsidR="00000000" w:rsidRPr="00896F07" w:rsidP="00896F07">
            <w:pPr>
              <w:pStyle w:val="BodyText"/>
            </w:pPr>
            <w:r w:rsidRPr="00896F07">
              <w:t>Operating mechanism cabinets</w:t>
            </w:r>
          </w:p>
          <w:p w:rsidR="00000000" w:rsidRPr="00896F07" w:rsidP="00896F07">
            <w:pPr>
              <w:pStyle w:val="BodyText"/>
            </w:pPr>
            <w:r w:rsidRPr="00896F07">
              <w:t>Voltage transformers</w:t>
            </w:r>
          </w:p>
          <w:p w:rsidR="00000000" w:rsidRPr="00896F07" w:rsidP="00896F07">
            <w:pPr>
              <w:pStyle w:val="BodyText"/>
            </w:pPr>
            <w:r w:rsidRPr="00896F07">
              <w:t>Current transformers</w:t>
            </w:r>
          </w:p>
          <w:p w:rsidR="00000000" w:rsidRPr="00896F07" w:rsidP="00896F07">
            <w:pPr>
              <w:pStyle w:val="BodyText"/>
            </w:pPr>
            <w:r w:rsidRPr="00896F07">
              <w:t>Surge arrestors</w:t>
            </w:r>
          </w:p>
          <w:p w:rsidR="00000000" w:rsidRPr="00896F07" w:rsidP="00896F07">
            <w:pPr>
              <w:pStyle w:val="BodyText"/>
            </w:pPr>
            <w:r w:rsidRPr="00896F07">
              <w:t>Capacitor banks</w:t>
            </w:r>
          </w:p>
          <w:p w:rsidR="00000000" w:rsidRPr="00896F07" w:rsidP="00896F07">
            <w:pPr>
              <w:pStyle w:val="BodyText"/>
            </w:pPr>
            <w:r w:rsidRPr="00896F07">
              <w:t>Static VAR compensator</w:t>
            </w:r>
          </w:p>
          <w:p w:rsidR="00000000" w:rsidRPr="00896F07" w:rsidP="00896F07">
            <w:pPr>
              <w:pStyle w:val="BodyText"/>
            </w:pPr>
            <w:r w:rsidRPr="00896F07">
              <w:t>Synchronous condenser</w:t>
            </w:r>
          </w:p>
          <w:p w:rsidR="00000000" w:rsidRPr="00896F07" w:rsidP="00896F07">
            <w:pPr>
              <w:pStyle w:val="BodyText"/>
            </w:pPr>
            <w:r w:rsidRPr="00896F07">
              <w:t>Harmonic filters</w:t>
            </w:r>
          </w:p>
          <w:p w:rsidR="00000000" w:rsidRPr="00896F07" w:rsidP="00896F07">
            <w:pPr>
              <w:pStyle w:val="BodyText"/>
            </w:pPr>
            <w:r w:rsidRPr="00896F07">
              <w:t>Rectifier transformers</w:t>
            </w:r>
          </w:p>
          <w:p w:rsidR="00000000" w:rsidRPr="00896F07" w:rsidP="00896F07">
            <w:pPr>
              <w:pStyle w:val="BodyText"/>
            </w:pPr>
            <w:r w:rsidRPr="00896F07">
              <w:t>Rectifiers</w:t>
            </w:r>
          </w:p>
          <w:p w:rsidR="00000000" w:rsidRPr="00896F07" w:rsidP="00896F07">
            <w:pPr>
              <w:pStyle w:val="BodyText"/>
            </w:pPr>
            <w:r w:rsidRPr="00896F07">
              <w:t>Invertors</w:t>
            </w:r>
          </w:p>
          <w:p w:rsidR="00000000" w:rsidRPr="00896F07" w:rsidP="00896F07">
            <w:pPr>
              <w:pStyle w:val="BodyText"/>
            </w:pPr>
            <w:r w:rsidRPr="00896F07">
              <w:t>Negative reactors</w:t>
            </w:r>
          </w:p>
          <w:p w:rsidR="00000000" w:rsidRPr="00896F07" w:rsidP="00896F07">
            <w:pPr>
              <w:pStyle w:val="BodyText"/>
            </w:pPr>
            <w:r w:rsidRPr="00896F07">
              <w:t>Energy dissipation resistors</w:t>
            </w:r>
          </w:p>
          <w:p w:rsidR="00000000" w:rsidRPr="00896F07" w:rsidP="00896F07">
            <w:pPr>
              <w:pStyle w:val="BodyText"/>
            </w:pPr>
            <w:r w:rsidRPr="00896F07">
              <w:t>Disconnectors/isolators</w:t>
            </w:r>
          </w:p>
          <w:p w:rsidR="00000000" w:rsidRPr="00896F07" w:rsidP="00896F07">
            <w:pPr>
              <w:pStyle w:val="BodyText"/>
            </w:pPr>
            <w:r w:rsidRPr="00896F07">
              <w:t>Earth switches</w:t>
            </w:r>
          </w:p>
          <w:p w:rsidR="00000000" w:rsidRPr="00896F07" w:rsidP="00896F07">
            <w:pPr>
              <w:pStyle w:val="BodyText"/>
            </w:pPr>
            <w:r w:rsidRPr="00896F07">
              <w:t>Fault throwing switches</w:t>
            </w:r>
          </w:p>
          <w:p w:rsidR="00000000" w:rsidRPr="00896F07" w:rsidP="00896F07">
            <w:pPr>
              <w:pStyle w:val="BodyText"/>
            </w:pPr>
            <w:r w:rsidRPr="00896F07">
              <w:t>Sectiona</w:t>
            </w:r>
            <w:r w:rsidRPr="00896F07">
              <w:t>lisers</w:t>
            </w:r>
          </w:p>
          <w:p w:rsidR="00000000" w:rsidRPr="00896F07" w:rsidP="00896F07">
            <w:pPr>
              <w:pStyle w:val="BodyText"/>
            </w:pPr>
            <w:r w:rsidRPr="00896F07">
              <w:t>Ac and dc supply systems</w:t>
            </w:r>
          </w:p>
          <w:p w:rsidR="00000000" w:rsidRPr="00896F07" w:rsidP="00896F07">
            <w:pPr>
              <w:pStyle w:val="BodyText"/>
            </w:pPr>
            <w:r w:rsidRPr="00896F07">
              <w:t>Control room environs</w:t>
            </w:r>
          </w:p>
          <w:p w:rsidR="00000000" w:rsidRPr="00896F07" w:rsidP="00896F07">
            <w:pPr>
              <w:pStyle w:val="BodyText"/>
            </w:pPr>
            <w:r w:rsidRPr="00896F07">
              <w:t>Batteries</w:t>
            </w:r>
          </w:p>
          <w:p w:rsidR="00000000" w:rsidRPr="00896F07" w:rsidP="00896F07">
            <w:pPr>
              <w:pStyle w:val="BodyText"/>
            </w:pPr>
            <w:r w:rsidRPr="00896F07">
              <w:t>Chargers</w:t>
            </w:r>
          </w:p>
          <w:p w:rsidR="00000000" w:rsidRPr="00896F07" w:rsidP="00896F07">
            <w:pPr>
              <w:pStyle w:val="BodyText"/>
            </w:pPr>
            <w:r w:rsidRPr="00896F07">
              <w:t>Proving de-energised equipment</w:t>
            </w:r>
          </w:p>
          <w:p w:rsidR="00000000" w:rsidRPr="00896F07" w:rsidP="00896F07">
            <w:pPr>
              <w:pStyle w:val="BodyText"/>
            </w:pPr>
            <w:r w:rsidRPr="00896F07">
              <w:t>Fire systems equipment</w:t>
            </w:r>
          </w:p>
          <w:p w:rsidR="00000000" w:rsidP="00896F07">
            <w:pPr>
              <w:pStyle w:val="BodyText"/>
              <w:rPr>
                <w:lang w:val="en-NZ"/>
              </w:rPr>
            </w:pPr>
            <w:r w:rsidRPr="00896F07">
              <w:t>Oil spill equipment</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07">
            <w:pPr>
              <w:pStyle w:val="BodyText"/>
              <w:rPr>
                <w:lang w:val="en-NZ"/>
              </w:rPr>
            </w:pPr>
            <w:r w:rsidRPr="00896F0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07" w:rsidP="00896F07">
            <w:pPr>
              <w:pStyle w:val="BodyText"/>
            </w:pPr>
            <w:r w:rsidRPr="00896F07">
              <w:t>Dealing with an unplanned event by drawing on essential knowledge and associat</w:t>
            </w:r>
            <w:r w:rsidRPr="00896F07">
              <w:t>ed skills to provide appropriate solutions incorporated in the holistic assessment with the above listed items.</w:t>
            </w:r>
          </w:p>
        </w:tc>
      </w:tr>
    </w:tbl>
    <w:p w:rsidR="00000000" w:rsidRPr="00896F07" w:rsidP="00896F07">
      <w:pPr>
        <w:pStyle w:val="BodyText"/>
      </w:pPr>
    </w:p>
    <w:tbl>
      <w:tblPr>
        <w:tblW w:w="0" w:type="auto"/>
        <w:tblLayout w:type="fixed"/>
        <w:tblCellMar>
          <w:left w:w="62" w:type="dxa"/>
          <w:right w:w="62" w:type="dxa"/>
        </w:tblCellMar>
        <w:tblLook w:val="0000"/>
      </w:tblPr>
      <w:tblGrid>
        <w:gridCol w:w="1890"/>
        <w:gridCol w:w="6570"/>
      </w:tblGrid>
      <w:tr w:rsidTr="0057598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9.3)</w:t>
            </w:r>
          </w:p>
        </w:tc>
      </w:tr>
      <w:tr w:rsidTr="0057598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This unit should be assessed as it relates to normal work practice using pr</w:t>
            </w:r>
            <w:r w:rsidRPr="00896F07">
              <w:t>ocedures, information and resources typical of a workplace. This should include:</w:t>
            </w:r>
          </w:p>
          <w:p w:rsidR="00000000" w:rsidRPr="00896F07" w:rsidP="00896F07">
            <w:pPr>
              <w:pStyle w:val="ListBullet"/>
            </w:pPr>
            <w:r w:rsidRPr="00896F07">
              <w:t>OHS policy and work procedures and instructions.</w:t>
            </w:r>
          </w:p>
          <w:p w:rsidR="00000000" w:rsidRPr="00896F07" w:rsidP="00896F07">
            <w:pPr>
              <w:pStyle w:val="ListBullet"/>
            </w:pPr>
            <w:r w:rsidRPr="00896F07">
              <w:t>Suitable work environment, facilities, equipment and materials to undertake actual inspection of plant, equipment and auxilia</w:t>
            </w:r>
            <w:r w:rsidRPr="00896F07">
              <w:t>ries contained in and around substations.</w:t>
            </w:r>
          </w:p>
          <w:p w:rsidR="00000000" w:rsidRPr="00896F07" w:rsidP="00896F07">
            <w:pPr>
              <w:pStyle w:val="BodyText"/>
            </w:pPr>
            <w:r w:rsidRPr="00896F07">
              <w:t>In addition to the resources listed above, in Context of and specific resources for assessment, evidence should show demonstrated competency working:</w:t>
            </w:r>
          </w:p>
          <w:p w:rsidR="00000000" w:rsidRPr="00896F07" w:rsidP="00896F07">
            <w:pPr>
              <w:pStyle w:val="BodyText"/>
            </w:pPr>
            <w:r w:rsidRPr="00896F07">
              <w:t>At realistic heights above ground i.e. above 3 metres, in limite</w:t>
            </w:r>
            <w:r w:rsidRPr="00896F07">
              <w:t>d spaces, with different structural/construction types and method and in a variety of environments.</w:t>
            </w:r>
          </w:p>
        </w:tc>
      </w:tr>
    </w:tbl>
    <w:p w:rsidR="00000000" w:rsidRPr="00896F07" w:rsidP="00896F07">
      <w:pPr>
        <w:pStyle w:val="BodyText"/>
      </w:pPr>
    </w:p>
    <w:tbl>
      <w:tblPr>
        <w:tblW w:w="0" w:type="auto"/>
        <w:tblLayout w:type="fixed"/>
        <w:tblCellMar>
          <w:left w:w="62" w:type="dxa"/>
          <w:right w:w="62" w:type="dxa"/>
        </w:tblCellMar>
        <w:tblLook w:val="0000"/>
      </w:tblPr>
      <w:tblGrid>
        <w:gridCol w:w="1890"/>
        <w:gridCol w:w="6570"/>
      </w:tblGrid>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9.4)</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This Competency Standard Unit shall be assessed by methods given in Volume 1, Part 3 “Assessment Guidelines”.</w:t>
            </w:r>
          </w:p>
          <w:p w:rsidR="00000000" w:rsidRPr="00896F07" w:rsidP="00896F07">
            <w:pPr>
              <w:pStyle w:val="BodyText"/>
            </w:pPr>
            <w:r w:rsidRPr="00896F07">
              <w:t>Note:</w:t>
            </w:r>
          </w:p>
          <w:p w:rsidR="00000000" w:rsidRPr="00896F07" w:rsidP="00896F07">
            <w:pPr>
              <w:pStyle w:val="BodyText"/>
            </w:pPr>
            <w:r w:rsidRPr="00896F07">
              <w:t>Competent performance with inherent safe working practices is expected in the Transmission, Distribution and Rail Traction Industry. This requires that the specified essential knowledge and associated skills are assessed in a structured environment which i</w:t>
            </w:r>
            <w:r w:rsidRPr="00896F07">
              <w:t>s primarily intended for learning/assessment and incorporates all necessary equipment and facilities for learners to develop and demonstrate the essential knowledge and associated skills described in this unit.</w:t>
            </w:r>
          </w:p>
        </w:tc>
      </w:tr>
    </w:tbl>
    <w:p w:rsidR="00000000" w:rsidRPr="00896F07" w:rsidP="00896F07">
      <w:pPr>
        <w:pStyle w:val="BodyText"/>
      </w:pPr>
    </w:p>
    <w:tbl>
      <w:tblPr>
        <w:tblW w:w="0" w:type="auto"/>
        <w:tblLayout w:type="fixed"/>
        <w:tblCellMar>
          <w:left w:w="62" w:type="dxa"/>
          <w:right w:w="62" w:type="dxa"/>
        </w:tblCellMar>
        <w:tblLook w:val="0000"/>
      </w:tblPr>
      <w:tblGrid>
        <w:gridCol w:w="1890"/>
        <w:gridCol w:w="6570"/>
      </w:tblGrid>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Concurrent assessment and relationship with</w:t>
            </w:r>
            <w:r w:rsidRPr="00896F07">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9.5)</w:t>
            </w:r>
          </w:p>
        </w:tc>
      </w:tr>
      <w:tr w:rsidTr="005759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There are no concurrent assessment recommendations for this unit.</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11" w:name="O_459045"/>
      <w:bookmarkEnd w:id="11"/>
      <w:r w:rsidRPr="00896F07">
        <w:t>Range Statement</w:t>
      </w:r>
    </w:p>
    <w:tbl>
      <w:tblPr>
        <w:tblW w:w="0" w:type="auto"/>
        <w:tblLayout w:type="fixed"/>
        <w:tblCellMar>
          <w:left w:w="62" w:type="dxa"/>
          <w:right w:w="62" w:type="dxa"/>
        </w:tblCellMar>
        <w:tblLook w:val="0000"/>
      </w:tblPr>
      <w:tblGrid>
        <w:gridCol w:w="8460"/>
      </w:tblGrid>
      <w:tr w:rsidTr="005759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RANGE STATEMENT</w:t>
            </w:r>
          </w:p>
        </w:tc>
      </w:tr>
      <w:tr w:rsidTr="005759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10)</w:t>
            </w:r>
            <w:r w:rsidRPr="00896F07">
              <w:t xml:space="preserve"> This relates to the competency standard unit as a whole providing the range of contexts and </w:t>
            </w:r>
            <w:r w:rsidRPr="00896F07">
              <w:t>conditions to which the Performance Criteria apply. It allows for different work environments and situations that will affect performance.</w:t>
            </w:r>
          </w:p>
          <w:p w:rsidR="00000000" w:rsidRPr="00896F07" w:rsidP="00896F07">
            <w:pPr>
              <w:pStyle w:val="BodyText"/>
            </w:pPr>
            <w:r w:rsidRPr="00896F07">
              <w:t>This Competency Standard Unit shall be demonstrated in relation to the inspection of plant, equipment and auxiliaries</w:t>
            </w:r>
            <w:r w:rsidRPr="00896F07">
              <w:t xml:space="preserve"> contained in and around substations including the associated environmental protection and substation security and safety systems. </w:t>
            </w:r>
          </w:p>
          <w:p w:rsidR="00000000" w:rsidRPr="00896F07" w:rsidP="00896F07">
            <w:pPr>
              <w:pStyle w:val="BodyText"/>
            </w:pPr>
            <w:r w:rsidRPr="00896F07">
              <w:t>Checks and measurements include, where appropriate, operation counters, oil in water levels, consumable material consumption</w:t>
            </w:r>
            <w:r w:rsidRPr="00896F07">
              <w:t>, oil containment levels, gas quantities, equipment inspection and condition assessment, lighting and supply conditions.</w:t>
            </w:r>
          </w:p>
          <w:p w:rsidR="00000000" w:rsidRPr="00896F07" w:rsidP="00896F07">
            <w:pPr>
              <w:pStyle w:val="BodyText"/>
            </w:pPr>
            <w:r w:rsidRPr="00896F07">
              <w:t>Security systems include un-authorised access systems (including perimeter wall or fencing and access gates) and alarms systems.</w:t>
            </w:r>
          </w:p>
          <w:p w:rsidR="00000000" w:rsidRPr="00896F07" w:rsidP="00896F07">
            <w:pPr>
              <w:pStyle w:val="BodyText"/>
            </w:pPr>
            <w:r w:rsidRPr="00896F07">
              <w:t>Safety</w:t>
            </w:r>
            <w:r w:rsidRPr="00896F07">
              <w:t xml:space="preserve"> systems include general substation housekeeping and fire systems.</w:t>
            </w:r>
          </w:p>
          <w:p w:rsidR="00000000" w:rsidRPr="00896F07" w:rsidP="00896F07">
            <w:pPr>
              <w:pStyle w:val="BodyText"/>
            </w:pPr>
            <w:r w:rsidRPr="00896F07">
              <w:t xml:space="preserve">The following constants and variables included in the element/Performance Criteria in this unit are fully described in the Definitions Section 1 of this volume and form an integral part of </w:t>
            </w:r>
            <w:r w:rsidRPr="00896F07">
              <w:t>the Range Statement of this unit:</w:t>
            </w:r>
          </w:p>
          <w:p w:rsidR="00000000" w:rsidRPr="00896F07" w:rsidP="00896F07">
            <w:pPr>
              <w:pStyle w:val="ListBullet3"/>
            </w:pPr>
            <w:r w:rsidRPr="00896F07">
              <w:t>AC and DC supply systems</w:t>
            </w:r>
          </w:p>
          <w:p w:rsidR="00000000" w:rsidRPr="00896F07" w:rsidP="00896F07">
            <w:pPr>
              <w:pStyle w:val="ListBullet3"/>
            </w:pPr>
            <w:r w:rsidRPr="00896F07">
              <w:t>Appropriate and relevant persons (see Personnel)</w:t>
            </w:r>
          </w:p>
          <w:p w:rsidR="00000000" w:rsidRPr="00896F07" w:rsidP="00896F07">
            <w:pPr>
              <w:pStyle w:val="ListBullet3"/>
            </w:pPr>
            <w:r w:rsidRPr="00896F07">
              <w:t>Appropriate authorities</w:t>
            </w:r>
          </w:p>
          <w:p w:rsidR="00000000" w:rsidRPr="00896F07" w:rsidP="00896F07">
            <w:pPr>
              <w:pStyle w:val="ListBullet3"/>
            </w:pPr>
            <w:r w:rsidRPr="00896F07">
              <w:t>Appropriate work platform</w:t>
            </w:r>
          </w:p>
          <w:p w:rsidR="00000000" w:rsidRPr="00896F07" w:rsidP="00896F07">
            <w:pPr>
              <w:pStyle w:val="ListBullet3"/>
            </w:pPr>
            <w:r w:rsidRPr="00896F07">
              <w:t>Assessing risk</w:t>
            </w:r>
          </w:p>
          <w:p w:rsidR="00000000" w:rsidRPr="00896F07" w:rsidP="00896F07">
            <w:pPr>
              <w:pStyle w:val="ListBullet3"/>
            </w:pPr>
            <w:r w:rsidRPr="00896F07">
              <w:t>Assessment</w:t>
            </w:r>
          </w:p>
          <w:p w:rsidR="00000000" w:rsidRPr="00896F07" w:rsidP="00896F07">
            <w:pPr>
              <w:pStyle w:val="ListBullet3"/>
            </w:pPr>
            <w:r w:rsidRPr="00896F07">
              <w:t>Authorisation</w:t>
            </w:r>
          </w:p>
          <w:p w:rsidR="00000000" w:rsidRPr="00896F07" w:rsidP="00896F07">
            <w:pPr>
              <w:pStyle w:val="ListBullet3"/>
            </w:pPr>
            <w:r w:rsidRPr="00896F07">
              <w:t>Confined space</w:t>
            </w:r>
          </w:p>
          <w:p w:rsidR="00000000" w:rsidRPr="00896F07" w:rsidP="00896F07">
            <w:pPr>
              <w:pStyle w:val="ListBullet3"/>
            </w:pPr>
            <w:r w:rsidRPr="00896F07">
              <w:t>Diagnostic, testing and restoration</w:t>
            </w:r>
          </w:p>
          <w:p w:rsidR="00000000" w:rsidRPr="00896F07" w:rsidP="00896F07">
            <w:pPr>
              <w:pStyle w:val="ListBullet3"/>
            </w:pPr>
            <w:r w:rsidRPr="00896F07">
              <w:t>Documenting detail work events, record keeping and or storage of information</w:t>
            </w:r>
          </w:p>
          <w:p w:rsidR="00000000" w:rsidRPr="00896F07" w:rsidP="00896F07">
            <w:pPr>
              <w:pStyle w:val="ListBullet3"/>
            </w:pPr>
            <w:r w:rsidRPr="00896F07">
              <w:t>Drawings and specifications</w:t>
            </w:r>
          </w:p>
          <w:p w:rsidR="00000000" w:rsidRPr="00896F07" w:rsidP="00896F07">
            <w:pPr>
              <w:pStyle w:val="ListBullet3"/>
            </w:pPr>
            <w:r w:rsidRPr="00896F07">
              <w:t>Emergency</w:t>
            </w:r>
          </w:p>
          <w:p w:rsidR="00000000" w:rsidRPr="00896F07" w:rsidP="00896F07">
            <w:pPr>
              <w:pStyle w:val="ListBullet3"/>
            </w:pPr>
            <w:r w:rsidRPr="00896F07">
              <w:t>Environmental and sustainable energy procedures</w:t>
            </w:r>
          </w:p>
          <w:p w:rsidR="00000000" w:rsidRPr="00896F07" w:rsidP="00896F07">
            <w:pPr>
              <w:pStyle w:val="ListBullet3"/>
            </w:pPr>
            <w:r w:rsidRPr="00896F07">
              <w:t>Environmental legislation</w:t>
            </w:r>
          </w:p>
          <w:p w:rsidR="00000000" w:rsidRPr="00896F07" w:rsidP="00896F07">
            <w:pPr>
              <w:pStyle w:val="ListBullet3"/>
            </w:pPr>
            <w:r w:rsidRPr="00896F07">
              <w:t>Environmental management documentation</w:t>
            </w:r>
          </w:p>
          <w:p w:rsidR="00000000" w:rsidRPr="00896F07" w:rsidP="00896F07">
            <w:pPr>
              <w:pStyle w:val="ListBullet3"/>
            </w:pPr>
            <w:r w:rsidRPr="00896F07">
              <w:t>Established procedures</w:t>
            </w:r>
          </w:p>
          <w:p w:rsidR="00000000" w:rsidRPr="00896F07" w:rsidP="00896F07">
            <w:pPr>
              <w:pStyle w:val="ListBullet3"/>
            </w:pPr>
            <w:r w:rsidRPr="00896F07">
              <w:t xml:space="preserve">Fall </w:t>
            </w:r>
            <w:r w:rsidRPr="00896F07">
              <w:t>prevention</w:t>
            </w:r>
          </w:p>
          <w:p w:rsidR="00000000" w:rsidRPr="00896F07" w:rsidP="00896F07">
            <w:pPr>
              <w:pStyle w:val="ListBullet3"/>
            </w:pPr>
            <w:r w:rsidRPr="00896F07">
              <w:t>Hazards</w:t>
            </w:r>
          </w:p>
          <w:p w:rsidR="00000000" w:rsidRPr="00896F07" w:rsidP="00896F07">
            <w:pPr>
              <w:pStyle w:val="ListBullet3"/>
            </w:pPr>
            <w:r w:rsidRPr="00896F07">
              <w:t>Identifying hazards</w:t>
            </w:r>
          </w:p>
          <w:p w:rsidR="00000000" w:rsidRPr="00896F07" w:rsidP="00896F07">
            <w:pPr>
              <w:pStyle w:val="ListBullet3"/>
            </w:pPr>
            <w:r w:rsidRPr="00896F07">
              <w:t>Inspect</w:t>
            </w:r>
          </w:p>
          <w:p w:rsidR="00000000" w:rsidRPr="00896F07" w:rsidP="00896F07">
            <w:pPr>
              <w:pStyle w:val="ListBullet3"/>
            </w:pPr>
            <w:r w:rsidRPr="00896F07">
              <w:t>Legislation</w:t>
            </w:r>
          </w:p>
          <w:p w:rsidR="00000000" w:rsidRPr="00896F07" w:rsidP="00896F07">
            <w:pPr>
              <w:pStyle w:val="ListBullet3"/>
            </w:pPr>
            <w:r w:rsidRPr="00896F07">
              <w:t>MSDS</w:t>
            </w:r>
          </w:p>
          <w:p w:rsidR="00000000" w:rsidRPr="00896F07" w:rsidP="00896F07">
            <w:pPr>
              <w:pStyle w:val="ListBullet3"/>
            </w:pPr>
            <w:r w:rsidRPr="00896F07">
              <w:t>Notification</w:t>
            </w:r>
          </w:p>
          <w:p w:rsidR="00000000" w:rsidRPr="00896F07" w:rsidP="00896F07">
            <w:pPr>
              <w:pStyle w:val="ListBullet3"/>
            </w:pPr>
            <w:r w:rsidRPr="00896F07">
              <w:t>OHS practices</w:t>
            </w:r>
          </w:p>
          <w:p w:rsidR="00000000" w:rsidRPr="00896F07" w:rsidP="00896F07">
            <w:pPr>
              <w:pStyle w:val="ListBullet3"/>
            </w:pPr>
            <w:r w:rsidRPr="00896F07">
              <w:t>OHS issues</w:t>
            </w:r>
          </w:p>
          <w:p w:rsidR="00000000" w:rsidRPr="00896F07" w:rsidP="00896F07">
            <w:pPr>
              <w:pStyle w:val="ListBullet3"/>
            </w:pPr>
            <w:r w:rsidRPr="00896F07">
              <w:t>Permits and/or permits to work</w:t>
            </w:r>
          </w:p>
          <w:p w:rsidR="00000000" w:rsidRPr="00896F07" w:rsidP="00896F07">
            <w:pPr>
              <w:pStyle w:val="ListBullet3"/>
            </w:pPr>
            <w:r w:rsidRPr="00896F07">
              <w:t>Personnel</w:t>
            </w:r>
          </w:p>
          <w:p w:rsidR="00000000" w:rsidRPr="00896F07" w:rsidP="00896F07">
            <w:pPr>
              <w:pStyle w:val="ListBullet3"/>
            </w:pPr>
            <w:r w:rsidRPr="00896F07">
              <w:t>Quality assurance systems</w:t>
            </w:r>
          </w:p>
          <w:p w:rsidR="00000000" w:rsidRPr="00896F07" w:rsidP="00896F07">
            <w:pPr>
              <w:pStyle w:val="ListBullet3"/>
            </w:pPr>
            <w:r w:rsidRPr="00896F07">
              <w:t>Requirements</w:t>
            </w:r>
          </w:p>
          <w:p w:rsidR="00000000" w:rsidRPr="00896F07" w:rsidP="00896F07">
            <w:pPr>
              <w:pStyle w:val="ListBullet3"/>
            </w:pPr>
            <w:r w:rsidRPr="00896F07">
              <w:t>Testing procedures</w:t>
            </w:r>
          </w:p>
          <w:p w:rsidR="00000000" w:rsidRPr="00896F07" w:rsidP="00896F07">
            <w:pPr>
              <w:pStyle w:val="ListBullet3"/>
            </w:pPr>
            <w:r w:rsidRPr="00896F07">
              <w:t>Work clearance systems</w:t>
            </w:r>
          </w:p>
        </w:tc>
      </w:tr>
    </w:tbl>
    <w:p w:rsidR="00000000" w:rsidRPr="00896F07" w:rsidP="00896F07">
      <w:pPr>
        <w:pStyle w:val="BodyText"/>
      </w:pPr>
    </w:p>
    <w:p w:rsidR="00000000" w:rsidRPr="00896F07" w:rsidP="00896F07">
      <w:pPr>
        <w:pStyle w:val="AllowPageBreak"/>
      </w:pPr>
    </w:p>
    <w:p w:rsidR="00000000" w:rsidRPr="00896F07" w:rsidP="00896F07">
      <w:pPr>
        <w:pStyle w:val="Heading1"/>
      </w:pPr>
      <w:bookmarkStart w:id="12" w:name="O_459048"/>
      <w:bookmarkEnd w:id="12"/>
      <w:r w:rsidRPr="00896F07">
        <w:t>Unit Sector(s)</w:t>
      </w:r>
    </w:p>
    <w:p w:rsidR="00000000" w:rsidRPr="00896F07" w:rsidP="00896F07">
      <w:pPr>
        <w:pStyle w:val="BodyText"/>
      </w:pPr>
      <w:r w:rsidRPr="00896F07">
        <w:t>Not applicable.</w:t>
      </w:r>
    </w:p>
    <w:p w:rsidR="00000000" w:rsidRPr="00896F07" w:rsidP="00896F07">
      <w:pPr>
        <w:pStyle w:val="AllowPageBreak"/>
      </w:pPr>
    </w:p>
    <w:p w:rsidR="00000000" w:rsidRPr="00896F07" w:rsidP="00896F07">
      <w:pPr>
        <w:pStyle w:val="Heading1"/>
      </w:pPr>
      <w:bookmarkStart w:id="13" w:name="O_459037"/>
      <w:bookmarkEnd w:id="13"/>
      <w:r w:rsidRPr="00896F07">
        <w:t>Competency Field</w:t>
      </w:r>
    </w:p>
    <w:tbl>
      <w:tblPr>
        <w:tblW w:w="0" w:type="auto"/>
        <w:tblLayout w:type="fixed"/>
        <w:tblCellMar>
          <w:left w:w="62" w:type="dxa"/>
          <w:right w:w="62" w:type="dxa"/>
        </w:tblCellMar>
        <w:tblLook w:val="0000"/>
      </w:tblPr>
      <w:tblGrid>
        <w:gridCol w:w="2700"/>
        <w:gridCol w:w="5760"/>
      </w:tblGrid>
      <w:tr w:rsidTr="005759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6F07">
            <w:pPr>
              <w:pStyle w:val="BodyText"/>
              <w:rPr>
                <w:lang w:val="en-NZ"/>
              </w:rPr>
            </w:pPr>
            <w:r w:rsidRPr="00896F07">
              <w:rPr>
                <w:rStyle w:val="SpecialBold"/>
              </w:rPr>
              <w:t xml:space="preserve">11) </w:t>
            </w:r>
          </w:p>
        </w:tc>
      </w:tr>
      <w:tr w:rsidTr="005759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F07" w:rsidP="00896F07">
            <w:pPr>
              <w:pStyle w:val="BodyText"/>
            </w:pPr>
            <w:r w:rsidRPr="00896F07">
              <w:t>Substation Units</w:t>
            </w:r>
          </w:p>
        </w:tc>
      </w:tr>
    </w:tbl>
    <w:p w:rsidR="00000000" w:rsidRPr="00896F07" w:rsidP="00896F07">
      <w:pPr>
        <w:pStyle w:val="BodyText"/>
      </w:pPr>
    </w:p>
    <w:p w:rsidR="00000000" w:rsidRPr="00896F07" w:rsidP="00896F07"/>
    <w:sectPr w:rsidSect="00896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988" w:rsidP="00575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88" w:rsidP="00896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5988" w:rsidP="00896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75988" w:rsidP="00896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988" w:rsidP="005759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88" w:rsidP="00896F07">
    <w:pPr>
      <w:pStyle w:val="Header"/>
      <w:framePr w:wrap="around"/>
    </w:pPr>
    <w:r>
      <w:fldChar w:fldCharType="begin"/>
    </w:r>
    <w:r>
      <w:instrText xml:space="preserve"> TITLE   \* MERGEFORMAT </w:instrText>
    </w:r>
    <w:r>
      <w:fldChar w:fldCharType="separate"/>
    </w:r>
    <w:r>
      <w:t>UETTDRSB22A Carry out power systems substation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5988" w:rsidP="00896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AD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23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E7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F07"/>
    <w:pPr>
      <w:spacing w:before="360" w:after="60"/>
      <w:outlineLvl w:val="0"/>
    </w:pPr>
    <w:rPr>
      <w:sz w:val="32"/>
    </w:rPr>
  </w:style>
  <w:style w:type="paragraph" w:styleId="Heading2">
    <w:name w:val="heading 2"/>
    <w:basedOn w:val="HeadingBase"/>
    <w:next w:val="BodyText"/>
    <w:link w:val="Heading2Char"/>
    <w:qFormat/>
    <w:rsid w:val="00896F07"/>
    <w:pPr>
      <w:keepLines/>
      <w:spacing w:before="240" w:after="120"/>
      <w:outlineLvl w:val="1"/>
    </w:pPr>
    <w:rPr>
      <w:sz w:val="28"/>
      <w:szCs w:val="40"/>
    </w:rPr>
  </w:style>
  <w:style w:type="paragraph" w:styleId="Heading3">
    <w:name w:val="heading 3"/>
    <w:basedOn w:val="HeadingBase"/>
    <w:next w:val="BodyText"/>
    <w:link w:val="Heading3Char"/>
    <w:qFormat/>
    <w:rsid w:val="00896F07"/>
    <w:pPr>
      <w:spacing w:before="180" w:after="120"/>
      <w:outlineLvl w:val="2"/>
    </w:pPr>
    <w:rPr>
      <w:spacing w:val="-10"/>
      <w:kern w:val="32"/>
    </w:rPr>
  </w:style>
  <w:style w:type="paragraph" w:styleId="Heading4">
    <w:name w:val="heading 4"/>
    <w:basedOn w:val="HeadingBase"/>
    <w:next w:val="BodyText"/>
    <w:link w:val="Heading4Char"/>
    <w:qFormat/>
    <w:rsid w:val="00896F07"/>
    <w:pPr>
      <w:spacing w:before="160" w:after="120"/>
      <w:outlineLvl w:val="3"/>
    </w:pPr>
    <w:rPr>
      <w:sz w:val="22"/>
    </w:rPr>
  </w:style>
  <w:style w:type="paragraph" w:styleId="Heading5">
    <w:name w:val="heading 5"/>
    <w:basedOn w:val="HeadingBase"/>
    <w:next w:val="Normal"/>
    <w:link w:val="Heading5Char"/>
    <w:qFormat/>
    <w:rsid w:val="00896F07"/>
    <w:pPr>
      <w:spacing w:before="80"/>
      <w:outlineLvl w:val="4"/>
    </w:pPr>
    <w:rPr>
      <w:color w:val="918585"/>
      <w:sz w:val="20"/>
    </w:rPr>
  </w:style>
  <w:style w:type="paragraph" w:styleId="Heading6">
    <w:name w:val="heading 6"/>
    <w:basedOn w:val="HeadingBase"/>
    <w:next w:val="Normal"/>
    <w:link w:val="Heading6Char"/>
    <w:qFormat/>
    <w:rsid w:val="00896F07"/>
    <w:pPr>
      <w:spacing w:before="60"/>
      <w:outlineLvl w:val="5"/>
    </w:pPr>
    <w:rPr>
      <w:color w:val="918585"/>
      <w:sz w:val="20"/>
    </w:rPr>
  </w:style>
  <w:style w:type="paragraph" w:styleId="Heading7">
    <w:name w:val="heading 7"/>
    <w:basedOn w:val="Normal"/>
    <w:next w:val="Normal"/>
    <w:link w:val="Heading7Char"/>
    <w:qFormat/>
    <w:rsid w:val="00896F07"/>
    <w:pPr>
      <w:ind w:left="720"/>
      <w:outlineLvl w:val="6"/>
    </w:pPr>
    <w:rPr>
      <w:i/>
    </w:rPr>
  </w:style>
  <w:style w:type="paragraph" w:styleId="Heading8">
    <w:name w:val="heading 8"/>
    <w:basedOn w:val="Normal"/>
    <w:next w:val="Normal"/>
    <w:link w:val="Heading8Char"/>
    <w:qFormat/>
    <w:rsid w:val="00896F07"/>
    <w:pPr>
      <w:ind w:left="720"/>
      <w:outlineLvl w:val="7"/>
    </w:pPr>
    <w:rPr>
      <w:i/>
    </w:rPr>
  </w:style>
  <w:style w:type="paragraph" w:styleId="Heading9">
    <w:name w:val="heading 9"/>
    <w:basedOn w:val="Normal"/>
    <w:next w:val="Normal"/>
    <w:link w:val="Heading9Char"/>
    <w:qFormat/>
    <w:rsid w:val="00896F07"/>
    <w:pPr>
      <w:ind w:left="720"/>
      <w:outlineLvl w:val="8"/>
    </w:pPr>
    <w:rPr>
      <w:i/>
    </w:rPr>
  </w:style>
  <w:style w:type="character" w:default="1" w:styleId="DefaultParagraphFont">
    <w:name w:val="Default Paragraph Font"/>
    <w:uiPriority w:val="1"/>
    <w:unhideWhenUsed/>
    <w:rsid w:val="00896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F07"/>
  </w:style>
  <w:style w:type="character" w:customStyle="1" w:styleId="Heading1Char">
    <w:name w:val="Heading 1 Char"/>
    <w:basedOn w:val="DefaultParagraphFont"/>
    <w:link w:val="Heading1"/>
    <w:rsid w:val="00896F07"/>
    <w:rPr>
      <w:rFonts w:ascii="Times New Roman" w:eastAsia="Times New Roman" w:hAnsi="Times New Roman" w:cs="Times New Roman"/>
      <w:b/>
      <w:sz w:val="32"/>
      <w:szCs w:val="20"/>
      <w:lang w:eastAsia="en-US"/>
    </w:rPr>
  </w:style>
  <w:style w:type="paragraph" w:styleId="BodyText">
    <w:name w:val="Body Text"/>
    <w:basedOn w:val="Normal"/>
    <w:link w:val="BodyTextChar"/>
    <w:rsid w:val="00896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F07"/>
    <w:rPr>
      <w:rFonts w:ascii="Times New Roman" w:eastAsia="Times New Roman" w:hAnsi="Times New Roman" w:cs="Times New Roman"/>
      <w:sz w:val="24"/>
      <w:lang w:val="en-US" w:eastAsia="en-US"/>
    </w:rPr>
  </w:style>
  <w:style w:type="paragraph" w:styleId="Footer">
    <w:name w:val="footer"/>
    <w:basedOn w:val="Normal"/>
    <w:link w:val="FooterChar"/>
    <w:rsid w:val="00896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F07"/>
    <w:rPr>
      <w:rFonts w:ascii="Times New Roman" w:eastAsia="Times New Roman" w:hAnsi="Times New Roman" w:cs="Times New Roman"/>
      <w:sz w:val="16"/>
      <w:lang w:val="en-US" w:eastAsia="en-US"/>
    </w:rPr>
  </w:style>
  <w:style w:type="paragraph" w:styleId="ListBullet">
    <w:name w:val="List Bullet"/>
    <w:basedOn w:val="List"/>
    <w:rsid w:val="00896F07"/>
    <w:pPr>
      <w:numPr>
        <w:numId w:val="14"/>
      </w:numPr>
      <w:tabs>
        <w:tab w:val="clear" w:pos="340"/>
      </w:tabs>
      <w:spacing w:before="40" w:after="40"/>
    </w:pPr>
  </w:style>
  <w:style w:type="character" w:customStyle="1" w:styleId="SpecialBold">
    <w:name w:val="Special Bold"/>
    <w:basedOn w:val="DefaultParagraphFont"/>
    <w:rsid w:val="00896F07"/>
    <w:rPr>
      <w:b/>
      <w:spacing w:val="0"/>
    </w:rPr>
  </w:style>
  <w:style w:type="paragraph" w:styleId="ListBullet2">
    <w:name w:val="List Bullet 2"/>
    <w:basedOn w:val="List2"/>
    <w:rsid w:val="00896F07"/>
    <w:pPr>
      <w:numPr>
        <w:numId w:val="15"/>
      </w:numPr>
      <w:tabs>
        <w:tab w:val="clear" w:pos="680"/>
      </w:tabs>
    </w:pPr>
  </w:style>
  <w:style w:type="paragraph" w:styleId="Header">
    <w:name w:val="header"/>
    <w:basedOn w:val="Normal"/>
    <w:link w:val="HeaderChar"/>
    <w:rsid w:val="00896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6F07"/>
    <w:pPr>
      <w:spacing w:before="240" w:after="120"/>
      <w:outlineLvl w:val="0"/>
    </w:pPr>
    <w:rPr>
      <w:rFonts w:ascii="Times New Roman" w:hAnsi="Times New Roman"/>
      <w:b/>
      <w:sz w:val="28"/>
    </w:rPr>
  </w:style>
  <w:style w:type="paragraph" w:customStyle="1" w:styleId="AllowPageBreak">
    <w:name w:val="AllowPageBreak"/>
    <w:rsid w:val="00896F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6F07"/>
    <w:pPr>
      <w:numPr>
        <w:numId w:val="3"/>
      </w:numPr>
      <w:tabs>
        <w:tab w:val="clear" w:pos="1021"/>
      </w:tabs>
      <w:ind w:left="1037" w:hanging="357"/>
    </w:pPr>
  </w:style>
  <w:style w:type="character" w:customStyle="1" w:styleId="Heading2Char">
    <w:name w:val="Heading 2 Char"/>
    <w:basedOn w:val="DefaultParagraphFont"/>
    <w:link w:val="Heading2"/>
    <w:rsid w:val="00896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F07"/>
    <w:rPr>
      <w:rFonts w:ascii="Courier New" w:eastAsia="Times New Roman" w:hAnsi="Courier New" w:cs="Times New Roman"/>
      <w:i/>
      <w:szCs w:val="20"/>
      <w:lang w:val="en-US" w:eastAsia="en-US"/>
    </w:rPr>
  </w:style>
  <w:style w:type="paragraph" w:customStyle="1" w:styleId="HeadingBase">
    <w:name w:val="Heading Base"/>
    <w:rsid w:val="00896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F07"/>
    <w:pPr>
      <w:tabs>
        <w:tab w:val="right" w:leader="dot" w:pos="9072"/>
      </w:tabs>
      <w:ind w:left="567"/>
    </w:pPr>
    <w:rPr>
      <w:szCs w:val="22"/>
    </w:rPr>
  </w:style>
  <w:style w:type="paragraph" w:customStyle="1" w:styleId="TOCBase">
    <w:name w:val="TOC Base"/>
    <w:rsid w:val="00896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F07"/>
    <w:pPr>
      <w:tabs>
        <w:tab w:val="right" w:leader="dot" w:pos="9072"/>
      </w:tabs>
      <w:spacing w:before="40" w:after="40"/>
      <w:ind w:left="284"/>
    </w:pPr>
    <w:rPr>
      <w:rFonts w:ascii="Times New Roman" w:hAnsi="Times New Roman"/>
    </w:rPr>
  </w:style>
  <w:style w:type="paragraph" w:styleId="TOC1">
    <w:name w:val="toc 1"/>
    <w:basedOn w:val="TOCBase"/>
    <w:next w:val="Normal"/>
    <w:rsid w:val="00896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F07"/>
    <w:pPr>
      <w:spacing w:before="5040"/>
      <w:jc w:val="center"/>
    </w:pPr>
    <w:rPr>
      <w:sz w:val="48"/>
      <w:szCs w:val="72"/>
      <w:lang w:val="en-US"/>
    </w:rPr>
  </w:style>
  <w:style w:type="character" w:customStyle="1" w:styleId="TitleChar">
    <w:name w:val="Title Char"/>
    <w:basedOn w:val="DefaultParagraphFont"/>
    <w:link w:val="Title"/>
    <w:rsid w:val="00896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F07"/>
    <w:pPr>
      <w:tabs>
        <w:tab w:val="left" w:pos="3600"/>
        <w:tab w:val="left" w:pos="3958"/>
      </w:tabs>
    </w:pPr>
  </w:style>
  <w:style w:type="paragraph" w:styleId="List">
    <w:name w:val="List"/>
    <w:basedOn w:val="BodyText"/>
    <w:next w:val="BodyText"/>
    <w:rsid w:val="00896F07"/>
    <w:pPr>
      <w:tabs>
        <w:tab w:val="left" w:pos="340"/>
      </w:tabs>
      <w:spacing w:before="60" w:after="60"/>
      <w:ind w:left="340" w:hanging="340"/>
    </w:pPr>
  </w:style>
  <w:style w:type="paragraph" w:customStyle="1" w:styleId="Note">
    <w:name w:val="Note"/>
    <w:basedOn w:val="BodyText"/>
    <w:rsid w:val="00896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F07"/>
    <w:pPr>
      <w:framePr w:wrap="auto" w:hAnchor="text" w:y="6049"/>
    </w:pPr>
    <w:rPr>
      <w:color w:val="000000"/>
      <w:sz w:val="40"/>
    </w:rPr>
  </w:style>
  <w:style w:type="paragraph" w:customStyle="1" w:styleId="TOCTitle">
    <w:name w:val="TOCTitle"/>
    <w:basedOn w:val="Heading1"/>
    <w:rsid w:val="00896F07"/>
    <w:pPr>
      <w:spacing w:after="240"/>
      <w:jc w:val="center"/>
      <w:outlineLvl w:val="9"/>
    </w:pPr>
    <w:rPr>
      <w:caps/>
    </w:rPr>
  </w:style>
  <w:style w:type="paragraph" w:customStyle="1" w:styleId="Version">
    <w:name w:val="Version"/>
    <w:rsid w:val="00896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F07"/>
    <w:pPr>
      <w:keepNext w:val="0"/>
      <w:tabs>
        <w:tab w:val="right" w:pos="4176"/>
      </w:tabs>
      <w:ind w:left="198" w:hanging="198"/>
    </w:pPr>
    <w:rPr>
      <w:rFonts w:ascii="Garamond" w:hAnsi="Garamond"/>
    </w:rPr>
  </w:style>
  <w:style w:type="paragraph" w:styleId="IndexHeading">
    <w:name w:val="index heading"/>
    <w:basedOn w:val="Normal"/>
    <w:next w:val="Index1"/>
    <w:semiHidden/>
    <w:rsid w:val="00896F07"/>
    <w:pPr>
      <w:spacing w:before="120" w:after="120"/>
    </w:pPr>
    <w:rPr>
      <w:rFonts w:ascii="Arial" w:hAnsi="Arial"/>
      <w:b/>
      <w:color w:val="918585"/>
      <w:sz w:val="24"/>
    </w:rPr>
  </w:style>
  <w:style w:type="paragraph" w:customStyle="1" w:styleId="Chapter">
    <w:name w:val="Chapter"/>
    <w:basedOn w:val="Normal"/>
    <w:rsid w:val="00896F07"/>
    <w:pPr>
      <w:spacing w:before="240"/>
    </w:pPr>
    <w:rPr>
      <w:rFonts w:ascii="Times New Roman" w:hAnsi="Times New Roman"/>
      <w:smallCaps/>
      <w:spacing w:val="80"/>
      <w:sz w:val="28"/>
    </w:rPr>
  </w:style>
  <w:style w:type="paragraph" w:customStyle="1" w:styleId="InChapter">
    <w:name w:val="InChapter"/>
    <w:basedOn w:val="Heading3"/>
    <w:rsid w:val="00896F07"/>
    <w:pPr>
      <w:spacing w:after="240"/>
      <w:outlineLvl w:val="9"/>
    </w:pPr>
    <w:rPr>
      <w:noProof/>
    </w:rPr>
  </w:style>
  <w:style w:type="paragraph" w:styleId="Index2">
    <w:name w:val="index 2"/>
    <w:basedOn w:val="Normal"/>
    <w:next w:val="Normal"/>
    <w:semiHidden/>
    <w:rsid w:val="00896F07"/>
    <w:pPr>
      <w:tabs>
        <w:tab w:val="right" w:pos="4176"/>
      </w:tabs>
      <w:ind w:left="568" w:hanging="284"/>
    </w:pPr>
    <w:rPr>
      <w:rFonts w:ascii="Garamond" w:hAnsi="Garamond"/>
    </w:rPr>
  </w:style>
  <w:style w:type="paragraph" w:customStyle="1" w:styleId="Byline">
    <w:name w:val="Byline"/>
    <w:rsid w:val="00896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F07"/>
    <w:pPr>
      <w:tabs>
        <w:tab w:val="clear" w:pos="3600"/>
        <w:tab w:val="clear" w:pos="3958"/>
      </w:tabs>
      <w:jc w:val="right"/>
    </w:pPr>
  </w:style>
  <w:style w:type="character" w:styleId="Emphasis">
    <w:name w:val="Emphasis"/>
    <w:basedOn w:val="DefaultParagraphFont"/>
    <w:qFormat/>
    <w:rsid w:val="00896F07"/>
    <w:rPr>
      <w:i/>
    </w:rPr>
  </w:style>
  <w:style w:type="paragraph" w:styleId="Caption">
    <w:name w:val="caption"/>
    <w:basedOn w:val="BodyText"/>
    <w:next w:val="Normal"/>
    <w:qFormat/>
    <w:rsid w:val="00896F07"/>
    <w:pPr>
      <w:framePr w:w="2268" w:hSpace="181" w:vSpace="181" w:wrap="around" w:vAnchor="text" w:hAnchor="page" w:x="1135" w:y="285" w:anchorLock="1"/>
    </w:pPr>
    <w:rPr>
      <w:i/>
    </w:rPr>
  </w:style>
  <w:style w:type="paragraph" w:customStyle="1" w:styleId="MiniTOCTitle">
    <w:name w:val="MiniTOCTitle"/>
    <w:basedOn w:val="Heading4"/>
    <w:rsid w:val="00896F07"/>
    <w:pPr>
      <w:spacing w:before="240"/>
      <w:outlineLvl w:val="9"/>
    </w:pPr>
    <w:rPr>
      <w:noProof/>
      <w:sz w:val="24"/>
    </w:rPr>
  </w:style>
  <w:style w:type="paragraph" w:customStyle="1" w:styleId="MiniTOCItem">
    <w:name w:val="MiniTOCItem"/>
    <w:basedOn w:val="ListBullet"/>
    <w:rsid w:val="00896F07"/>
    <w:pPr>
      <w:numPr>
        <w:numId w:val="0"/>
      </w:numPr>
      <w:tabs>
        <w:tab w:val="right" w:leader="dot" w:pos="6521"/>
      </w:tabs>
      <w:spacing w:before="0" w:after="0"/>
    </w:pPr>
  </w:style>
  <w:style w:type="paragraph" w:customStyle="1" w:styleId="TOFTitle">
    <w:name w:val="TOFTitle"/>
    <w:basedOn w:val="TOCTitle"/>
    <w:rsid w:val="00896F07"/>
  </w:style>
  <w:style w:type="paragraph" w:styleId="TableofFigures">
    <w:name w:val="table of figures"/>
    <w:basedOn w:val="Normal"/>
    <w:next w:val="Normal"/>
    <w:semiHidden/>
    <w:rsid w:val="00896F07"/>
    <w:pPr>
      <w:tabs>
        <w:tab w:val="right" w:leader="dot" w:pos="9072"/>
      </w:tabs>
      <w:ind w:left="970" w:hanging="403"/>
    </w:pPr>
    <w:rPr>
      <w:rFonts w:ascii="Times New Roman" w:hAnsi="Times New Roman"/>
      <w:b/>
    </w:rPr>
  </w:style>
  <w:style w:type="paragraph" w:styleId="ListNumber">
    <w:name w:val="List Number"/>
    <w:basedOn w:val="List"/>
    <w:rsid w:val="00896F07"/>
    <w:pPr>
      <w:numPr>
        <w:numId w:val="12"/>
      </w:numPr>
    </w:pPr>
  </w:style>
  <w:style w:type="character" w:customStyle="1" w:styleId="WingdingSymbols">
    <w:name w:val="Wingding Symbols"/>
    <w:rsid w:val="00896F07"/>
    <w:rPr>
      <w:rFonts w:ascii="Wingdings" w:hAnsi="Wingdings"/>
    </w:rPr>
  </w:style>
  <w:style w:type="paragraph" w:customStyle="1" w:styleId="TableHeading">
    <w:name w:val="Table Heading"/>
    <w:basedOn w:val="HeadingBase"/>
    <w:rsid w:val="00896F07"/>
    <w:pPr>
      <w:keepLines/>
      <w:pBdr>
        <w:bottom w:val="single" w:sz="6" w:space="1" w:color="918585"/>
      </w:pBdr>
      <w:spacing w:before="240"/>
    </w:pPr>
  </w:style>
  <w:style w:type="character" w:customStyle="1" w:styleId="HotSpot">
    <w:name w:val="HotSpot"/>
    <w:rsid w:val="00896F07"/>
    <w:rPr>
      <w:color w:val="0033CC"/>
      <w:u w:val="none"/>
    </w:rPr>
  </w:style>
  <w:style w:type="paragraph" w:customStyle="1" w:styleId="BodyTextRight">
    <w:name w:val="Body Text Right"/>
    <w:basedOn w:val="BodyText"/>
    <w:rsid w:val="00896F07"/>
    <w:pPr>
      <w:spacing w:before="0" w:after="0"/>
      <w:jc w:val="right"/>
    </w:pPr>
  </w:style>
  <w:style w:type="paragraph" w:styleId="Index3">
    <w:name w:val="index 3"/>
    <w:basedOn w:val="ListNumber2"/>
    <w:next w:val="Normal"/>
    <w:semiHidden/>
    <w:rsid w:val="00896F07"/>
    <w:pPr>
      <w:numPr>
        <w:numId w:val="0"/>
      </w:numPr>
      <w:tabs>
        <w:tab w:val="right" w:leader="dot" w:pos="4176"/>
      </w:tabs>
    </w:pPr>
  </w:style>
  <w:style w:type="paragraph" w:styleId="ListNumber2">
    <w:name w:val="List Number 2"/>
    <w:basedOn w:val="List2"/>
    <w:rsid w:val="00896F07"/>
    <w:pPr>
      <w:numPr>
        <w:numId w:val="11"/>
      </w:numPr>
      <w:tabs>
        <w:tab w:val="clear" w:pos="1060"/>
      </w:tabs>
    </w:pPr>
  </w:style>
  <w:style w:type="paragraph" w:customStyle="1" w:styleId="MarginNote">
    <w:name w:val="Margin Note"/>
    <w:basedOn w:val="BodyText"/>
    <w:rsid w:val="00896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F07"/>
    <w:rPr>
      <w:sz w:val="32"/>
    </w:rPr>
  </w:style>
  <w:style w:type="paragraph" w:customStyle="1" w:styleId="HeadingProcedure">
    <w:name w:val="Heading Procedure"/>
    <w:basedOn w:val="HeadingBase"/>
    <w:next w:val="Normal"/>
    <w:rsid w:val="00896F07"/>
    <w:pPr>
      <w:tabs>
        <w:tab w:val="left" w:pos="0"/>
      </w:tabs>
      <w:spacing w:before="120" w:after="60"/>
    </w:pPr>
    <w:rPr>
      <w:i/>
      <w:color w:val="918585"/>
      <w:sz w:val="22"/>
    </w:rPr>
  </w:style>
  <w:style w:type="paragraph" w:customStyle="1" w:styleId="TableBodyText">
    <w:name w:val="Table Body Text"/>
    <w:basedOn w:val="BodyText"/>
    <w:rsid w:val="00896F07"/>
    <w:pPr>
      <w:spacing w:before="60" w:after="60"/>
    </w:pPr>
  </w:style>
  <w:style w:type="paragraph" w:styleId="ListContinue">
    <w:name w:val="List Continue"/>
    <w:basedOn w:val="List"/>
    <w:rsid w:val="00896F07"/>
    <w:pPr>
      <w:ind w:firstLine="0"/>
    </w:pPr>
  </w:style>
  <w:style w:type="paragraph" w:customStyle="1" w:styleId="ListNote">
    <w:name w:val="List Note"/>
    <w:basedOn w:val="List"/>
    <w:rsid w:val="00896F07"/>
    <w:pPr>
      <w:pBdr>
        <w:top w:val="single" w:sz="6" w:space="2" w:color="918585"/>
        <w:bottom w:val="single" w:sz="6" w:space="2" w:color="918585"/>
      </w:pBdr>
      <w:tabs>
        <w:tab w:val="left" w:pos="1021"/>
      </w:tabs>
      <w:ind w:firstLine="0"/>
    </w:pPr>
  </w:style>
  <w:style w:type="paragraph" w:customStyle="1" w:styleId="Warning">
    <w:name w:val="Warning"/>
    <w:basedOn w:val="BodyText"/>
    <w:rsid w:val="00896F07"/>
    <w:pPr>
      <w:shd w:val="clear" w:color="auto" w:fill="D9D9D9"/>
      <w:tabs>
        <w:tab w:val="left" w:pos="992"/>
      </w:tabs>
      <w:ind w:left="119" w:right="119"/>
    </w:pPr>
    <w:rPr>
      <w:sz w:val="20"/>
    </w:rPr>
  </w:style>
  <w:style w:type="paragraph" w:customStyle="1" w:styleId="MarginIcons">
    <w:name w:val="Margin Icons"/>
    <w:basedOn w:val="BodyText"/>
    <w:rsid w:val="00896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F07"/>
    <w:rPr>
      <w:rFonts w:ascii="Courier New" w:hAnsi="Courier New"/>
    </w:rPr>
  </w:style>
  <w:style w:type="paragraph" w:customStyle="1" w:styleId="NoteBullet">
    <w:name w:val="Note Bullet"/>
    <w:basedOn w:val="Note"/>
    <w:rsid w:val="00896F07"/>
    <w:pPr>
      <w:tabs>
        <w:tab w:val="clear" w:pos="680"/>
      </w:tabs>
      <w:spacing w:before="60" w:after="60"/>
    </w:pPr>
  </w:style>
  <w:style w:type="paragraph" w:customStyle="1" w:styleId="SubHeading2">
    <w:name w:val="SubHeading2"/>
    <w:basedOn w:val="HeadingBase"/>
    <w:rsid w:val="00896F07"/>
    <w:pPr>
      <w:spacing w:before="240" w:after="60"/>
    </w:pPr>
    <w:rPr>
      <w:sz w:val="20"/>
    </w:rPr>
  </w:style>
  <w:style w:type="paragraph" w:customStyle="1" w:styleId="SubHeading1">
    <w:name w:val="SubHeading1"/>
    <w:basedOn w:val="HeadingBase"/>
    <w:rsid w:val="00896F07"/>
    <w:pPr>
      <w:spacing w:before="240" w:after="60"/>
    </w:pPr>
    <w:rPr>
      <w:color w:val="918585"/>
      <w:sz w:val="22"/>
    </w:rPr>
  </w:style>
  <w:style w:type="paragraph" w:customStyle="1" w:styleId="SideHeading">
    <w:name w:val="Side Heading"/>
    <w:basedOn w:val="HeadingBase"/>
    <w:rsid w:val="00896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F07"/>
    <w:pPr>
      <w:numPr>
        <w:numId w:val="13"/>
      </w:numPr>
    </w:pPr>
  </w:style>
  <w:style w:type="paragraph" w:styleId="PlainText">
    <w:name w:val="Plain Text"/>
    <w:basedOn w:val="Normal"/>
    <w:link w:val="PlainTextChar"/>
    <w:rsid w:val="00896F07"/>
    <w:rPr>
      <w:sz w:val="20"/>
    </w:rPr>
  </w:style>
  <w:style w:type="character" w:customStyle="1" w:styleId="PlainTextChar">
    <w:name w:val="Plain Text Char"/>
    <w:basedOn w:val="DefaultParagraphFont"/>
    <w:link w:val="PlainText"/>
    <w:rsid w:val="00896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F07"/>
    <w:rPr>
      <w:b/>
      <w:smallCaps/>
    </w:rPr>
  </w:style>
  <w:style w:type="paragraph" w:customStyle="1" w:styleId="TableListNumber">
    <w:name w:val="Table List Number"/>
    <w:basedOn w:val="ListNumber"/>
    <w:rsid w:val="00896F07"/>
    <w:pPr>
      <w:numPr>
        <w:numId w:val="0"/>
      </w:numPr>
    </w:pPr>
  </w:style>
  <w:style w:type="paragraph" w:styleId="TOC4">
    <w:name w:val="toc 4"/>
    <w:basedOn w:val="TOCBase"/>
    <w:next w:val="Normal"/>
    <w:semiHidden/>
    <w:rsid w:val="00896F07"/>
    <w:pPr>
      <w:tabs>
        <w:tab w:val="right" w:leader="dot" w:pos="9071"/>
      </w:tabs>
      <w:ind w:left="1701"/>
    </w:pPr>
  </w:style>
  <w:style w:type="paragraph" w:customStyle="1" w:styleId="ListAlpha">
    <w:name w:val="List Alpha"/>
    <w:basedOn w:val="List"/>
    <w:rsid w:val="00896F07"/>
    <w:pPr>
      <w:numPr>
        <w:numId w:val="10"/>
      </w:numPr>
    </w:pPr>
  </w:style>
  <w:style w:type="paragraph" w:customStyle="1" w:styleId="ListAlpha2">
    <w:name w:val="List Alpha 2"/>
    <w:basedOn w:val="List2"/>
    <w:rsid w:val="00896F07"/>
    <w:pPr>
      <w:numPr>
        <w:numId w:val="9"/>
      </w:numPr>
    </w:pPr>
  </w:style>
  <w:style w:type="paragraph" w:styleId="List2">
    <w:name w:val="List 2"/>
    <w:basedOn w:val="BodyText"/>
    <w:rsid w:val="00896F07"/>
    <w:pPr>
      <w:tabs>
        <w:tab w:val="left" w:pos="680"/>
      </w:tabs>
      <w:spacing w:before="60" w:after="60"/>
      <w:ind w:left="680" w:hanging="340"/>
    </w:pPr>
  </w:style>
  <w:style w:type="paragraph" w:styleId="List3">
    <w:name w:val="List 3"/>
    <w:basedOn w:val="BodyText"/>
    <w:rsid w:val="00896F07"/>
    <w:pPr>
      <w:tabs>
        <w:tab w:val="left" w:pos="1021"/>
      </w:tabs>
      <w:spacing w:before="60" w:after="60"/>
      <w:ind w:left="1020" w:hanging="340"/>
    </w:pPr>
  </w:style>
  <w:style w:type="paragraph" w:styleId="List4">
    <w:name w:val="List 4"/>
    <w:basedOn w:val="BodyText"/>
    <w:rsid w:val="00896F07"/>
    <w:pPr>
      <w:tabs>
        <w:tab w:val="left" w:pos="1361"/>
      </w:tabs>
      <w:spacing w:before="60" w:after="60"/>
      <w:ind w:left="1361" w:hanging="340"/>
    </w:pPr>
  </w:style>
  <w:style w:type="paragraph" w:styleId="List5">
    <w:name w:val="List 5"/>
    <w:basedOn w:val="BodyText"/>
    <w:rsid w:val="00896F07"/>
    <w:pPr>
      <w:tabs>
        <w:tab w:val="left" w:pos="1701"/>
      </w:tabs>
      <w:spacing w:before="60" w:after="60"/>
      <w:ind w:left="1701" w:hanging="340"/>
    </w:pPr>
  </w:style>
  <w:style w:type="paragraph" w:styleId="ListBullet4">
    <w:name w:val="List Bullet 4"/>
    <w:basedOn w:val="List4"/>
    <w:rsid w:val="00896F07"/>
    <w:pPr>
      <w:numPr>
        <w:numId w:val="4"/>
      </w:numPr>
    </w:pPr>
  </w:style>
  <w:style w:type="paragraph" w:styleId="ListBullet5">
    <w:name w:val="List Bullet 5"/>
    <w:basedOn w:val="List5"/>
    <w:rsid w:val="00896F07"/>
    <w:pPr>
      <w:numPr>
        <w:numId w:val="5"/>
      </w:numPr>
    </w:pPr>
  </w:style>
  <w:style w:type="paragraph" w:styleId="ListContinue2">
    <w:name w:val="List Continue 2"/>
    <w:basedOn w:val="List2"/>
    <w:rsid w:val="00896F07"/>
    <w:pPr>
      <w:ind w:firstLine="0"/>
    </w:pPr>
  </w:style>
  <w:style w:type="paragraph" w:styleId="ListContinue3">
    <w:name w:val="List Continue 3"/>
    <w:basedOn w:val="List3"/>
    <w:rsid w:val="00896F07"/>
    <w:pPr>
      <w:ind w:left="1021" w:firstLine="0"/>
    </w:pPr>
  </w:style>
  <w:style w:type="paragraph" w:styleId="ListContinue4">
    <w:name w:val="List Continue 4"/>
    <w:basedOn w:val="List4"/>
    <w:rsid w:val="00896F07"/>
    <w:pPr>
      <w:ind w:firstLine="0"/>
    </w:pPr>
  </w:style>
  <w:style w:type="paragraph" w:styleId="ListContinue5">
    <w:name w:val="List Continue 5"/>
    <w:basedOn w:val="List5"/>
    <w:rsid w:val="00896F07"/>
    <w:pPr>
      <w:ind w:firstLine="0"/>
    </w:pPr>
  </w:style>
  <w:style w:type="paragraph" w:styleId="ListNumber3">
    <w:name w:val="List Number 3"/>
    <w:basedOn w:val="List3"/>
    <w:rsid w:val="00896F07"/>
    <w:pPr>
      <w:numPr>
        <w:numId w:val="6"/>
      </w:numPr>
    </w:pPr>
  </w:style>
  <w:style w:type="paragraph" w:styleId="ListNumber4">
    <w:name w:val="List Number 4"/>
    <w:basedOn w:val="List4"/>
    <w:rsid w:val="00896F07"/>
    <w:pPr>
      <w:numPr>
        <w:numId w:val="7"/>
      </w:numPr>
    </w:pPr>
  </w:style>
  <w:style w:type="paragraph" w:styleId="ListNumber5">
    <w:name w:val="List Number 5"/>
    <w:basedOn w:val="List5"/>
    <w:rsid w:val="00896F07"/>
    <w:pPr>
      <w:numPr>
        <w:numId w:val="8"/>
      </w:numPr>
    </w:pPr>
  </w:style>
  <w:style w:type="paragraph" w:styleId="BlockText">
    <w:name w:val="Block Text"/>
    <w:basedOn w:val="Normal"/>
    <w:rsid w:val="00896F07"/>
    <w:pPr>
      <w:spacing w:after="120"/>
      <w:ind w:left="1440" w:right="1440"/>
    </w:pPr>
  </w:style>
  <w:style w:type="character" w:customStyle="1" w:styleId="Subscript">
    <w:name w:val="Subscript"/>
    <w:basedOn w:val="DefaultParagraphFont"/>
    <w:rsid w:val="00896F07"/>
    <w:rPr>
      <w:sz w:val="16"/>
      <w:vertAlign w:val="subscript"/>
    </w:rPr>
  </w:style>
  <w:style w:type="character" w:customStyle="1" w:styleId="Superscript">
    <w:name w:val="Superscript"/>
    <w:basedOn w:val="DefaultParagraphFont"/>
    <w:rsid w:val="00896F07"/>
    <w:rPr>
      <w:sz w:val="16"/>
      <w:vertAlign w:val="superscript"/>
    </w:rPr>
  </w:style>
  <w:style w:type="character" w:customStyle="1" w:styleId="Symbols">
    <w:name w:val="Symbols"/>
    <w:basedOn w:val="DefaultParagraphFont"/>
    <w:rsid w:val="00896F07"/>
    <w:rPr>
      <w:rFonts w:ascii="Symbol" w:hAnsi="Symbol"/>
    </w:rPr>
  </w:style>
  <w:style w:type="character" w:customStyle="1" w:styleId="MenuOptions">
    <w:name w:val="Menu Options"/>
    <w:basedOn w:val="DefaultParagraphFont"/>
    <w:rsid w:val="00896F07"/>
    <w:rPr>
      <w:rFonts w:ascii="Arial Narrow" w:hAnsi="Arial Narrow"/>
      <w:smallCaps/>
    </w:rPr>
  </w:style>
  <w:style w:type="character" w:customStyle="1" w:styleId="Buttons">
    <w:name w:val="Buttons"/>
    <w:basedOn w:val="DefaultParagraphFont"/>
    <w:rsid w:val="00896F07"/>
    <w:rPr>
      <w:b/>
    </w:rPr>
  </w:style>
  <w:style w:type="character" w:customStyle="1" w:styleId="Underlined">
    <w:name w:val="Underlined"/>
    <w:basedOn w:val="DefaultParagraphFont"/>
    <w:rsid w:val="00896F07"/>
    <w:rPr>
      <w:u w:val="single"/>
    </w:rPr>
  </w:style>
  <w:style w:type="paragraph" w:customStyle="1" w:styleId="TableBodyTextRight">
    <w:name w:val="Table Body Text Right"/>
    <w:basedOn w:val="TableBodyText"/>
    <w:rsid w:val="00896F07"/>
    <w:pPr>
      <w:widowControl w:val="0"/>
      <w:autoSpaceDE w:val="0"/>
      <w:autoSpaceDN w:val="0"/>
      <w:adjustRightInd w:val="0"/>
      <w:jc w:val="right"/>
    </w:pPr>
    <w:rPr>
      <w:rFonts w:cs="Arial"/>
      <w:szCs w:val="18"/>
    </w:rPr>
  </w:style>
  <w:style w:type="paragraph" w:customStyle="1" w:styleId="CopyrightText">
    <w:name w:val="Copyright Text"/>
    <w:basedOn w:val="BodyText"/>
    <w:rsid w:val="00896F07"/>
    <w:rPr>
      <w:sz w:val="18"/>
    </w:rPr>
  </w:style>
  <w:style w:type="paragraph" w:customStyle="1" w:styleId="BodySmallRight">
    <w:name w:val="Body Small Right"/>
    <w:basedOn w:val="BodyTextRight"/>
    <w:rsid w:val="00896F07"/>
    <w:rPr>
      <w:sz w:val="18"/>
      <w:szCs w:val="18"/>
    </w:rPr>
  </w:style>
  <w:style w:type="paragraph" w:customStyle="1" w:styleId="MarginEdition">
    <w:name w:val="Margin Edition"/>
    <w:basedOn w:val="MarginNote"/>
    <w:rsid w:val="00896F07"/>
    <w:pPr>
      <w:spacing w:before="0" w:after="0"/>
    </w:pPr>
    <w:rPr>
      <w:rFonts w:ascii="Times New Roman" w:hAnsi="Times New Roman"/>
      <w:color w:val="999999"/>
    </w:rPr>
  </w:style>
  <w:style w:type="paragraph" w:customStyle="1" w:styleId="Spacer">
    <w:name w:val="Spacer"/>
    <w:basedOn w:val="Normal"/>
    <w:rsid w:val="00896F07"/>
    <w:rPr>
      <w:sz w:val="2"/>
      <w:szCs w:val="2"/>
    </w:rPr>
  </w:style>
  <w:style w:type="character" w:customStyle="1" w:styleId="Small">
    <w:name w:val="Small"/>
    <w:basedOn w:val="DefaultParagraphFont"/>
    <w:rsid w:val="00896F07"/>
    <w:rPr>
      <w:sz w:val="16"/>
    </w:rPr>
  </w:style>
  <w:style w:type="paragraph" w:customStyle="1" w:styleId="WideTable">
    <w:name w:val="Wide Table"/>
    <w:basedOn w:val="Normal"/>
    <w:rsid w:val="00896F07"/>
    <w:pPr>
      <w:ind w:left="-1418"/>
    </w:pPr>
    <w:rPr>
      <w:sz w:val="2"/>
      <w:szCs w:val="2"/>
    </w:rPr>
  </w:style>
  <w:style w:type="character" w:styleId="PageNumber">
    <w:name w:val="page number"/>
    <w:basedOn w:val="DefaultParagraphFont"/>
    <w:rsid w:val="00896F07"/>
  </w:style>
  <w:style w:type="paragraph" w:styleId="Quote">
    <w:name w:val="Quote"/>
    <w:basedOn w:val="Heading1"/>
    <w:link w:val="QuoteChar"/>
    <w:qFormat/>
    <w:rsid w:val="00896F07"/>
    <w:rPr>
      <w:b w:val="0"/>
      <w:sz w:val="72"/>
      <w:szCs w:val="72"/>
      <w:lang w:val="en-NZ"/>
    </w:rPr>
  </w:style>
  <w:style w:type="character" w:customStyle="1" w:styleId="QuoteChar">
    <w:name w:val="Quote Char"/>
    <w:basedOn w:val="DefaultParagraphFont"/>
    <w:link w:val="Quote"/>
    <w:rsid w:val="00896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F07"/>
    <w:pPr>
      <w:pageBreakBefore/>
    </w:pPr>
  </w:style>
  <w:style w:type="paragraph" w:customStyle="1" w:styleId="Border">
    <w:name w:val="Border"/>
    <w:basedOn w:val="Normal"/>
    <w:qFormat/>
    <w:rsid w:val="00896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F07"/>
    <w:rPr>
      <w:b/>
      <w:bCs/>
      <w:i/>
      <w:iCs/>
      <w:color w:val="auto"/>
    </w:rPr>
  </w:style>
  <w:style w:type="paragraph" w:styleId="IntenseQuote">
    <w:name w:val="Intense Quote"/>
    <w:basedOn w:val="Normal"/>
    <w:next w:val="Normal"/>
    <w:link w:val="IntenseQuoteChar"/>
    <w:uiPriority w:val="30"/>
    <w:qFormat/>
    <w:rsid w:val="00896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F07"/>
    <w:rPr>
      <w:smallCaps/>
      <w:color w:val="auto"/>
      <w:u w:val="single"/>
    </w:rPr>
  </w:style>
  <w:style w:type="character" w:styleId="IntenseReference">
    <w:name w:val="Intense Reference"/>
    <w:basedOn w:val="DefaultParagraphFont"/>
    <w:uiPriority w:val="32"/>
    <w:qFormat/>
    <w:rsid w:val="00896F07"/>
    <w:rPr>
      <w:b/>
      <w:bCs/>
      <w:smallCaps/>
      <w:color w:val="auto"/>
      <w:spacing w:val="5"/>
      <w:u w:val="single"/>
    </w:rPr>
  </w:style>
  <w:style w:type="paragraph" w:customStyle="1" w:styleId="2ColumnHeading">
    <w:name w:val="2Column Heading"/>
    <w:basedOn w:val="BodyText"/>
    <w:qFormat/>
    <w:rsid w:val="00896F07"/>
    <w:pPr>
      <w:spacing w:after="60"/>
      <w:ind w:left="-2268"/>
    </w:pPr>
    <w:rPr>
      <w:b/>
    </w:rPr>
  </w:style>
  <w:style w:type="paragraph" w:customStyle="1" w:styleId="Heading1TOC">
    <w:name w:val="Heading1 TOC"/>
    <w:basedOn w:val="Normal"/>
    <w:qFormat/>
    <w:rsid w:val="00896F07"/>
    <w:pPr>
      <w:spacing w:before="240" w:after="120"/>
    </w:pPr>
    <w:rPr>
      <w:rFonts w:ascii="Times New Roman" w:hAnsi="Times New Roman"/>
      <w:b/>
      <w:sz w:val="32"/>
    </w:rPr>
  </w:style>
  <w:style w:type="paragraph" w:customStyle="1" w:styleId="Heading2TOC">
    <w:name w:val="Heading2 TOC"/>
    <w:basedOn w:val="Normal"/>
    <w:qFormat/>
    <w:rsid w:val="00896F07"/>
    <w:pPr>
      <w:spacing w:before="240" w:after="60"/>
    </w:pPr>
    <w:rPr>
      <w:rFonts w:ascii="Times New Roman" w:hAnsi="Times New Roman"/>
      <w:b/>
      <w:sz w:val="28"/>
    </w:rPr>
  </w:style>
  <w:style w:type="character" w:customStyle="1" w:styleId="Underline">
    <w:name w:val="Underline"/>
    <w:basedOn w:val="DefaultParagraphFont"/>
    <w:qFormat/>
    <w:rsid w:val="00896F07"/>
    <w:rPr>
      <w:u w:val="single"/>
    </w:rPr>
  </w:style>
  <w:style w:type="character" w:customStyle="1" w:styleId="BoldandItalics">
    <w:name w:val="Bold and Italics"/>
    <w:qFormat/>
    <w:rsid w:val="00896F07"/>
    <w:rPr>
      <w:b/>
      <w:i/>
      <w:u w:val="none"/>
    </w:rPr>
  </w:style>
  <w:style w:type="paragraph" w:styleId="BalloonText">
    <w:name w:val="Balloon Text"/>
    <w:basedOn w:val="Normal"/>
    <w:link w:val="BalloonTextChar"/>
    <w:rsid w:val="00896F07"/>
    <w:rPr>
      <w:rFonts w:ascii="Tahoma" w:hAnsi="Tahoma" w:cs="Tahoma"/>
      <w:sz w:val="16"/>
      <w:szCs w:val="16"/>
    </w:rPr>
  </w:style>
  <w:style w:type="character" w:customStyle="1" w:styleId="BalloonTextChar">
    <w:name w:val="Balloon Text Char"/>
    <w:basedOn w:val="DefaultParagraphFont"/>
    <w:link w:val="BalloonText"/>
    <w:rsid w:val="00896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3200</Words>
  <Characters>20678</Characters>
  <Application>Microsoft Office Word</Application>
  <DocSecurity>0</DocSecurity>
  <Lines>762</Lines>
  <Paragraphs>322</Paragraphs>
  <ScaleCrop>false</ScaleCrop>
  <Company>Author-it Software Corporation Ltd.</Company>
  <LinksUpToDate>false</LinksUpToDate>
  <CharactersWithSpaces>23647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UETTDRSB22A Carry out power systems substation inspection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