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4A5" w:rsidP="005C64A5">
      <w:pPr>
        <w:pStyle w:val="Title"/>
      </w:pPr>
      <w:r>
        <w:fldChar w:fldCharType="begin"/>
      </w:r>
      <w:r>
        <w:instrText xml:space="preserve"> TITLE   \* MERGEFORMAT </w:instrText>
      </w:r>
      <w:r>
        <w:fldChar w:fldCharType="separate"/>
      </w:r>
      <w:r>
        <w:t>UETTDRRT36A Maintain traction network wiring systems</w:t>
      </w:r>
      <w:r>
        <w:fldChar w:fldCharType="end"/>
      </w:r>
    </w:p>
    <w:p w:rsidR="005C64A5" w:rsidP="005C64A5">
      <w:pPr>
        <w:pStyle w:val="Version"/>
        <w:sectPr w:rsidSect="007040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03E" w:rsidP="0070403E">
      <w:pPr>
        <w:pStyle w:val="SuperHeading"/>
      </w:pPr>
      <w:r w:rsidRPr="0070403E">
        <w:t>UETTDRRT36A Maintain traction network wiring systems</w:t>
      </w:r>
    </w:p>
    <w:p w:rsidR="00000000" w:rsidRPr="0070403E" w:rsidP="0070403E">
      <w:pPr>
        <w:pStyle w:val="Heading1"/>
      </w:pPr>
      <w:bookmarkStart w:id="1" w:name="O_465455"/>
      <w:bookmarkEnd w:id="1"/>
      <w:r w:rsidRPr="0070403E">
        <w:t>Modification History</w:t>
      </w:r>
    </w:p>
    <w:p w:rsidR="00000000" w:rsidRPr="0070403E" w:rsidP="0070403E">
      <w:pPr>
        <w:pStyle w:val="BodyText"/>
      </w:pPr>
      <w:r w:rsidRPr="0070403E">
        <w:t>Not applicable.</w:t>
      </w:r>
    </w:p>
    <w:p w:rsidR="00000000" w:rsidRPr="0070403E" w:rsidP="0070403E">
      <w:pPr>
        <w:pStyle w:val="AllowPageBreak"/>
      </w:pPr>
    </w:p>
    <w:p w:rsidR="00000000" w:rsidRPr="0070403E" w:rsidP="0070403E">
      <w:pPr>
        <w:pStyle w:val="Heading1"/>
      </w:pPr>
      <w:bookmarkStart w:id="2" w:name="O_465453"/>
      <w:bookmarkEnd w:id="2"/>
      <w:r w:rsidRPr="0070403E">
        <w:t>Unit Descriptor</w:t>
      </w:r>
    </w:p>
    <w:tbl>
      <w:tblPr>
        <w:tblW w:w="0" w:type="auto"/>
        <w:tblLayout w:type="fixed"/>
        <w:tblCellMar>
          <w:left w:w="62" w:type="dxa"/>
          <w:right w:w="62" w:type="dxa"/>
        </w:tblCellMar>
        <w:tblLook w:val="0000"/>
      </w:tblPr>
      <w:tblGrid>
        <w:gridCol w:w="2700"/>
        <w:gridCol w:w="5760"/>
      </w:tblGrid>
      <w:tr w:rsidTr="005C64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1)</w:t>
            </w:r>
            <w:r w:rsidRPr="0070403E">
              <w:t xml:space="preserve"> </w:t>
            </w:r>
            <w:r w:rsidRPr="0070403E">
              <w:rPr>
                <w:rStyle w:val="SpecialBold"/>
              </w:rPr>
              <w:t>Scope:</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40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1.1) Descriptor</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This Competency Standard Unit covers the maintenance of overhead traction wiring systems to ensure their proper operation, in particular the correct registration of the contact wire with respect to the current collectors. It includes the undertaking of saf</w:t>
            </w:r>
            <w:r w:rsidRPr="0070403E">
              <w:t>e working practices on or about the running line/track and the preparation needed for stringing and profiling including the isolation of systems and circuits for safe working according to work plans, the diagnosis of faults and the modification and re-adju</w:t>
            </w:r>
            <w:r w:rsidRPr="0070403E">
              <w:t>stment to appropriate standards. It may also encompass the correct positioning of road signs, barriers and or warning devices, and the procedure of issuing/accepting electrical permits. It also includes the visual and other necessary checks to confirm that</w:t>
            </w:r>
            <w:r w:rsidRPr="0070403E">
              <w:t xml:space="preserve"> equipment and associated hardware have been correctly maintained according to design and are in a safe condition to undertake tests prior to, putting into service, and updating of maintenance data such as as-built drawings and relevant quality assurance d</w:t>
            </w:r>
            <w:r w:rsidRPr="0070403E">
              <w:t>ocumentation.</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3" w:name="O_465442"/>
      <w:bookmarkEnd w:id="3"/>
      <w:r w:rsidRPr="0070403E">
        <w:t>Application of the Unit</w:t>
      </w:r>
    </w:p>
    <w:tbl>
      <w:tblPr>
        <w:tblW w:w="0" w:type="auto"/>
        <w:tblLayout w:type="fixed"/>
        <w:tblCellMar>
          <w:left w:w="62" w:type="dxa"/>
          <w:right w:w="62" w:type="dxa"/>
        </w:tblCellMar>
        <w:tblLook w:val="0000"/>
      </w:tblPr>
      <w:tblGrid>
        <w:gridCol w:w="2672"/>
        <w:gridCol w:w="5699"/>
      </w:tblGrid>
      <w:tr w:rsidTr="005C64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2)</w:t>
            </w:r>
          </w:p>
        </w:tc>
      </w:tr>
      <w:tr w:rsidTr="005C64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This Competency Standard Unit is intended to augment formally acquired competencies. It is suitable for employment-based programs under an approved contract of training.</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4" w:name="O_465449"/>
      <w:bookmarkEnd w:id="4"/>
      <w:r w:rsidRPr="0070403E">
        <w:t>Licensing/Regulatory Information</w:t>
      </w:r>
    </w:p>
    <w:tbl>
      <w:tblPr>
        <w:tblW w:w="0" w:type="auto"/>
        <w:tblLayout w:type="fixed"/>
        <w:tblCellMar>
          <w:left w:w="62" w:type="dxa"/>
          <w:right w:w="62" w:type="dxa"/>
        </w:tblCellMar>
        <w:tblLook w:val="0000"/>
      </w:tblPr>
      <w:tblGrid>
        <w:gridCol w:w="2700"/>
        <w:gridCol w:w="5760"/>
      </w:tblGrid>
      <w:tr w:rsidTr="005C64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 xml:space="preserve">3)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 xml:space="preserve">The skills and knowledge described in this unit requires a licence/registration to practice in the work place subject to regulations for undertaking of electrical work. Practice </w:t>
            </w:r>
            <w:r w:rsidRPr="0070403E">
              <w:t>in workplace and during training is also subject to regulations directly related to Occupational Health and Safety, electricity/telecommunications/gas/water industry safety and compliance, industrial relations, environmental protection, anti discrimination</w:t>
            </w:r>
            <w:r w:rsidRPr="0070403E">
              <w:t xml:space="preserve"> and training. Commonwealth, State/Territory or Local Government legislation and regulations may exist that limits the age of operating certain equipment.</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5" w:name="O_465450"/>
      <w:bookmarkEnd w:id="5"/>
      <w:r w:rsidRPr="0070403E">
        <w:t>Pre-Requisites</w:t>
      </w:r>
    </w:p>
    <w:tbl>
      <w:tblPr>
        <w:tblW w:w="0" w:type="auto"/>
        <w:tblLayout w:type="fixed"/>
        <w:tblCellMar>
          <w:left w:w="62" w:type="dxa"/>
          <w:right w:w="62" w:type="dxa"/>
        </w:tblCellMar>
        <w:tblLook w:val="0000"/>
      </w:tblPr>
      <w:tblGrid>
        <w:gridCol w:w="2700"/>
        <w:gridCol w:w="2070"/>
        <w:gridCol w:w="3690"/>
      </w:tblGrid>
      <w:tr w:rsidTr="005C64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 xml:space="preserve">4)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4.1)</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Granting of competency in this unit shall be made only after competency in the following unit(s) has/have been confirmed.</w:t>
            </w:r>
          </w:p>
          <w:p w:rsidR="00000000" w:rsidRPr="0070403E" w:rsidP="0070403E">
            <w:pPr>
              <w:pStyle w:val="BodyText"/>
            </w:pPr>
            <w:r w:rsidRPr="0070403E">
              <w:t xml:space="preserve">Where pre-requisite pathways have been identified. All competencies in the Common Unit Group must be have been completed plus all the </w:t>
            </w:r>
            <w:r w:rsidRPr="0070403E">
              <w:t>competencies in one (1) of the identified Pathway Unit Group(s):</w:t>
            </w:r>
          </w:p>
          <w:p w:rsidR="00000000" w:rsidP="0070403E">
            <w:pPr>
              <w:pStyle w:val="BodyText"/>
              <w:rPr>
                <w:lang w:val="en-NZ"/>
              </w:rPr>
            </w:pPr>
            <w:r w:rsidRPr="0070403E">
              <w:t>Common Unit Group</w:t>
            </w:r>
          </w:p>
        </w:tc>
      </w:tr>
      <w:tr w:rsidTr="005C64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Unit Code</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Unit Title</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Apply Occupational Health and Safety regulations, codes and practices in the workplace</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Fabricate, assemble and dismantle utilities industry components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Solve problems in d.c. Circuits</w:t>
            </w:r>
          </w:p>
        </w:tc>
      </w:tr>
      <w:tr w:rsidTr="005C64A5">
        <w:tblPrEx>
          <w:tblW w:w="0" w:type="auto"/>
          <w:tblLayout w:type="fixed"/>
          <w:tblCellMar>
            <w:left w:w="62" w:type="dxa"/>
            <w:right w:w="62" w:type="dxa"/>
          </w:tblCellMar>
          <w:tblLook w:val="0000"/>
        </w:tblPrEx>
        <w:trPr>
          <w:trHeight w:val="597"/>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Fix and secure electrotechnology equipment</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Use drawings, diagrams, schedules, standards, codes and specifications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Document and apply measures to control OHS risks associated with electrotechnology work</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Solve problems in single and three phase low voltage machines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 xml:space="preserve">Solve problems in single and three phase electrical apparatus and </w:t>
            </w:r>
            <w:r w:rsidRPr="0070403E">
              <w:t>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Arrange circuits, control and protection for general electrical installations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Solve problems in electromagnetic devices and related 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Solve problems in electromagnetic devices and related 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Terminate cables, cords and accessories for low voltage 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Trouble-shoot and repair faults in low voltage electrical apparatus and 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Develop and connect electrical control circuits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Apply e</w:t>
            </w:r>
            <w:r w:rsidRPr="0070403E">
              <w:t>nvironmentally and sustainable energy procedures in the energy sector</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70403E">
            <w:pPr>
              <w:pStyle w:val="BodyText"/>
              <w:rPr>
                <w:lang w:val="en-NZ"/>
              </w:rPr>
            </w:pPr>
            <w:r w:rsidRPr="0070403E">
              <w:t xml:space="preserve">Working safely near live electrical apparatus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70403E">
            <w:pPr>
              <w:pStyle w:val="BodyText"/>
              <w:rPr>
                <w:lang w:val="en-NZ"/>
              </w:rPr>
            </w:pPr>
            <w:r w:rsidRPr="0070403E">
              <w:t>Implement and monitor the power system organisational OHS policies, procedures and programs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70403E">
            <w:pPr>
              <w:pStyle w:val="BodyText"/>
              <w:rPr>
                <w:lang w:val="en-NZ"/>
              </w:rPr>
            </w:pPr>
            <w:r w:rsidRPr="0070403E">
              <w:t>Implement and monitor the power system environmental and sustainable energy management policies and procedures</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RPr="0070403E" w:rsidP="0070403E">
            <w:pPr>
              <w:pStyle w:val="BodyText"/>
            </w:pPr>
            <w:r w:rsidRPr="0070403E">
              <w:t>Solve problems in energy supply network equipment</w:t>
            </w:r>
          </w:p>
        </w:tc>
      </w:tr>
    </w:tbl>
    <w:p w:rsidR="00000000" w:rsidRPr="0070403E" w:rsidP="0070403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C64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 xml:space="preserve">4.2)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Participants are best equipped to achieve this unit if they have reading, writing and numeracy skills indicated by the following scales. Description of each scale is given in Volume 2, Part 3 “Literacy and Numeracy”.</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Reading</w:t>
            </w:r>
          </w:p>
        </w:tc>
        <w:tc>
          <w:tcPr>
            <w:tcW w:w="81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4</w:t>
            </w:r>
          </w:p>
        </w:tc>
        <w:tc>
          <w:tcPr>
            <w:tcW w:w="99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Writing</w:t>
            </w:r>
          </w:p>
        </w:tc>
        <w:tc>
          <w:tcPr>
            <w:tcW w:w="90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4</w:t>
            </w:r>
          </w:p>
        </w:tc>
        <w:tc>
          <w:tcPr>
            <w:tcW w:w="12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Numeracy</w:t>
            </w:r>
          </w:p>
        </w:tc>
        <w:tc>
          <w:tcPr>
            <w:tcW w:w="72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4</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6" w:name="O_465446"/>
      <w:bookmarkEnd w:id="6"/>
      <w:r w:rsidRPr="0070403E">
        <w:t>Employability Skills Information</w:t>
      </w:r>
    </w:p>
    <w:tbl>
      <w:tblPr>
        <w:tblW w:w="0" w:type="auto"/>
        <w:tblLayout w:type="fixed"/>
        <w:tblCellMar>
          <w:left w:w="62" w:type="dxa"/>
          <w:right w:w="62" w:type="dxa"/>
        </w:tblCellMar>
        <w:tblLook w:val="0000"/>
      </w:tblPr>
      <w:tblGrid>
        <w:gridCol w:w="2700"/>
        <w:gridCol w:w="5760"/>
      </w:tblGrid>
      <w:tr w:rsidTr="005C64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 xml:space="preserve">5)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 xml:space="preserve">The required outcomes described in this unit of competency contain applicable facets of Employability Skills. The Employability Skills Summary of the qualification in which this </w:t>
            </w:r>
            <w:r w:rsidRPr="0070403E">
              <w:t>unit of competency is packaged will assist in identifying Employability Skill requirements.</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7" w:name="O_465445"/>
      <w:bookmarkEnd w:id="7"/>
      <w:r w:rsidRPr="0070403E">
        <w:t>Elements and Performance Criteria Pre-Content</w:t>
      </w:r>
    </w:p>
    <w:tbl>
      <w:tblPr>
        <w:tblW w:w="0" w:type="auto"/>
        <w:tblLayout w:type="fixed"/>
        <w:tblCellMar>
          <w:left w:w="62" w:type="dxa"/>
          <w:right w:w="62" w:type="dxa"/>
        </w:tblCellMar>
        <w:tblLook w:val="0000"/>
      </w:tblPr>
      <w:tblGrid>
        <w:gridCol w:w="2700"/>
        <w:gridCol w:w="5760"/>
      </w:tblGrid>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6)</w:t>
            </w:r>
            <w:r w:rsidRPr="0070403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Performance Criteria describe the required performance needed to demonstrate achievement of the element. Assessment of performance is to be consistent with the Evidence Guide.</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8" w:name="O_465444"/>
      <w:bookmarkEnd w:id="8"/>
      <w:r w:rsidRPr="0070403E">
        <w:t>Elements and Performance Criteria</w:t>
      </w:r>
    </w:p>
    <w:tbl>
      <w:tblPr>
        <w:tblW w:w="0" w:type="auto"/>
        <w:tblLayout w:type="fixed"/>
        <w:tblCellMar>
          <w:left w:w="62" w:type="dxa"/>
          <w:right w:w="62" w:type="dxa"/>
        </w:tblCellMar>
        <w:tblLook w:val="0000"/>
      </w:tblPr>
      <w:tblGrid>
        <w:gridCol w:w="406"/>
        <w:gridCol w:w="2294"/>
        <w:gridCol w:w="838"/>
        <w:gridCol w:w="4832"/>
      </w:tblGrid>
      <w:tr w:rsidTr="005C64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ELEMENT</w:t>
            </w:r>
          </w:p>
        </w:tc>
        <w:tc>
          <w:tcPr>
            <w:tcW w:w="5670" w:type="dxa"/>
            <w:gridSpan w:val="2"/>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PERFORMANCE CRITER</w:t>
            </w:r>
            <w:r w:rsidRPr="0070403E">
              <w:rPr>
                <w:rStyle w:val="SpecialBold"/>
              </w:rPr>
              <w:t>IA</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w:t>
            </w:r>
          </w:p>
        </w:tc>
        <w:tc>
          <w:tcPr>
            <w:tcW w:w="2294"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Prepare/plan to maintain traction network wiring systems</w:t>
            </w: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1.1</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Works schedule(s), including drawings, plans, requirements, established procedures, and material lists, are received, analysed and confirmed, if necessary, by site inspection.</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1.2</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Relevant requirements and established procedures for the work are communicated to all personnel and identified for all work sites.</w:t>
            </w:r>
          </w:p>
        </w:tc>
      </w:tr>
      <w:tr w:rsidTr="005C64A5">
        <w:tblPrEx>
          <w:tblW w:w="0" w:type="auto"/>
          <w:tblLayout w:type="fixed"/>
          <w:tblCellMar>
            <w:left w:w="62" w:type="dxa"/>
            <w:right w:w="62" w:type="dxa"/>
          </w:tblCellMar>
          <w:tblLook w:val="0000"/>
        </w:tblPrEx>
        <w:trPr>
          <w:trHeight w:val="1325"/>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1.3</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OHS policies and procedures related to requirements and established procedures for the maintenance of traction network</w:t>
            </w:r>
            <w:r w:rsidRPr="0070403E">
              <w:t xml:space="preserve"> wiring systems are obtained and confirmed for the purposes of the work to be performed and communicated.</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1.4</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Work is prioritised and sequenced following consultation with others for completion within acceptable timeframes and</w:t>
            </w:r>
            <w:r w:rsidRPr="0070403E">
              <w:t xml:space="preserve">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1.5</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Hazards are identified; OHS risks assessed and control measures are prioritised, implemented and monitored including emergency exits kept clear according to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1.6</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Relevant work per</w:t>
            </w:r>
            <w:r w:rsidRPr="0070403E">
              <w:t>mits are obtained to access and perform work according to requirements and/or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1.7</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Resources including personnel, equipment, tools and personal protective equipment required for the job are obtained and confirmed in working order.</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1.8</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Relevant personnel at worksite are confirmed current in CPR, First Aid, and other rescue procedures and related work procedures according to requirements.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1.9</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Liaison and communication issues with other authorised personnel, authorities, clients</w:t>
            </w:r>
            <w:r w:rsidRPr="0070403E">
              <w:t xml:space="preserve"> and land owners are resolved to carry out work where necessary.</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1.10</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Site is prepared according to the work schedule and to minimise risk and damage to property, commerce, and individuals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1.11</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Personnel participating in the work, including plant operators and contractors, are fully briefed and respective responsibilities confirmed where applicable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1.12</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Rail/Road signs, barriers and warning devices ar</w:t>
            </w:r>
            <w:r w:rsidRPr="0070403E">
              <w:t>e positioned in accordance with requirements.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1.13</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Environmental constraints applicable to work are identified and control measures applied</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w:t>
            </w:r>
          </w:p>
        </w:tc>
        <w:tc>
          <w:tcPr>
            <w:tcW w:w="2294"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Carry out the maintenance of traction network wiring systems</w:t>
            </w: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2.1</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OHS and sustainable energy principles and pra</w:t>
            </w:r>
            <w:r w:rsidRPr="0070403E">
              <w:t>ctices to reduce the incidents of accidents and minimise waste are monitored and followed in accordance with requirements and/or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2.2</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Lifting, climbing, working aloft, and use of power tools/equipment, techniques and practices are safely followed and, currency according to requirements confirmed.</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2.3</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Systems and circuits are isolated as required, proved safe to work on in accordance w</w:t>
            </w:r>
            <w:r w:rsidRPr="0070403E">
              <w:t>ith the requirements/permits and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2.4</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Essential knowledge and associated skills are applied in the safe maintenance of traction network wiring systems to ensure completion in an agreed timeframe and, to quality standards with a mi</w:t>
            </w:r>
            <w:r w:rsidRPr="0070403E">
              <w:t>nimum of waste according to requirements.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2.5</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 xml:space="preserve">Maintenance, including repair and/or replacement of overhead traction wiring systems, including the modification and re-adjustment of overhead traction conductors is carried out, in accordance with the work </w:t>
            </w:r>
            <w:r w:rsidRPr="0070403E">
              <w:t>schedule and requirements/established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2.6</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Profiling completed according to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2.7</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Hazard warnings and safety signs are recognised and hazards and assessed OHS risks are reported to the immediate authorised persons for directions according to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2.8</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Unplanned events in the maintenance of traction network wiring sy</w:t>
            </w:r>
            <w:r w:rsidRPr="0070403E">
              <w:t>stems are undertaken within the scope of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2.9</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Known solutions to a variety of problems are applied using acquired essential knowledge and associated skills.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2.10</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Ongoing checks of quality of the work are undertaken in accordanc</w:t>
            </w:r>
            <w:r w:rsidRPr="0070403E">
              <w:t>e with instructions and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w:t>
            </w:r>
          </w:p>
        </w:tc>
        <w:tc>
          <w:tcPr>
            <w:tcW w:w="2294" w:type="dxa"/>
            <w:vMerge w:val="restart"/>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 xml:space="preserve">Complete the maintenance of traction network wiring systems </w:t>
            </w: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3.1</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Work undertaken is checked against design drawings and works schedule for conformance with requirements and anomalies reported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3.2</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Accidents and/or injuries are reported in accordance with requirements/establis</w:t>
            </w:r>
            <w:r w:rsidRPr="0070403E">
              <w:t>hed procedures, where applicable.</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3.3</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Work site is rehabilitated, cleaned up and made safe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3.4</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Tools, equipment and any surplus resources and materials are, where appropriate, cleaned, checked and returned to storage in accordance with established procedures.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3.5</w:t>
            </w:r>
          </w:p>
        </w:tc>
        <w:tc>
          <w:tcPr>
            <w:tcW w:w="4832"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Relevant work permit(s) are signed off and, the overhead traction network wiring sys</w:t>
            </w:r>
            <w:r w:rsidRPr="0070403E">
              <w:t>tem is returned to service in accordance with requirements.</w:t>
            </w:r>
          </w:p>
        </w:tc>
      </w:tr>
      <w:tr w:rsidTr="005C64A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t>3.6</w:t>
            </w:r>
          </w:p>
        </w:tc>
        <w:tc>
          <w:tcPr>
            <w:tcW w:w="4832"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Works completion records, reports, as installed /modified drawing and/or documentation and information are finalised and processed and appropriate personnel notified.</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9" w:name="O_465452"/>
      <w:bookmarkEnd w:id="9"/>
      <w:r w:rsidRPr="0070403E">
        <w:t>Req</w:t>
      </w:r>
      <w:r w:rsidRPr="0070403E">
        <w:t>uired Skills and Knowledge</w:t>
      </w:r>
    </w:p>
    <w:tbl>
      <w:tblPr>
        <w:tblW w:w="0" w:type="auto"/>
        <w:tblLayout w:type="fixed"/>
        <w:tblCellMar>
          <w:left w:w="62" w:type="dxa"/>
          <w:right w:w="62" w:type="dxa"/>
        </w:tblCellMar>
        <w:tblLook w:val="0000"/>
      </w:tblPr>
      <w:tblGrid>
        <w:gridCol w:w="8460"/>
      </w:tblGrid>
      <w:tr w:rsidTr="005C64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REQUIRED SKILLS AND KNOWLEDGE</w:t>
            </w:r>
          </w:p>
        </w:tc>
      </w:tr>
      <w:tr w:rsidTr="005C64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8)</w:t>
            </w:r>
            <w:r w:rsidRPr="0070403E">
              <w:t xml:space="preserve"> Essential Knowledge and Associated Skills (EKAS): This describes the essential skills and knowledge and their level, required for this unit.</w:t>
            </w:r>
          </w:p>
          <w:p w:rsidR="00000000" w:rsidRPr="0070403E" w:rsidP="0070403E">
            <w:pPr>
              <w:pStyle w:val="BodyText"/>
            </w:pPr>
            <w:r w:rsidRPr="0070403E">
              <w:t>Evidence shall show that knowledge of maintaining overhead traction wiring systems has been acquired.</w:t>
            </w:r>
          </w:p>
          <w:p w:rsidR="00000000" w:rsidRPr="0070403E" w:rsidP="0070403E">
            <w:pPr>
              <w:pStyle w:val="BodyText"/>
            </w:pPr>
            <w:r w:rsidRPr="0070403E">
              <w:t>All knowledge and skills detailed in this unit should be contextualised to current industry practices and technologies.</w:t>
            </w:r>
          </w:p>
          <w:p w:rsidR="00000000" w:rsidRPr="0070403E" w:rsidP="0070403E">
            <w:pPr>
              <w:pStyle w:val="BodyText"/>
            </w:pPr>
            <w:r w:rsidRPr="0070403E">
              <w:t>KS01-TRT36A</w:t>
            </w:r>
            <w:r w:rsidRPr="0070403E">
              <w:tab/>
              <w:t>Electrical Rail Tracti</w:t>
            </w:r>
            <w:r w:rsidRPr="0070403E">
              <w:t>on Wiring Systems Maintenance</w:t>
            </w:r>
          </w:p>
          <w:p w:rsidR="00000000" w:rsidRPr="0070403E" w:rsidP="0070403E">
            <w:pPr>
              <w:pStyle w:val="BodyText"/>
            </w:pPr>
            <w:r w:rsidRPr="0070403E">
              <w:t>Evidence shall show an understanding of electrical rail traction wiring systems maintenance to an extent indicated by the following aspects:</w:t>
            </w:r>
          </w:p>
          <w:p w:rsidR="00000000" w:rsidRPr="0070403E" w:rsidP="0070403E">
            <w:pPr>
              <w:pStyle w:val="BodyText"/>
            </w:pPr>
            <w:r w:rsidRPr="0070403E">
              <w:t>T1</w:t>
            </w:r>
            <w:r w:rsidRPr="0070403E">
              <w:tab/>
              <w:t>Standards, codes, legislation, supply authority regulations and or enterprise requ</w:t>
            </w:r>
            <w:r w:rsidRPr="0070403E">
              <w:t>irements applicable to the electrical traction</w:t>
            </w:r>
          </w:p>
          <w:p w:rsidR="00000000" w:rsidRPr="0070403E" w:rsidP="0070403E">
            <w:pPr>
              <w:pStyle w:val="BodyText"/>
            </w:pPr>
            <w:r w:rsidRPr="0070403E">
              <w:t>T2</w:t>
            </w:r>
            <w:r w:rsidRPr="0070403E">
              <w:tab/>
              <w:t xml:space="preserve">Electrical traction voltage and current circuit paths encompassing: </w:t>
            </w:r>
          </w:p>
          <w:p w:rsidR="00000000" w:rsidRPr="0070403E" w:rsidP="0070403E">
            <w:pPr>
              <w:pStyle w:val="ListBullet"/>
            </w:pPr>
            <w:r w:rsidRPr="0070403E">
              <w:t>Transmission distribution voltages</w:t>
            </w:r>
          </w:p>
          <w:p w:rsidR="00000000" w:rsidRPr="0070403E" w:rsidP="0070403E">
            <w:pPr>
              <w:pStyle w:val="ListBullet"/>
            </w:pPr>
            <w:r w:rsidRPr="0070403E">
              <w:t>Traction supply system and voltages</w:t>
            </w:r>
          </w:p>
          <w:p w:rsidR="00000000" w:rsidRPr="0070403E" w:rsidP="0070403E">
            <w:pPr>
              <w:pStyle w:val="ListBullet"/>
            </w:pPr>
            <w:r w:rsidRPr="0070403E">
              <w:t>Return and stay current paths, including electrolysis</w:t>
            </w:r>
          </w:p>
          <w:p w:rsidR="00000000" w:rsidRPr="0070403E" w:rsidP="0070403E">
            <w:pPr>
              <w:pStyle w:val="BodyText"/>
            </w:pPr>
            <w:r w:rsidRPr="0070403E">
              <w:t>T3</w:t>
            </w:r>
            <w:r w:rsidRPr="0070403E">
              <w:tab/>
              <w:t>Relation</w:t>
            </w:r>
            <w:r w:rsidRPr="0070403E">
              <w:t>ship of sectioning, section insulator and overlaps/air gaps in a traction power system</w:t>
            </w:r>
          </w:p>
          <w:p w:rsidR="00000000" w:rsidRPr="0070403E" w:rsidP="0070403E">
            <w:pPr>
              <w:pStyle w:val="BodyText"/>
            </w:pPr>
            <w:r w:rsidRPr="0070403E">
              <w:t>T4</w:t>
            </w:r>
            <w:r w:rsidRPr="0070403E">
              <w:tab/>
              <w:t xml:space="preserve">Traction power system components encompassing: </w:t>
            </w:r>
          </w:p>
          <w:p w:rsidR="00000000" w:rsidRPr="0070403E" w:rsidP="0070403E">
            <w:pPr>
              <w:pStyle w:val="ListBullet"/>
            </w:pPr>
            <w:r w:rsidRPr="0070403E">
              <w:t>Function of transformer/rectifiers</w:t>
            </w:r>
          </w:p>
          <w:p w:rsidR="00000000" w:rsidRPr="0070403E" w:rsidP="0070403E">
            <w:pPr>
              <w:pStyle w:val="ListBullet"/>
            </w:pPr>
            <w:r w:rsidRPr="0070403E">
              <w:t>Configuration and purpose of traction overhead wiring systems</w:t>
            </w:r>
          </w:p>
          <w:p w:rsidR="00000000" w:rsidRPr="0070403E" w:rsidP="0070403E">
            <w:pPr>
              <w:pStyle w:val="ListBullet"/>
            </w:pPr>
            <w:r w:rsidRPr="0070403E">
              <w:t>Function of isolator</w:t>
            </w:r>
            <w:r w:rsidRPr="0070403E">
              <w:t>s/switches</w:t>
            </w:r>
          </w:p>
          <w:p w:rsidR="00000000" w:rsidRPr="0070403E" w:rsidP="0070403E">
            <w:pPr>
              <w:pStyle w:val="ListBullet"/>
            </w:pPr>
            <w:r w:rsidRPr="0070403E">
              <w:t>Function of the circuit breaker</w:t>
            </w:r>
          </w:p>
          <w:p w:rsidR="00000000" w:rsidRPr="0070403E" w:rsidP="0070403E">
            <w:pPr>
              <w:pStyle w:val="ListBullet"/>
            </w:pPr>
            <w:r w:rsidRPr="0070403E">
              <w:t>Reliability and security of traction supply</w:t>
            </w:r>
          </w:p>
          <w:p w:rsidR="00000000" w:rsidRPr="0070403E" w:rsidP="0070403E">
            <w:pPr>
              <w:pStyle w:val="BodyText"/>
            </w:pPr>
            <w:r w:rsidRPr="0070403E">
              <w:t>T5</w:t>
            </w:r>
            <w:r w:rsidRPr="0070403E">
              <w:tab/>
              <w:t xml:space="preserve">Traction power system electrical protection encompassing: </w:t>
            </w:r>
          </w:p>
          <w:p w:rsidR="00000000" w:rsidRPr="0070403E" w:rsidP="0070403E">
            <w:pPr>
              <w:pStyle w:val="ListBullet"/>
            </w:pPr>
            <w:r w:rsidRPr="0070403E">
              <w:t>Load protection</w:t>
            </w:r>
          </w:p>
          <w:p w:rsidR="00000000" w:rsidRPr="0070403E" w:rsidP="0070403E">
            <w:pPr>
              <w:pStyle w:val="ListBullet"/>
            </w:pPr>
            <w:r w:rsidRPr="0070403E">
              <w:t>Surge protection</w:t>
            </w:r>
          </w:p>
          <w:p w:rsidR="00000000" w:rsidRPr="0070403E" w:rsidP="0070403E">
            <w:pPr>
              <w:pStyle w:val="ListBullet"/>
            </w:pPr>
            <w:r w:rsidRPr="0070403E">
              <w:t>Fault protection</w:t>
            </w:r>
          </w:p>
          <w:p w:rsidR="00000000" w:rsidRPr="0070403E" w:rsidP="0070403E">
            <w:pPr>
              <w:pStyle w:val="ListBullet"/>
            </w:pPr>
            <w:r w:rsidRPr="0070403E">
              <w:t>Electrolytic protection</w:t>
            </w:r>
          </w:p>
          <w:p w:rsidR="00000000" w:rsidRPr="0070403E" w:rsidP="0070403E">
            <w:pPr>
              <w:pStyle w:val="BodyText"/>
            </w:pPr>
            <w:r w:rsidRPr="0070403E">
              <w:t>T6</w:t>
            </w:r>
            <w:r w:rsidRPr="0070403E">
              <w:tab/>
            </w:r>
            <w:r w:rsidRPr="0070403E">
              <w:t xml:space="preserve">Impact of electromagnetic forces encompassing: </w:t>
            </w:r>
          </w:p>
          <w:p w:rsidR="00000000" w:rsidRPr="0070403E" w:rsidP="0070403E">
            <w:pPr>
              <w:pStyle w:val="ListBullet"/>
            </w:pPr>
            <w:r w:rsidRPr="0070403E">
              <w:t>Telephone interference</w:t>
            </w:r>
          </w:p>
          <w:p w:rsidR="00000000" w:rsidRPr="0070403E" w:rsidP="0070403E">
            <w:pPr>
              <w:pStyle w:val="ListBullet"/>
            </w:pPr>
            <w:r w:rsidRPr="0070403E">
              <w:t>Effects of television/radio interference</w:t>
            </w:r>
          </w:p>
          <w:p w:rsidR="00000000" w:rsidRPr="0070403E" w:rsidP="0070403E">
            <w:pPr>
              <w:pStyle w:val="BodyText"/>
            </w:pPr>
            <w:r w:rsidRPr="0070403E">
              <w:t>T7</w:t>
            </w:r>
            <w:r w:rsidRPr="0070403E">
              <w:tab/>
              <w:t xml:space="preserve">Insulation methods in a traction power system encompassing: </w:t>
            </w:r>
          </w:p>
          <w:p w:rsidR="00000000" w:rsidRPr="0070403E" w:rsidP="0070403E">
            <w:pPr>
              <w:pStyle w:val="ListBullet"/>
            </w:pPr>
            <w:r w:rsidRPr="0070403E">
              <w:t>Types of electrical insulation</w:t>
            </w:r>
          </w:p>
          <w:p w:rsidR="00000000" w:rsidRPr="0070403E" w:rsidP="0070403E">
            <w:pPr>
              <w:pStyle w:val="ListBullet"/>
            </w:pPr>
            <w:r w:rsidRPr="0070403E">
              <w:t>Insulation coordination</w:t>
            </w:r>
          </w:p>
          <w:p w:rsidR="00000000" w:rsidRPr="0070403E" w:rsidP="0070403E">
            <w:pPr>
              <w:pStyle w:val="ListBullet"/>
            </w:pPr>
            <w:r w:rsidRPr="0070403E">
              <w:t>Reason for electrical c</w:t>
            </w:r>
            <w:r w:rsidRPr="0070403E">
              <w:t>learances</w:t>
            </w:r>
          </w:p>
          <w:p w:rsidR="00000000" w:rsidRPr="0070403E" w:rsidP="0070403E">
            <w:pPr>
              <w:pStyle w:val="BodyText"/>
            </w:pPr>
            <w:r w:rsidRPr="0070403E">
              <w:t>T8</w:t>
            </w:r>
            <w:r w:rsidRPr="0070403E">
              <w:tab/>
              <w:t>Bonding systems - structure bonds, traction bonds/bonding cables and impedance bonds</w:t>
            </w:r>
          </w:p>
          <w:p w:rsidR="00000000" w:rsidRPr="0070403E" w:rsidP="0070403E">
            <w:pPr>
              <w:pStyle w:val="BodyText"/>
            </w:pPr>
            <w:r w:rsidRPr="0070403E">
              <w:t>T9</w:t>
            </w:r>
            <w:r w:rsidRPr="0070403E">
              <w:tab/>
              <w:t>Ancillary conductors - feeder wires, current return path and other ancillary conductors</w:t>
            </w:r>
          </w:p>
          <w:p w:rsidR="00000000" w:rsidRPr="0070403E" w:rsidP="0070403E">
            <w:pPr>
              <w:pStyle w:val="ListBullet"/>
            </w:pPr>
            <w:r w:rsidRPr="0070403E">
              <w:t>Relationship of current and potential drapers/jumpers to the tract</w:t>
            </w:r>
            <w:r w:rsidRPr="0070403E">
              <w:t>ion power system</w:t>
            </w:r>
          </w:p>
          <w:p w:rsidR="00000000" w:rsidRPr="0070403E" w:rsidP="0070403E">
            <w:pPr>
              <w:pStyle w:val="ListBullet"/>
            </w:pPr>
            <w:r w:rsidRPr="0070403E">
              <w:t>Methods to achieving smooth current collector transitions and interfaces</w:t>
            </w:r>
          </w:p>
          <w:p w:rsidR="00000000" w:rsidRPr="0070403E" w:rsidP="0070403E">
            <w:pPr>
              <w:pStyle w:val="BodyText"/>
            </w:pPr>
            <w:r w:rsidRPr="0070403E">
              <w:t>T10</w:t>
            </w:r>
            <w:r w:rsidRPr="0070403E">
              <w:tab/>
              <w:t xml:space="preserve">Dynamic and static forces encompassing: </w:t>
            </w:r>
          </w:p>
          <w:p w:rsidR="00000000" w:rsidRPr="0070403E" w:rsidP="0070403E">
            <w:pPr>
              <w:pStyle w:val="ListBullet"/>
            </w:pPr>
            <w:r w:rsidRPr="0070403E">
              <w:t>Types that effect traction systems</w:t>
            </w:r>
          </w:p>
          <w:p w:rsidR="00000000" w:rsidRPr="0070403E" w:rsidP="0070403E">
            <w:pPr>
              <w:pStyle w:val="ListBullet"/>
            </w:pPr>
            <w:r w:rsidRPr="0070403E">
              <w:t>Effects on effective registration</w:t>
            </w:r>
          </w:p>
          <w:p w:rsidR="00000000" w:rsidRPr="0070403E" w:rsidP="0070403E">
            <w:pPr>
              <w:pStyle w:val="ListBullet"/>
            </w:pPr>
            <w:r w:rsidRPr="0070403E">
              <w:t>Techniques to minimise the adverse effects</w:t>
            </w:r>
          </w:p>
          <w:p w:rsidR="00000000" w:rsidRPr="0070403E" w:rsidP="0070403E">
            <w:pPr>
              <w:pStyle w:val="BodyText"/>
            </w:pPr>
            <w:r w:rsidRPr="0070403E">
              <w:t>T11</w:t>
            </w:r>
            <w:r w:rsidRPr="0070403E">
              <w:tab/>
            </w:r>
            <w:r w:rsidRPr="0070403E">
              <w:t>Overhead traction equipment encompassing:</w:t>
            </w:r>
          </w:p>
          <w:p w:rsidR="00000000" w:rsidRPr="0070403E" w:rsidP="0070403E">
            <w:pPr>
              <w:pStyle w:val="ListBullet"/>
            </w:pPr>
            <w:r w:rsidRPr="0070403E">
              <w:t>Types - switches/isolators, fuse switches, links, section insulators, and fuses</w:t>
            </w:r>
          </w:p>
          <w:p w:rsidR="00000000" w:rsidRPr="0070403E" w:rsidP="0070403E">
            <w:pPr>
              <w:pStyle w:val="ListBullet"/>
            </w:pPr>
            <w:r w:rsidRPr="0070403E">
              <w:t>Purpose</w:t>
            </w:r>
          </w:p>
          <w:p w:rsidR="00000000" w:rsidRPr="0070403E" w:rsidP="0070403E">
            <w:pPr>
              <w:pStyle w:val="BodyText"/>
            </w:pPr>
            <w:r w:rsidRPr="0070403E">
              <w:t>T12</w:t>
            </w:r>
            <w:r w:rsidRPr="0070403E">
              <w:tab/>
              <w:t>Types of overhead traction components encompassing:</w:t>
            </w:r>
          </w:p>
          <w:p w:rsidR="00000000" w:rsidRPr="0070403E" w:rsidP="0070403E">
            <w:pPr>
              <w:pStyle w:val="ListBullet"/>
            </w:pPr>
            <w:r w:rsidRPr="0070403E">
              <w:t>Types - cantilever hardware, droppers, bay components, portal hardwa</w:t>
            </w:r>
            <w:r w:rsidRPr="0070403E">
              <w:t>re, head span hardware, section insulators, neutral sections, registration fittings, steady span, tension regulators, and cross spans</w:t>
            </w:r>
          </w:p>
          <w:p w:rsidR="00000000" w:rsidRPr="0070403E" w:rsidP="0070403E">
            <w:pPr>
              <w:pStyle w:val="ListBullet"/>
            </w:pPr>
            <w:r w:rsidRPr="0070403E">
              <w:t>Purposes</w:t>
            </w:r>
          </w:p>
          <w:p w:rsidR="00000000" w:rsidRPr="0070403E" w:rsidP="0070403E">
            <w:pPr>
              <w:pStyle w:val="BodyText"/>
            </w:pPr>
            <w:r w:rsidRPr="0070403E">
              <w:t>T13</w:t>
            </w:r>
            <w:r w:rsidRPr="0070403E">
              <w:tab/>
              <w:t>Types of conductors used for overhead wiring such as hard-drawn, CAD, and tin-bearing copper, aluminium, stee</w:t>
            </w:r>
            <w:r w:rsidRPr="0070403E">
              <w:t>l, and other alloyed conductors</w:t>
            </w:r>
          </w:p>
          <w:p w:rsidR="00000000" w:rsidRPr="0070403E" w:rsidP="0070403E">
            <w:pPr>
              <w:pStyle w:val="BodyText"/>
            </w:pPr>
            <w:r w:rsidRPr="0070403E">
              <w:t>T14</w:t>
            </w:r>
            <w:r w:rsidRPr="0070403E">
              <w:tab/>
              <w:t>Types of traction wire support structures that may consist of portals, cantilevers, drop pieces, head spans, cross spans and pull-offs</w:t>
            </w:r>
          </w:p>
          <w:p w:rsidR="00000000" w:rsidRPr="0070403E" w:rsidP="0070403E">
            <w:pPr>
              <w:pStyle w:val="BodyText"/>
            </w:pPr>
            <w:r w:rsidRPr="0070403E">
              <w:t>T15</w:t>
            </w:r>
            <w:r w:rsidRPr="0070403E">
              <w:tab/>
              <w:t>Ancillary equipment</w:t>
            </w:r>
          </w:p>
          <w:p w:rsidR="00000000" w:rsidRPr="0070403E" w:rsidP="0070403E">
            <w:pPr>
              <w:pStyle w:val="ListBullet"/>
            </w:pPr>
            <w:r w:rsidRPr="0070403E">
              <w:t>Types - surge arresters, booster and auxiliary transformers</w:t>
            </w:r>
          </w:p>
          <w:p w:rsidR="00000000" w:rsidRPr="0070403E" w:rsidP="0070403E">
            <w:pPr>
              <w:pStyle w:val="ListBullet"/>
            </w:pPr>
            <w:r w:rsidRPr="0070403E">
              <w:t>Purpose</w:t>
            </w:r>
          </w:p>
          <w:p w:rsidR="00000000" w:rsidRPr="0070403E" w:rsidP="0070403E">
            <w:pPr>
              <w:pStyle w:val="BodyText"/>
            </w:pPr>
            <w:r w:rsidRPr="0070403E">
              <w:t>T16</w:t>
            </w:r>
            <w:r w:rsidRPr="0070403E">
              <w:tab/>
              <w:t>Methods for replacing conductors that may consist the use of:</w:t>
            </w:r>
          </w:p>
          <w:p w:rsidR="00000000" w:rsidRPr="0070403E" w:rsidP="0070403E">
            <w:pPr>
              <w:pStyle w:val="ListBullet"/>
            </w:pPr>
            <w:r w:rsidRPr="0070403E">
              <w:t>Preformed fittings</w:t>
            </w:r>
          </w:p>
          <w:p w:rsidR="00000000" w:rsidRPr="0070403E" w:rsidP="0070403E">
            <w:pPr>
              <w:pStyle w:val="ListBullet"/>
            </w:pPr>
            <w:r w:rsidRPr="0070403E">
              <w:t>Compression fittings</w:t>
            </w:r>
          </w:p>
          <w:p w:rsidR="00000000" w:rsidRPr="0070403E" w:rsidP="0070403E">
            <w:pPr>
              <w:pStyle w:val="ListBullet"/>
            </w:pPr>
            <w:r w:rsidRPr="0070403E">
              <w:t>Wedged fittings</w:t>
            </w:r>
          </w:p>
          <w:p w:rsidR="00000000" w:rsidRPr="0070403E" w:rsidP="0070403E">
            <w:pPr>
              <w:pStyle w:val="ListBullet"/>
            </w:pPr>
            <w:r w:rsidRPr="0070403E">
              <w:t>Bolted splices</w:t>
            </w:r>
          </w:p>
          <w:p w:rsidR="00000000" w:rsidRPr="0070403E" w:rsidP="0070403E">
            <w:pPr>
              <w:pStyle w:val="ListBullet"/>
            </w:pPr>
            <w:r w:rsidRPr="0070403E">
              <w:t>Lugs</w:t>
            </w:r>
          </w:p>
          <w:p w:rsidR="00000000" w:rsidRPr="0070403E" w:rsidP="0070403E">
            <w:pPr>
              <w:pStyle w:val="ListBullet"/>
            </w:pPr>
            <w:r w:rsidRPr="0070403E">
              <w:t>Bolted clamps</w:t>
            </w:r>
          </w:p>
          <w:p w:rsidR="00000000" w:rsidRPr="0070403E" w:rsidP="0070403E">
            <w:pPr>
              <w:pStyle w:val="BodyText"/>
            </w:pPr>
            <w:r w:rsidRPr="0070403E">
              <w:t>T17</w:t>
            </w:r>
            <w:r w:rsidRPr="0070403E">
              <w:tab/>
              <w:t>Methods for replacing components such as:</w:t>
            </w:r>
          </w:p>
          <w:p w:rsidR="00000000" w:rsidRPr="0070403E" w:rsidP="0070403E">
            <w:pPr>
              <w:pStyle w:val="ListBullet"/>
            </w:pPr>
            <w:r w:rsidRPr="0070403E">
              <w:t>Feeders</w:t>
            </w:r>
          </w:p>
          <w:p w:rsidR="00000000" w:rsidRPr="0070403E" w:rsidP="0070403E">
            <w:pPr>
              <w:pStyle w:val="ListBullet"/>
            </w:pPr>
            <w:r w:rsidRPr="0070403E">
              <w:t>Droppers</w:t>
            </w:r>
          </w:p>
          <w:p w:rsidR="00000000" w:rsidRPr="0070403E" w:rsidP="0070403E">
            <w:pPr>
              <w:pStyle w:val="ListBullet"/>
            </w:pPr>
            <w:r w:rsidRPr="0070403E">
              <w:t>Dissimilar conductors</w:t>
            </w:r>
          </w:p>
          <w:p w:rsidR="00000000" w:rsidRPr="0070403E" w:rsidP="0070403E">
            <w:pPr>
              <w:pStyle w:val="ListBullet"/>
            </w:pPr>
            <w:r w:rsidRPr="0070403E">
              <w:t>Jumpers</w:t>
            </w:r>
          </w:p>
          <w:p w:rsidR="00000000" w:rsidRPr="0070403E" w:rsidP="0070403E">
            <w:pPr>
              <w:pStyle w:val="ListBullet"/>
            </w:pPr>
            <w:r w:rsidRPr="0070403E">
              <w:t>Surge arresters</w:t>
            </w:r>
          </w:p>
          <w:p w:rsidR="00000000" w:rsidRPr="0070403E" w:rsidP="0070403E">
            <w:pPr>
              <w:pStyle w:val="BodyText"/>
            </w:pPr>
            <w:r w:rsidRPr="0070403E">
              <w:t>T18</w:t>
            </w:r>
            <w:r w:rsidRPr="0070403E">
              <w:tab/>
              <w:t>Use of plant and equipment for maintenance work, such as:</w:t>
            </w:r>
          </w:p>
          <w:p w:rsidR="00000000" w:rsidRPr="0070403E" w:rsidP="0070403E">
            <w:pPr>
              <w:pStyle w:val="ListBullet"/>
            </w:pPr>
            <w:r w:rsidRPr="0070403E">
              <w:t>Elevating work platforms</w:t>
            </w:r>
          </w:p>
          <w:p w:rsidR="00000000" w:rsidRPr="0070403E" w:rsidP="0070403E">
            <w:pPr>
              <w:pStyle w:val="ListBullet"/>
            </w:pPr>
            <w:r w:rsidRPr="0070403E">
              <w:t>Ladders</w:t>
            </w:r>
          </w:p>
          <w:p w:rsidR="00000000" w:rsidRPr="0070403E" w:rsidP="0070403E">
            <w:pPr>
              <w:pStyle w:val="ListBullet"/>
            </w:pPr>
            <w:r w:rsidRPr="0070403E">
              <w:t>Works trains</w:t>
            </w:r>
          </w:p>
          <w:p w:rsidR="00000000" w:rsidRPr="0070403E" w:rsidP="0070403E">
            <w:pPr>
              <w:pStyle w:val="ListBullet"/>
            </w:pPr>
            <w:r w:rsidRPr="0070403E">
              <w:t>Rail-mounted overhead wiring equipment/vehicles</w:t>
            </w:r>
          </w:p>
          <w:p w:rsidR="00000000" w:rsidRPr="0070403E" w:rsidP="0070403E">
            <w:pPr>
              <w:pStyle w:val="ListBullet"/>
            </w:pPr>
            <w:r w:rsidRPr="0070403E">
              <w:t>Road/rail height access machinery/vehicles</w:t>
            </w:r>
          </w:p>
          <w:p w:rsidR="00000000" w:rsidRPr="0070403E" w:rsidP="0070403E">
            <w:pPr>
              <w:pStyle w:val="ListBullet"/>
            </w:pPr>
            <w:r w:rsidRPr="0070403E">
              <w:t>Voltage detectors</w:t>
            </w:r>
          </w:p>
          <w:p w:rsidR="00000000" w:rsidRPr="0070403E" w:rsidP="0070403E">
            <w:pPr>
              <w:pStyle w:val="ListBullet"/>
            </w:pPr>
            <w:r w:rsidRPr="0070403E">
              <w:t>Micrometer/gau</w:t>
            </w:r>
            <w:r w:rsidRPr="0070403E">
              <w:t>ges</w:t>
            </w:r>
          </w:p>
          <w:p w:rsidR="00000000" w:rsidRPr="0070403E" w:rsidP="0070403E">
            <w:pPr>
              <w:pStyle w:val="ListBullet"/>
            </w:pPr>
            <w:r w:rsidRPr="0070403E">
              <w:t>Tension wrenches</w:t>
            </w:r>
          </w:p>
          <w:p w:rsidR="00000000" w:rsidRPr="0070403E" w:rsidP="0070403E">
            <w:pPr>
              <w:pStyle w:val="ListBullet"/>
            </w:pPr>
            <w:r w:rsidRPr="0070403E">
              <w:t>Dynamometers</w:t>
            </w:r>
          </w:p>
          <w:p w:rsidR="00000000" w:rsidRPr="0070403E" w:rsidP="0070403E">
            <w:pPr>
              <w:pStyle w:val="ListBullet"/>
            </w:pPr>
            <w:r w:rsidRPr="0070403E">
              <w:t>Other specialised tools</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10" w:name="O_465447"/>
      <w:bookmarkEnd w:id="10"/>
      <w:r w:rsidRPr="0070403E">
        <w:t>Evidence Guide</w:t>
      </w:r>
    </w:p>
    <w:tbl>
      <w:tblPr>
        <w:tblW w:w="0" w:type="auto"/>
        <w:tblLayout w:type="fixed"/>
        <w:tblCellMar>
          <w:left w:w="62" w:type="dxa"/>
          <w:right w:w="62" w:type="dxa"/>
        </w:tblCellMar>
        <w:tblLook w:val="0000"/>
      </w:tblPr>
      <w:tblGrid>
        <w:gridCol w:w="8460"/>
      </w:tblGrid>
      <w:tr w:rsidTr="005C64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EVIDENCE GUIDE</w:t>
            </w:r>
          </w:p>
        </w:tc>
      </w:tr>
      <w:tr w:rsidTr="005C64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9)</w:t>
            </w:r>
            <w:r w:rsidRPr="0070403E">
              <w:t xml:space="preserve"> This provides essential advice for assessment of the competency standard unit and must be read </w:t>
            </w:r>
            <w:r w:rsidRPr="0070403E">
              <w:t>in conjunction with the Performance Criteria and the range statement of the competency standard unit and the Training Package Assessment Guidelines.</w:t>
            </w:r>
          </w:p>
          <w:p w:rsidR="00000000" w:rsidRPr="0070403E" w:rsidP="0070403E">
            <w:pPr>
              <w:pStyle w:val="BodyText"/>
            </w:pPr>
            <w:r w:rsidRPr="0070403E">
              <w:t>The Evidence Guide forms an integral part of this Competency Standard Unit and shall be used in conjunction</w:t>
            </w:r>
            <w:r w:rsidRPr="0070403E">
              <w:t xml:space="preserve"> with all component parts of this unit and, performed in accordance with the Assessment Guidelines of this Training Package.</w:t>
            </w:r>
          </w:p>
        </w:tc>
      </w:tr>
    </w:tbl>
    <w:p w:rsidR="00000000" w:rsidRPr="0070403E" w:rsidP="0070403E">
      <w:pPr>
        <w:pStyle w:val="BodyText"/>
      </w:pPr>
    </w:p>
    <w:tbl>
      <w:tblPr>
        <w:tblW w:w="0" w:type="auto"/>
        <w:tblLayout w:type="fixed"/>
        <w:tblCellMar>
          <w:left w:w="62" w:type="dxa"/>
          <w:right w:w="62" w:type="dxa"/>
        </w:tblCellMar>
        <w:tblLook w:val="0000"/>
      </w:tblPr>
      <w:tblGrid>
        <w:gridCol w:w="1890"/>
        <w:gridCol w:w="6570"/>
      </w:tblGrid>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9.1)</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 xml:space="preserve">Longitudinal competency development approaches to assessment, such as Profiling, require data </w:t>
            </w:r>
            <w:r w:rsidRPr="0070403E">
              <w:t>to be reliably gathered in a form that can be consistently interpreted over time. This approach is best utilised in Apprenticeship programs and reduces assessment intervention. It is the Industry’s preferred model for apprenticeships. However, where summat</w:t>
            </w:r>
            <w:r w:rsidRPr="0070403E">
              <w:t>ive (or final) assessment is used it is to include the application of the competency in the normal work environment or, at a minimum, the application of the competency in a realistically simulated work environment. It is recognised that, in some circumstan</w:t>
            </w:r>
            <w:r w:rsidRPr="0070403E">
              <w:t>ces, assessment in part or full can occur outside the workplace. However, it must be in accord with Industry and, Regulatory policy in this regard.</w:t>
            </w:r>
          </w:p>
          <w:p w:rsidR="00000000" w:rsidRPr="0070403E" w:rsidP="0070403E">
            <w:pPr>
              <w:pStyle w:val="BodyText"/>
            </w:pPr>
            <w:r w:rsidRPr="0070403E">
              <w:t>Methods chosen for a particular assessment will be influenced by various factors. These include the extent o</w:t>
            </w:r>
            <w:r w:rsidRPr="0070403E">
              <w:t>f the assessment, the most effective locations for the assessment activities to take place, access to physical resources, additional safety measures that may be required and the critical nature of the competencies being assessed.</w:t>
            </w:r>
          </w:p>
          <w:p w:rsidR="00000000" w:rsidRPr="0070403E" w:rsidP="0070403E">
            <w:pPr>
              <w:pStyle w:val="BodyText"/>
            </w:pPr>
            <w:r w:rsidRPr="0070403E">
              <w:t>The critical safety nature</w:t>
            </w:r>
            <w:r w:rsidRPr="0070403E">
              <w:t xml:space="preserve"> of working with electricity, electrical equipment, gas or any other hazardous substance/material carries risk in deeming a person competent. Hence, sources of evidence need to be ‘rich’ in nature so as to minimise error in judgment.</w:t>
            </w:r>
          </w:p>
          <w:p w:rsidR="00000000" w:rsidRPr="0070403E" w:rsidP="0070403E">
            <w:pPr>
              <w:pStyle w:val="BodyText"/>
            </w:pPr>
            <w:r w:rsidRPr="0070403E">
              <w:t xml:space="preserve">Activities associated </w:t>
            </w:r>
            <w:r w:rsidRPr="0070403E">
              <w:t>with normal every day work have a bearing on the decision as to how much and how detailed the data gathered will contribute to its ‘richness’. Some skills are more critical to safety and operational requirements while the same skills may be more or less fr</w:t>
            </w:r>
            <w:r w:rsidRPr="0070403E">
              <w:t>equently practiced. These points are raised for the assessors to consider when choosing an assessment method and developing assessment instruments. Sample assessment instruments are included for Assessors in the Assessment Guidelines of this Training Packa</w:t>
            </w:r>
            <w:r w:rsidRPr="0070403E">
              <w:t>ge.</w:t>
            </w:r>
          </w:p>
        </w:tc>
      </w:tr>
    </w:tbl>
    <w:p w:rsidR="00000000" w:rsidRPr="0070403E" w:rsidP="0070403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C64A5">
        <w:tblPrEx>
          <w:tblW w:w="0" w:type="auto"/>
          <w:tblLayout w:type="fixed"/>
          <w:tblCellMar>
            <w:left w:w="62" w:type="dxa"/>
            <w:right w:w="62" w:type="dxa"/>
          </w:tblCellMar>
          <w:tblLook w:val="0000"/>
        </w:tblPrEx>
        <w:trPr>
          <w:trHeight w:val="1265"/>
        </w:trPr>
        <w:tc>
          <w:tcPr>
            <w:tcW w:w="189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9.2)</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Before the critical aspects of evidence are considered all prerequisites shall be met.</w:t>
            </w:r>
          </w:p>
          <w:p w:rsidR="00000000" w:rsidRPr="0070403E" w:rsidP="0070403E">
            <w:pPr>
              <w:pStyle w:val="BodyText"/>
            </w:pPr>
            <w:r w:rsidRPr="0070403E">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70403E" w:rsidP="0070403E">
            <w:pPr>
              <w:pStyle w:val="ListBullet"/>
            </w:pPr>
            <w:r w:rsidRPr="0070403E">
              <w:t>A</w:t>
            </w:r>
            <w:r w:rsidRPr="0070403E">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70403E" w:rsidP="0070403E">
            <w:pPr>
              <w:pStyle w:val="ListBullet2"/>
            </w:pPr>
            <w:r w:rsidRPr="0070403E">
              <w:t>Implement Occu</w:t>
            </w:r>
            <w:r w:rsidRPr="0070403E">
              <w:t>pational Health and Safety workplace procedures and practices including the use of risk control measures as specified in the Performance Criteria and range; and</w:t>
            </w:r>
          </w:p>
          <w:p w:rsidR="00000000" w:rsidRPr="0070403E" w:rsidP="0070403E">
            <w:pPr>
              <w:pStyle w:val="ListBullet2"/>
            </w:pPr>
            <w:r w:rsidRPr="0070403E">
              <w:t xml:space="preserve">Apply sustainable energy principles and practices as specified in the Performance Criteria and </w:t>
            </w:r>
            <w:r w:rsidRPr="0070403E">
              <w:t>range; and</w:t>
            </w:r>
          </w:p>
          <w:p w:rsidR="00000000" w:rsidRPr="0070403E" w:rsidP="0070403E">
            <w:pPr>
              <w:pStyle w:val="ListBullet2"/>
            </w:pPr>
            <w:r w:rsidRPr="0070403E">
              <w:t>Demonstrate an understanding of the essential knowledge and associated skills as described in this unit to such an extent that the learner’s performance outcome is reported in accordance with the preferred approach; namely a percentile graded re</w:t>
            </w:r>
            <w:r w:rsidRPr="0070403E">
              <w:t>sult, where required by the regulated environment; and</w:t>
            </w:r>
          </w:p>
          <w:p w:rsidR="00000000" w:rsidRPr="0070403E" w:rsidP="0070403E">
            <w:pPr>
              <w:pStyle w:val="ListBullet2"/>
            </w:pPr>
            <w:r w:rsidRPr="0070403E">
              <w:t>Demonstrate an appropriate level of employability skills; and</w:t>
            </w:r>
          </w:p>
          <w:p w:rsidR="00000000" w:rsidRPr="0070403E" w:rsidP="0070403E">
            <w:pPr>
              <w:pStyle w:val="ListBullet"/>
            </w:pPr>
            <w:r w:rsidRPr="0070403E">
              <w:t>Conduct work observing the relevant Anti Discrimination legislation, regulations, policies and workplace procedures; and</w:t>
            </w:r>
          </w:p>
          <w:p w:rsidR="00000000" w:rsidP="0070403E">
            <w:pPr>
              <w:pStyle w:val="ListBullet2"/>
              <w:rPr>
                <w:lang w:val="en-NZ"/>
              </w:rPr>
            </w:pPr>
            <w:r w:rsidRPr="0070403E">
              <w:t>Demonstrated per</w:t>
            </w:r>
            <w:r w:rsidRPr="0070403E">
              <w:t>formance across a representative range of contexts from the prescribed items below:</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0403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rPr>
                <w:rStyle w:val="SpecialBold"/>
              </w:rPr>
              <w:t>Range of tools/equipment/materials/procedures/workplaces/other variables</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0403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rPr>
                <w:rStyle w:val="SpecialBold"/>
              </w:rPr>
              <w:t>Item List</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Maintain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t xml:space="preserve">Support structure, </w:t>
            </w:r>
          </w:p>
          <w:p w:rsidR="00000000" w:rsidRPr="0070403E" w:rsidP="0070403E">
            <w:pPr>
              <w:pStyle w:val="BodyText"/>
            </w:pPr>
            <w:r w:rsidRPr="0070403E">
              <w:t xml:space="preserve">Span, </w:t>
            </w:r>
          </w:p>
          <w:p w:rsidR="00000000" w:rsidRPr="0070403E" w:rsidP="0070403E">
            <w:pPr>
              <w:pStyle w:val="BodyText"/>
            </w:pPr>
            <w:r w:rsidRPr="0070403E">
              <w:t xml:space="preserve">Section insulator, </w:t>
            </w:r>
          </w:p>
          <w:p w:rsidR="00000000" w:rsidRPr="0070403E" w:rsidP="0070403E">
            <w:pPr>
              <w:pStyle w:val="BodyText"/>
            </w:pPr>
            <w:r w:rsidRPr="0070403E">
              <w:t xml:space="preserve">Neutral section, </w:t>
            </w:r>
          </w:p>
          <w:p w:rsidR="00000000" w:rsidRPr="0070403E" w:rsidP="0070403E">
            <w:pPr>
              <w:pStyle w:val="BodyText"/>
            </w:pPr>
            <w:r w:rsidRPr="0070403E">
              <w:t xml:space="preserve">Midpoint anchor, </w:t>
            </w:r>
          </w:p>
          <w:p w:rsidR="00000000" w:rsidRPr="0070403E" w:rsidP="0070403E">
            <w:pPr>
              <w:pStyle w:val="BodyText"/>
            </w:pPr>
            <w:r w:rsidRPr="0070403E">
              <w:t xml:space="preserve">Support equipment, </w:t>
            </w:r>
          </w:p>
          <w:p w:rsidR="00000000" w:rsidRPr="0070403E" w:rsidP="0070403E">
            <w:pPr>
              <w:pStyle w:val="BodyText"/>
            </w:pPr>
            <w:r w:rsidRPr="0070403E">
              <w:t xml:space="preserve">Tension regulators, </w:t>
            </w:r>
          </w:p>
          <w:p w:rsidR="00000000" w:rsidRPr="0070403E" w:rsidP="0070403E">
            <w:pPr>
              <w:pStyle w:val="BodyText"/>
            </w:pPr>
            <w:r w:rsidRPr="0070403E">
              <w:t xml:space="preserve">Stay/guy wire, </w:t>
            </w:r>
          </w:p>
          <w:p w:rsidR="00000000" w:rsidP="0070403E">
            <w:pPr>
              <w:pStyle w:val="BodyText"/>
              <w:rPr>
                <w:lang w:val="en-NZ"/>
              </w:rPr>
            </w:pPr>
            <w:r w:rsidRPr="0070403E">
              <w:t>Tramway support network</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t xml:space="preserve">Catenary, </w:t>
            </w:r>
          </w:p>
          <w:p w:rsidR="00000000" w:rsidRPr="0070403E" w:rsidP="0070403E">
            <w:pPr>
              <w:pStyle w:val="BodyText"/>
            </w:pPr>
            <w:r w:rsidRPr="0070403E">
              <w:t xml:space="preserve">Dropper, </w:t>
            </w:r>
          </w:p>
          <w:p w:rsidR="00000000" w:rsidRPr="0070403E" w:rsidP="0070403E">
            <w:pPr>
              <w:pStyle w:val="BodyText"/>
            </w:pPr>
            <w:r w:rsidRPr="0070403E">
              <w:t xml:space="preserve">Contact/trolley*, </w:t>
            </w:r>
          </w:p>
          <w:p w:rsidR="00000000" w:rsidRPr="0070403E" w:rsidP="0070403E">
            <w:pPr>
              <w:pStyle w:val="BodyText"/>
            </w:pPr>
            <w:r w:rsidRPr="0070403E">
              <w:t xml:space="preserve">Feeder, </w:t>
            </w:r>
          </w:p>
          <w:p w:rsidR="00000000" w:rsidRPr="0070403E" w:rsidP="0070403E">
            <w:pPr>
              <w:pStyle w:val="BodyText"/>
            </w:pPr>
            <w:r w:rsidRPr="0070403E">
              <w:t xml:space="preserve">Earth conductor, </w:t>
            </w:r>
          </w:p>
          <w:p w:rsidR="00000000" w:rsidRPr="0070403E" w:rsidP="0070403E">
            <w:pPr>
              <w:pStyle w:val="BodyText"/>
            </w:pPr>
            <w:r w:rsidRPr="0070403E">
              <w:t xml:space="preserve">Drape/potential jumper </w:t>
            </w:r>
          </w:p>
          <w:p w:rsidR="00000000" w:rsidP="0070403E">
            <w:pPr>
              <w:pStyle w:val="BodyText"/>
              <w:rPr>
                <w:lang w:val="en-NZ"/>
              </w:rPr>
            </w:pPr>
            <w:r w:rsidRPr="0070403E">
              <w:t>(*must do)</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t>Elevat</w:t>
            </w:r>
            <w:r w:rsidRPr="0070403E">
              <w:t xml:space="preserve">ing work platform, </w:t>
            </w:r>
          </w:p>
          <w:p w:rsidR="00000000" w:rsidRPr="0070403E" w:rsidP="0070403E">
            <w:pPr>
              <w:pStyle w:val="BodyText"/>
            </w:pPr>
            <w:r w:rsidRPr="0070403E">
              <w:t xml:space="preserve">Ladder, </w:t>
            </w:r>
          </w:p>
          <w:p w:rsidR="00000000" w:rsidP="0070403E">
            <w:pPr>
              <w:pStyle w:val="BodyText"/>
              <w:rPr>
                <w:lang w:val="en-NZ"/>
              </w:rPr>
            </w:pPr>
            <w:r w:rsidRPr="0070403E">
              <w:t>Mobile platform</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t xml:space="preserve">Tensioning equipment*, </w:t>
            </w:r>
          </w:p>
          <w:p w:rsidR="00000000" w:rsidRPr="0070403E" w:rsidP="0070403E">
            <w:pPr>
              <w:pStyle w:val="BodyText"/>
            </w:pPr>
            <w:r w:rsidRPr="0070403E">
              <w:t>Specialised tools,</w:t>
            </w:r>
          </w:p>
          <w:p w:rsidR="00000000" w:rsidRPr="0070403E" w:rsidP="0070403E">
            <w:pPr>
              <w:pStyle w:val="BodyText"/>
            </w:pPr>
            <w:r w:rsidRPr="0070403E">
              <w:t xml:space="preserve">Ropes, </w:t>
            </w:r>
          </w:p>
          <w:p w:rsidR="00000000" w:rsidRPr="0070403E" w:rsidP="0070403E">
            <w:pPr>
              <w:pStyle w:val="BodyText"/>
            </w:pPr>
            <w:r w:rsidRPr="0070403E">
              <w:t xml:space="preserve">Geometry profiling equipment. </w:t>
            </w:r>
          </w:p>
          <w:p w:rsidR="00000000" w:rsidP="0070403E">
            <w:pPr>
              <w:pStyle w:val="BodyText"/>
              <w:rPr>
                <w:lang w:val="en-NZ"/>
              </w:rPr>
            </w:pPr>
            <w:r w:rsidRPr="0070403E">
              <w:t>(*must do)</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03E">
            <w:pPr>
              <w:pStyle w:val="BodyText"/>
              <w:rPr>
                <w:lang w:val="en-NZ"/>
              </w:rPr>
            </w:pPr>
            <w:r w:rsidRPr="0070403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03E" w:rsidP="0070403E">
            <w:pPr>
              <w:pStyle w:val="BodyText"/>
            </w:pPr>
            <w:r w:rsidRPr="0070403E">
              <w:t>Dealing with an unplanned event by drawing on essential knowledge and associated skills to provide appropriate solutions incorporated in the holistic assessment with the above listed items.</w:t>
            </w:r>
          </w:p>
        </w:tc>
      </w:tr>
    </w:tbl>
    <w:p w:rsidR="00000000" w:rsidRPr="0070403E" w:rsidP="0070403E">
      <w:pPr>
        <w:pStyle w:val="BodyText"/>
      </w:pPr>
    </w:p>
    <w:tbl>
      <w:tblPr>
        <w:tblW w:w="0" w:type="auto"/>
        <w:tblLayout w:type="fixed"/>
        <w:tblCellMar>
          <w:left w:w="62" w:type="dxa"/>
          <w:right w:w="62" w:type="dxa"/>
        </w:tblCellMar>
        <w:tblLook w:val="0000"/>
      </w:tblPr>
      <w:tblGrid>
        <w:gridCol w:w="1890"/>
        <w:gridCol w:w="6570"/>
      </w:tblGrid>
      <w:tr w:rsidTr="005C64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9.3)</w:t>
            </w:r>
          </w:p>
        </w:tc>
      </w:tr>
      <w:tr w:rsidTr="005C64A5">
        <w:tblPrEx>
          <w:tblW w:w="0" w:type="auto"/>
          <w:tblLayout w:type="fixed"/>
          <w:tblCellMar>
            <w:left w:w="62" w:type="dxa"/>
            <w:right w:w="62" w:type="dxa"/>
          </w:tblCellMar>
          <w:tblLook w:val="0000"/>
        </w:tblPrEx>
        <w:trPr>
          <w:trHeight w:val="2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This unit should be assessed as it relates to normal work practice using procedures, information and resources typical of a workplace. This should include:</w:t>
            </w:r>
          </w:p>
          <w:p w:rsidR="00000000" w:rsidRPr="0070403E" w:rsidP="0070403E">
            <w:pPr>
              <w:pStyle w:val="ListBullet"/>
            </w:pPr>
            <w:r w:rsidRPr="0070403E">
              <w:t>OHS policy and work procedures and instructions.</w:t>
            </w:r>
          </w:p>
          <w:p w:rsidR="00000000" w:rsidRPr="0070403E" w:rsidP="0070403E">
            <w:pPr>
              <w:pStyle w:val="ListBullet"/>
            </w:pPr>
            <w:r w:rsidRPr="0070403E">
              <w:t>Suitable work environment, facilities, equipment a</w:t>
            </w:r>
            <w:r w:rsidRPr="0070403E">
              <w:t xml:space="preserve">nd materials to undertake actual maintenance of traction network wiring systems. </w:t>
            </w:r>
          </w:p>
          <w:p w:rsidR="00000000" w:rsidRPr="0070403E" w:rsidP="0070403E">
            <w:pPr>
              <w:pStyle w:val="BodyText"/>
            </w:pPr>
            <w:r w:rsidRPr="0070403E">
              <w:t xml:space="preserve">In addition to the resources listed above, in context of and specific resources for assessment, evidence should show demonstrated competency working below ground, in limited </w:t>
            </w:r>
            <w:r w:rsidRPr="0070403E">
              <w:t>spaces, with different structural/construction types and method and in a variety of environments.</w:t>
            </w:r>
          </w:p>
        </w:tc>
      </w:tr>
    </w:tbl>
    <w:p w:rsidR="00000000" w:rsidRPr="0070403E" w:rsidP="0070403E">
      <w:pPr>
        <w:pStyle w:val="BodyText"/>
      </w:pPr>
    </w:p>
    <w:tbl>
      <w:tblPr>
        <w:tblW w:w="0" w:type="auto"/>
        <w:tblLayout w:type="fixed"/>
        <w:tblCellMar>
          <w:left w:w="62" w:type="dxa"/>
          <w:right w:w="62" w:type="dxa"/>
        </w:tblCellMar>
        <w:tblLook w:val="0000"/>
      </w:tblPr>
      <w:tblGrid>
        <w:gridCol w:w="1890"/>
        <w:gridCol w:w="6570"/>
      </w:tblGrid>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9.4)</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This Competency Standard Unit shall be assessed by methods given in Volume 1, Part 3 “Assessment Guidelines”.</w:t>
            </w:r>
          </w:p>
          <w:p w:rsidR="00000000" w:rsidRPr="0070403E" w:rsidP="0070403E">
            <w:pPr>
              <w:pStyle w:val="BodyText"/>
            </w:pPr>
            <w:r w:rsidRPr="0070403E">
              <w:t>Note:</w:t>
            </w:r>
          </w:p>
          <w:p w:rsidR="00000000" w:rsidRPr="0070403E" w:rsidP="0070403E">
            <w:pPr>
              <w:pStyle w:val="BodyText"/>
            </w:pPr>
            <w:r w:rsidRPr="0070403E">
              <w:t>Competent performance with inherent safe working practices is expected in the Transmission, Distribution and Rail Traction Industry. This requires that the specified essential knowledge and associated skills are assessed in a structured environment which i</w:t>
            </w:r>
            <w:r w:rsidRPr="0070403E">
              <w:t>s primarily intended for learning/assessment and incorporates all necessary equipment and facilities for learners to develop and demonstrate the essential knowledge and associated skills described in this unit.</w:t>
            </w:r>
          </w:p>
        </w:tc>
      </w:tr>
    </w:tbl>
    <w:p w:rsidR="00000000" w:rsidRPr="0070403E" w:rsidP="0070403E">
      <w:pPr>
        <w:pStyle w:val="BodyText"/>
      </w:pPr>
    </w:p>
    <w:tbl>
      <w:tblPr>
        <w:tblW w:w="0" w:type="auto"/>
        <w:tblLayout w:type="fixed"/>
        <w:tblCellMar>
          <w:left w:w="62" w:type="dxa"/>
          <w:right w:w="62" w:type="dxa"/>
        </w:tblCellMar>
        <w:tblLook w:val="0000"/>
      </w:tblPr>
      <w:tblGrid>
        <w:gridCol w:w="1890"/>
        <w:gridCol w:w="6570"/>
      </w:tblGrid>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Concurrent assessment and relationship with</w:t>
            </w:r>
            <w:r w:rsidRPr="0070403E">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9.5)</w:t>
            </w:r>
          </w:p>
        </w:tc>
      </w:tr>
      <w:tr w:rsidTr="005C64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For optimisation of training and assessment effort, competence in this unit may be assessed concurrently with the following units:</w:t>
            </w:r>
          </w:p>
          <w:p w:rsidR="00000000" w:rsidRPr="0070403E" w:rsidP="0070403E">
            <w:pPr>
              <w:pStyle w:val="BodyText"/>
            </w:pPr>
            <w:r w:rsidRPr="0070403E">
              <w:t>UETTDRRT37A         Maintain traction network equipment and components</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11" w:name="O_465451"/>
      <w:bookmarkEnd w:id="11"/>
      <w:r w:rsidRPr="0070403E">
        <w:t>Range Statement</w:t>
      </w:r>
    </w:p>
    <w:tbl>
      <w:tblPr>
        <w:tblW w:w="0" w:type="auto"/>
        <w:tblLayout w:type="fixed"/>
        <w:tblCellMar>
          <w:left w:w="62" w:type="dxa"/>
          <w:right w:w="62" w:type="dxa"/>
        </w:tblCellMar>
        <w:tblLook w:val="0000"/>
      </w:tblPr>
      <w:tblGrid>
        <w:gridCol w:w="8460"/>
      </w:tblGrid>
      <w:tr w:rsidTr="005C64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RANGE STATEMENT</w:t>
            </w:r>
          </w:p>
        </w:tc>
      </w:tr>
      <w:tr w:rsidTr="005C64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10)</w:t>
            </w:r>
            <w:r w:rsidRPr="0070403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0403E" w:rsidP="0070403E">
            <w:pPr>
              <w:pStyle w:val="BodyText"/>
            </w:pPr>
            <w:r w:rsidRPr="0070403E">
              <w:t xml:space="preserve">This Competency Standard Unit shall be demonstrated in relation to the maintenance of traction network wiring systems as it relates to the correct registration of the contact wire with respect to the current collectors </w:t>
            </w:r>
          </w:p>
          <w:p w:rsidR="00000000" w:rsidRPr="0070403E" w:rsidP="0070403E">
            <w:pPr>
              <w:pStyle w:val="BodyText"/>
            </w:pPr>
            <w:r w:rsidRPr="0070403E">
              <w:t>Types of conductor may include HD, C</w:t>
            </w:r>
            <w:r w:rsidRPr="0070403E">
              <w:t>AD, tin bearing and magnesium copper, aluminium, steel, aluminium conductor steel reinforced (ACSR), insulated screened and unscreened cable and pilot and control cables.</w:t>
            </w:r>
          </w:p>
          <w:p w:rsidR="00000000" w:rsidRPr="0070403E" w:rsidP="0070403E">
            <w:pPr>
              <w:pStyle w:val="BodyText"/>
            </w:pPr>
            <w:r w:rsidRPr="0070403E">
              <w:t>Materials and equipment may include porcelain, glass, ceramic, fibre glass and compos</w:t>
            </w:r>
            <w:r w:rsidRPr="0070403E">
              <w:t>ite insulators, steel, brass, stainless steel, neoprene, copper, cast and galvanized fittings, drums, pulleys, hooks, yoke plate, line grips, tensioning devices, ropes, slings, hydraulic/manual crimping and cutting tools, specialized tools and dynamometers</w:t>
            </w:r>
            <w:r w:rsidRPr="0070403E">
              <w:t>; Conductors and support wires include droppers wire, catenary wire, contact/trolley wire, earth wire, feeder wire, drape/potential jumper wire, stay wire, cross-span, networks and head span wire.</w:t>
            </w:r>
          </w:p>
          <w:p w:rsidR="00000000" w:rsidRPr="0070403E" w:rsidP="0070403E">
            <w:pPr>
              <w:pStyle w:val="BodyText"/>
            </w:pPr>
            <w:r w:rsidRPr="0070403E">
              <w:t>Associated equipment to conductors may include registration</w:t>
            </w:r>
            <w:r w:rsidRPr="0070403E">
              <w:t xml:space="preserve"> arms, midpoint anchors, section insulators, neutral sections, supports, cantilevers, portals, drop verticals, surge diverters and tensioning devices.</w:t>
            </w:r>
          </w:p>
          <w:p w:rsidR="00000000" w:rsidRPr="0070403E" w:rsidP="0070403E">
            <w:pPr>
              <w:pStyle w:val="BodyText"/>
            </w:pPr>
            <w:r w:rsidRPr="0070403E">
              <w:t>Maintenance may include the removal, repair and replacement of cables, conductors and associated hardware</w:t>
            </w:r>
            <w:r w:rsidRPr="0070403E">
              <w:t>.</w:t>
            </w:r>
          </w:p>
          <w:p w:rsidR="00000000" w:rsidRPr="0070403E" w:rsidP="0070403E">
            <w:pPr>
              <w:pStyle w:val="BodyText"/>
            </w:pPr>
            <w:r w:rsidRPr="0070403E">
              <w:t>Conductors and support wires include droppers wire, catenary wire, contact/trolley wire, earth wire, feeder wire, drape/potential jumper wire, stay wire, cross-span, networks and head span wire.</w:t>
            </w:r>
          </w:p>
          <w:p w:rsidR="00000000" w:rsidRPr="0070403E" w:rsidP="0070403E">
            <w:pPr>
              <w:pStyle w:val="BodyText"/>
            </w:pPr>
            <w:r w:rsidRPr="0070403E">
              <w:t>Associated equipment to conductors may include registration</w:t>
            </w:r>
            <w:r w:rsidRPr="0070403E">
              <w:t xml:space="preserve"> arms, midpoint anchors, section insulators, neutral sections, supports, cantilevers, portals, drop verticals, surge diverters and tensioning devices.</w:t>
            </w:r>
          </w:p>
          <w:p w:rsidR="00000000" w:rsidRPr="0070403E" w:rsidP="0070403E">
            <w:pPr>
              <w:pStyle w:val="BodyText"/>
            </w:pPr>
            <w:r w:rsidRPr="0070403E">
              <w:t>Plant may include ladders, elevating work platform, winches and capstans, specialist tensioning stringing</w:t>
            </w:r>
            <w:r w:rsidRPr="0070403E">
              <w:t xml:space="preserve"> equipment, cable trailers and drum stands, rail and road rail mounted overhead wiring vehicles.</w:t>
            </w:r>
          </w:p>
          <w:p w:rsidR="00000000" w:rsidRPr="0070403E" w:rsidP="0070403E">
            <w:pPr>
              <w:pStyle w:val="BodyText"/>
            </w:pPr>
            <w:r w:rsidRPr="0070403E">
              <w:t>Installing tension regulators encompasses fitting, positioning and securing weight chains and pulley systems.</w:t>
            </w:r>
          </w:p>
          <w:p w:rsidR="00000000" w:rsidRPr="0070403E" w:rsidP="0070403E">
            <w:pPr>
              <w:pStyle w:val="BodyText"/>
            </w:pPr>
            <w:r w:rsidRPr="0070403E">
              <w:t>Permits may include access permits, permits to wo</w:t>
            </w:r>
            <w:r w:rsidRPr="0070403E">
              <w:t>rk and or other relevant permits and documents by recognised bodies.</w:t>
            </w:r>
          </w:p>
          <w:p w:rsidR="00000000" w:rsidRPr="0070403E" w:rsidP="0070403E">
            <w:pPr>
              <w:pStyle w:val="BodyText"/>
            </w:pPr>
            <w:r w:rsidRPr="0070403E">
              <w:t>Profiling encompasses sag, tension, encumbrances, offsets, cants and registration which involves horizontal and vertical calibration of the contact wire or trolley wire to a design height</w:t>
            </w:r>
            <w:r w:rsidRPr="0070403E">
              <w:t xml:space="preserve"> and stagger in reference to the running rail.</w:t>
            </w:r>
          </w:p>
          <w:p w:rsidR="00000000" w:rsidRPr="0070403E" w:rsidP="0070403E">
            <w:pPr>
              <w:pStyle w:val="BodyText"/>
            </w:pPr>
            <w:r w:rsidRPr="0070403E">
              <w:t>Current collectors may include pantographs and tram trolley poles.</w:t>
            </w:r>
          </w:p>
          <w:p w:rsidR="00000000" w:rsidRPr="0070403E" w:rsidP="0070403E">
            <w:pPr>
              <w:pStyle w:val="BodyText"/>
            </w:pPr>
            <w:r w:rsidRPr="0070403E">
              <w:t>The following constants and variables included in the element/Performance Criteria in this unit are fully described in the Definitions Section</w:t>
            </w:r>
            <w:r w:rsidRPr="0070403E">
              <w:t xml:space="preserve"> 1 of this volume and form an integral part of the Range Statement of this unit:</w:t>
            </w:r>
          </w:p>
          <w:p w:rsidR="00000000" w:rsidRPr="0070403E" w:rsidP="0070403E">
            <w:pPr>
              <w:pStyle w:val="ListBullet3"/>
            </w:pPr>
            <w:r w:rsidRPr="0070403E">
              <w:t>Appropriate and relevant persons (see Personnel)</w:t>
            </w:r>
          </w:p>
          <w:p w:rsidR="00000000" w:rsidRPr="0070403E" w:rsidP="0070403E">
            <w:pPr>
              <w:pStyle w:val="ListBullet3"/>
            </w:pPr>
            <w:r w:rsidRPr="0070403E">
              <w:t>Appropriate authorities</w:t>
            </w:r>
          </w:p>
          <w:p w:rsidR="00000000" w:rsidRPr="0070403E" w:rsidP="0070403E">
            <w:pPr>
              <w:pStyle w:val="ListBullet3"/>
            </w:pPr>
            <w:r w:rsidRPr="0070403E">
              <w:t>Appropriate work platform</w:t>
            </w:r>
          </w:p>
          <w:p w:rsidR="00000000" w:rsidRPr="0070403E" w:rsidP="0070403E">
            <w:pPr>
              <w:pStyle w:val="ListBullet3"/>
            </w:pPr>
            <w:r w:rsidRPr="0070403E">
              <w:t>Assessing risk</w:t>
            </w:r>
          </w:p>
          <w:p w:rsidR="00000000" w:rsidRPr="0070403E" w:rsidP="0070403E">
            <w:pPr>
              <w:pStyle w:val="ListBullet3"/>
            </w:pPr>
            <w:r w:rsidRPr="0070403E">
              <w:t>Assessment</w:t>
            </w:r>
          </w:p>
          <w:p w:rsidR="00000000" w:rsidRPr="0070403E" w:rsidP="0070403E">
            <w:pPr>
              <w:pStyle w:val="ListBullet3"/>
            </w:pPr>
            <w:r w:rsidRPr="0070403E">
              <w:t>Authorisation</w:t>
            </w:r>
          </w:p>
          <w:p w:rsidR="00000000" w:rsidRPr="0070403E" w:rsidP="0070403E">
            <w:pPr>
              <w:pStyle w:val="ListBullet3"/>
            </w:pPr>
            <w:r w:rsidRPr="0070403E">
              <w:t>Confined space</w:t>
            </w:r>
          </w:p>
          <w:p w:rsidR="00000000" w:rsidRPr="0070403E" w:rsidP="0070403E">
            <w:pPr>
              <w:pStyle w:val="ListBullet3"/>
            </w:pPr>
            <w:r w:rsidRPr="0070403E">
              <w:t>Diagnostic, testing and restoration</w:t>
            </w:r>
          </w:p>
          <w:p w:rsidR="00000000" w:rsidRPr="0070403E" w:rsidP="0070403E">
            <w:pPr>
              <w:pStyle w:val="ListBullet3"/>
            </w:pPr>
            <w:r w:rsidRPr="0070403E">
              <w:t>Documenting detail of work events, record keeping and or storage of information</w:t>
            </w:r>
          </w:p>
          <w:p w:rsidR="00000000" w:rsidRPr="0070403E" w:rsidP="0070403E">
            <w:pPr>
              <w:pStyle w:val="ListBullet3"/>
            </w:pPr>
            <w:r w:rsidRPr="0070403E">
              <w:t xml:space="preserve">Drawings and specifications </w:t>
            </w:r>
          </w:p>
          <w:p w:rsidR="00000000" w:rsidRPr="0070403E" w:rsidP="0070403E">
            <w:pPr>
              <w:pStyle w:val="ListBullet3"/>
            </w:pPr>
            <w:r w:rsidRPr="0070403E">
              <w:t>Emergency</w:t>
            </w:r>
          </w:p>
          <w:p w:rsidR="00000000" w:rsidRPr="0070403E" w:rsidP="0070403E">
            <w:pPr>
              <w:pStyle w:val="ListBullet3"/>
            </w:pPr>
            <w:r w:rsidRPr="0070403E">
              <w:t>Environmental and sustainable energy procedures</w:t>
            </w:r>
          </w:p>
          <w:p w:rsidR="00000000" w:rsidRPr="0070403E" w:rsidP="0070403E">
            <w:pPr>
              <w:pStyle w:val="ListBullet3"/>
            </w:pPr>
            <w:r w:rsidRPr="0070403E">
              <w:t>Environmental legislation</w:t>
            </w:r>
          </w:p>
          <w:p w:rsidR="00000000" w:rsidRPr="0070403E" w:rsidP="0070403E">
            <w:pPr>
              <w:pStyle w:val="ListBullet3"/>
            </w:pPr>
            <w:r w:rsidRPr="0070403E">
              <w:t>Environmental management do</w:t>
            </w:r>
            <w:r w:rsidRPr="0070403E">
              <w:t>cumentation</w:t>
            </w:r>
          </w:p>
          <w:p w:rsidR="00000000" w:rsidRPr="0070403E" w:rsidP="0070403E">
            <w:pPr>
              <w:pStyle w:val="ListBullet3"/>
            </w:pPr>
            <w:r w:rsidRPr="0070403E">
              <w:t>Established procedures</w:t>
            </w:r>
          </w:p>
          <w:p w:rsidR="00000000" w:rsidRPr="0070403E" w:rsidP="0070403E">
            <w:pPr>
              <w:pStyle w:val="ListBullet3"/>
            </w:pPr>
            <w:r w:rsidRPr="0070403E">
              <w:t>Fall prevention</w:t>
            </w:r>
          </w:p>
          <w:p w:rsidR="00000000" w:rsidRPr="0070403E" w:rsidP="0070403E">
            <w:pPr>
              <w:pStyle w:val="ListBullet3"/>
            </w:pPr>
            <w:r w:rsidRPr="0070403E">
              <w:t>Hazards</w:t>
            </w:r>
          </w:p>
          <w:p w:rsidR="00000000" w:rsidRPr="0070403E" w:rsidP="0070403E">
            <w:pPr>
              <w:pStyle w:val="ListBullet3"/>
            </w:pPr>
            <w:r w:rsidRPr="0070403E">
              <w:t>Identifying hazards</w:t>
            </w:r>
          </w:p>
          <w:p w:rsidR="00000000" w:rsidRPr="0070403E" w:rsidP="0070403E">
            <w:pPr>
              <w:pStyle w:val="ListBullet3"/>
            </w:pPr>
            <w:r w:rsidRPr="0070403E">
              <w:t>Inspect</w:t>
            </w:r>
          </w:p>
          <w:p w:rsidR="00000000" w:rsidRPr="0070403E" w:rsidP="0070403E">
            <w:pPr>
              <w:pStyle w:val="ListBullet3"/>
            </w:pPr>
            <w:r w:rsidRPr="0070403E">
              <w:t>Legislation</w:t>
            </w:r>
          </w:p>
          <w:p w:rsidR="00000000" w:rsidRPr="0070403E" w:rsidP="0070403E">
            <w:pPr>
              <w:pStyle w:val="ListBullet3"/>
            </w:pPr>
            <w:r w:rsidRPr="0070403E">
              <w:t>MSDS</w:t>
            </w:r>
          </w:p>
          <w:p w:rsidR="00000000" w:rsidRPr="0070403E" w:rsidP="0070403E">
            <w:pPr>
              <w:pStyle w:val="ListBullet3"/>
            </w:pPr>
            <w:r w:rsidRPr="0070403E">
              <w:t>Notification</w:t>
            </w:r>
          </w:p>
          <w:p w:rsidR="00000000" w:rsidRPr="0070403E" w:rsidP="0070403E">
            <w:pPr>
              <w:pStyle w:val="ListBullet3"/>
            </w:pPr>
            <w:r w:rsidRPr="0070403E">
              <w:t>OHS practices</w:t>
            </w:r>
          </w:p>
          <w:p w:rsidR="00000000" w:rsidRPr="0070403E" w:rsidP="0070403E">
            <w:pPr>
              <w:pStyle w:val="ListBullet3"/>
            </w:pPr>
            <w:r w:rsidRPr="0070403E">
              <w:t>OHS issues</w:t>
            </w:r>
          </w:p>
          <w:p w:rsidR="00000000" w:rsidRPr="0070403E" w:rsidP="0070403E">
            <w:pPr>
              <w:pStyle w:val="ListBullet3"/>
            </w:pPr>
            <w:r w:rsidRPr="0070403E">
              <w:t>Permits and/or permits to work</w:t>
            </w:r>
          </w:p>
          <w:p w:rsidR="00000000" w:rsidRPr="0070403E" w:rsidP="0070403E">
            <w:pPr>
              <w:pStyle w:val="ListBullet3"/>
            </w:pPr>
            <w:r w:rsidRPr="0070403E">
              <w:t>Personnel</w:t>
            </w:r>
          </w:p>
          <w:p w:rsidR="00000000" w:rsidRPr="0070403E" w:rsidP="0070403E">
            <w:pPr>
              <w:pStyle w:val="ListBullet3"/>
            </w:pPr>
            <w:r w:rsidRPr="0070403E">
              <w:t>Quality assurance systems</w:t>
            </w:r>
          </w:p>
          <w:p w:rsidR="00000000" w:rsidRPr="0070403E" w:rsidP="0070403E">
            <w:pPr>
              <w:pStyle w:val="ListBullet3"/>
            </w:pPr>
            <w:r w:rsidRPr="0070403E">
              <w:t>Requirements</w:t>
            </w:r>
          </w:p>
          <w:p w:rsidR="00000000" w:rsidRPr="0070403E" w:rsidP="0070403E">
            <w:pPr>
              <w:pStyle w:val="ListBullet3"/>
            </w:pPr>
            <w:r w:rsidRPr="0070403E">
              <w:t>Testing procedures</w:t>
            </w:r>
          </w:p>
          <w:p w:rsidR="00000000" w:rsidRPr="0070403E" w:rsidP="0070403E">
            <w:pPr>
              <w:pStyle w:val="ListBullet3"/>
            </w:pPr>
            <w:r w:rsidRPr="0070403E">
              <w:t>Work clearance systems</w:t>
            </w:r>
          </w:p>
        </w:tc>
      </w:tr>
    </w:tbl>
    <w:p w:rsidR="00000000" w:rsidRPr="0070403E" w:rsidP="0070403E">
      <w:pPr>
        <w:pStyle w:val="BodyText"/>
      </w:pPr>
    </w:p>
    <w:p w:rsidR="00000000" w:rsidRPr="0070403E" w:rsidP="0070403E">
      <w:pPr>
        <w:pStyle w:val="AllowPageBreak"/>
      </w:pPr>
    </w:p>
    <w:p w:rsidR="00000000" w:rsidRPr="0070403E" w:rsidP="0070403E">
      <w:pPr>
        <w:pStyle w:val="Heading1"/>
      </w:pPr>
      <w:bookmarkStart w:id="12" w:name="O_465454"/>
      <w:bookmarkEnd w:id="12"/>
      <w:r w:rsidRPr="0070403E">
        <w:t>Unit Sector(s)</w:t>
      </w:r>
    </w:p>
    <w:p w:rsidR="00000000" w:rsidRPr="0070403E" w:rsidP="0070403E">
      <w:pPr>
        <w:pStyle w:val="BodyText"/>
      </w:pPr>
      <w:r w:rsidRPr="0070403E">
        <w:t>Not applicable.</w:t>
      </w:r>
    </w:p>
    <w:p w:rsidR="00000000" w:rsidRPr="0070403E" w:rsidP="0070403E">
      <w:pPr>
        <w:pStyle w:val="AllowPageBreak"/>
      </w:pPr>
    </w:p>
    <w:p w:rsidR="00000000" w:rsidRPr="0070403E" w:rsidP="0070403E">
      <w:pPr>
        <w:pStyle w:val="Heading1"/>
      </w:pPr>
      <w:bookmarkStart w:id="13" w:name="O_465443"/>
      <w:bookmarkEnd w:id="13"/>
      <w:r w:rsidRPr="0070403E">
        <w:t>Competency Field</w:t>
      </w:r>
    </w:p>
    <w:tbl>
      <w:tblPr>
        <w:tblW w:w="0" w:type="auto"/>
        <w:tblLayout w:type="fixed"/>
        <w:tblCellMar>
          <w:left w:w="62" w:type="dxa"/>
          <w:right w:w="62" w:type="dxa"/>
        </w:tblCellMar>
        <w:tblLook w:val="0000"/>
      </w:tblPr>
      <w:tblGrid>
        <w:gridCol w:w="2700"/>
        <w:gridCol w:w="5760"/>
      </w:tblGrid>
      <w:tr w:rsidTr="005C64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403E">
            <w:pPr>
              <w:pStyle w:val="BodyText"/>
              <w:rPr>
                <w:lang w:val="en-NZ"/>
              </w:rPr>
            </w:pPr>
            <w:r w:rsidRPr="0070403E">
              <w:rPr>
                <w:rStyle w:val="SpecialBold"/>
              </w:rPr>
              <w:t xml:space="preserve">11) </w:t>
            </w:r>
          </w:p>
        </w:tc>
      </w:tr>
      <w:tr w:rsidTr="005C64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403E" w:rsidP="0070403E">
            <w:pPr>
              <w:pStyle w:val="BodyText"/>
            </w:pPr>
            <w:r w:rsidRPr="0070403E">
              <w:t>Rail Traction Units</w:t>
            </w:r>
          </w:p>
        </w:tc>
      </w:tr>
    </w:tbl>
    <w:p w:rsidR="00000000" w:rsidRPr="0070403E" w:rsidP="0070403E">
      <w:pPr>
        <w:pStyle w:val="BodyText"/>
      </w:pPr>
    </w:p>
    <w:p w:rsidR="00000000" w:rsidRPr="0070403E" w:rsidP="0070403E"/>
    <w:sectPr w:rsidSect="007040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4A5" w:rsidP="005C6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A5" w:rsidP="00704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C64A5" w:rsidP="007040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64A5" w:rsidP="007040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4A5" w:rsidP="005C6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A5" w:rsidP="0070403E">
    <w:pPr>
      <w:pStyle w:val="Header"/>
      <w:framePr w:wrap="around"/>
    </w:pPr>
    <w:r>
      <w:fldChar w:fldCharType="begin"/>
    </w:r>
    <w:r>
      <w:instrText xml:space="preserve"> TITLE   \* MERGEFORMAT </w:instrText>
    </w:r>
    <w:r>
      <w:fldChar w:fldCharType="separate"/>
    </w:r>
    <w:r>
      <w:t>UETTDRRT36A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64A5" w:rsidP="007040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09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4A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4A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03E"/>
    <w:pPr>
      <w:spacing w:before="360" w:after="60"/>
      <w:outlineLvl w:val="0"/>
    </w:pPr>
    <w:rPr>
      <w:sz w:val="32"/>
    </w:rPr>
  </w:style>
  <w:style w:type="paragraph" w:styleId="Heading2">
    <w:name w:val="heading 2"/>
    <w:basedOn w:val="HeadingBase"/>
    <w:next w:val="BodyText"/>
    <w:link w:val="Heading2Char"/>
    <w:qFormat/>
    <w:rsid w:val="0070403E"/>
    <w:pPr>
      <w:keepLines/>
      <w:spacing w:before="240" w:after="120"/>
      <w:outlineLvl w:val="1"/>
    </w:pPr>
    <w:rPr>
      <w:sz w:val="28"/>
      <w:szCs w:val="40"/>
    </w:rPr>
  </w:style>
  <w:style w:type="paragraph" w:styleId="Heading3">
    <w:name w:val="heading 3"/>
    <w:basedOn w:val="HeadingBase"/>
    <w:next w:val="BodyText"/>
    <w:link w:val="Heading3Char"/>
    <w:qFormat/>
    <w:rsid w:val="0070403E"/>
    <w:pPr>
      <w:spacing w:before="180" w:after="120"/>
      <w:outlineLvl w:val="2"/>
    </w:pPr>
    <w:rPr>
      <w:spacing w:val="-10"/>
      <w:kern w:val="32"/>
    </w:rPr>
  </w:style>
  <w:style w:type="paragraph" w:styleId="Heading4">
    <w:name w:val="heading 4"/>
    <w:basedOn w:val="HeadingBase"/>
    <w:next w:val="BodyText"/>
    <w:link w:val="Heading4Char"/>
    <w:qFormat/>
    <w:rsid w:val="0070403E"/>
    <w:pPr>
      <w:spacing w:before="160" w:after="120"/>
      <w:outlineLvl w:val="3"/>
    </w:pPr>
    <w:rPr>
      <w:sz w:val="22"/>
    </w:rPr>
  </w:style>
  <w:style w:type="paragraph" w:styleId="Heading5">
    <w:name w:val="heading 5"/>
    <w:basedOn w:val="HeadingBase"/>
    <w:next w:val="Normal"/>
    <w:link w:val="Heading5Char"/>
    <w:qFormat/>
    <w:rsid w:val="0070403E"/>
    <w:pPr>
      <w:spacing w:before="80"/>
      <w:outlineLvl w:val="4"/>
    </w:pPr>
    <w:rPr>
      <w:color w:val="918585"/>
      <w:sz w:val="20"/>
    </w:rPr>
  </w:style>
  <w:style w:type="paragraph" w:styleId="Heading6">
    <w:name w:val="heading 6"/>
    <w:basedOn w:val="HeadingBase"/>
    <w:next w:val="Normal"/>
    <w:link w:val="Heading6Char"/>
    <w:qFormat/>
    <w:rsid w:val="0070403E"/>
    <w:pPr>
      <w:spacing w:before="60"/>
      <w:outlineLvl w:val="5"/>
    </w:pPr>
    <w:rPr>
      <w:color w:val="918585"/>
      <w:sz w:val="20"/>
    </w:rPr>
  </w:style>
  <w:style w:type="paragraph" w:styleId="Heading7">
    <w:name w:val="heading 7"/>
    <w:basedOn w:val="Normal"/>
    <w:next w:val="Normal"/>
    <w:link w:val="Heading7Char"/>
    <w:qFormat/>
    <w:rsid w:val="0070403E"/>
    <w:pPr>
      <w:ind w:left="720"/>
      <w:outlineLvl w:val="6"/>
    </w:pPr>
    <w:rPr>
      <w:i/>
    </w:rPr>
  </w:style>
  <w:style w:type="paragraph" w:styleId="Heading8">
    <w:name w:val="heading 8"/>
    <w:basedOn w:val="Normal"/>
    <w:next w:val="Normal"/>
    <w:link w:val="Heading8Char"/>
    <w:qFormat/>
    <w:rsid w:val="0070403E"/>
    <w:pPr>
      <w:ind w:left="720"/>
      <w:outlineLvl w:val="7"/>
    </w:pPr>
    <w:rPr>
      <w:i/>
    </w:rPr>
  </w:style>
  <w:style w:type="paragraph" w:styleId="Heading9">
    <w:name w:val="heading 9"/>
    <w:basedOn w:val="Normal"/>
    <w:next w:val="Normal"/>
    <w:link w:val="Heading9Char"/>
    <w:qFormat/>
    <w:rsid w:val="0070403E"/>
    <w:pPr>
      <w:ind w:left="720"/>
      <w:outlineLvl w:val="8"/>
    </w:pPr>
    <w:rPr>
      <w:i/>
    </w:rPr>
  </w:style>
  <w:style w:type="character" w:default="1" w:styleId="DefaultParagraphFont">
    <w:name w:val="Default Paragraph Font"/>
    <w:uiPriority w:val="1"/>
    <w:unhideWhenUsed/>
    <w:rsid w:val="00704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03E"/>
  </w:style>
  <w:style w:type="character" w:customStyle="1" w:styleId="Heading1Char">
    <w:name w:val="Heading 1 Char"/>
    <w:basedOn w:val="DefaultParagraphFont"/>
    <w:link w:val="Heading1"/>
    <w:rsid w:val="0070403E"/>
    <w:rPr>
      <w:rFonts w:ascii="Times New Roman" w:eastAsia="Times New Roman" w:hAnsi="Times New Roman" w:cs="Times New Roman"/>
      <w:b/>
      <w:sz w:val="32"/>
      <w:szCs w:val="20"/>
      <w:lang w:eastAsia="en-US"/>
    </w:rPr>
  </w:style>
  <w:style w:type="paragraph" w:styleId="BodyText">
    <w:name w:val="Body Text"/>
    <w:basedOn w:val="Normal"/>
    <w:link w:val="BodyTextChar"/>
    <w:rsid w:val="007040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03E"/>
    <w:rPr>
      <w:rFonts w:ascii="Times New Roman" w:eastAsia="Times New Roman" w:hAnsi="Times New Roman" w:cs="Times New Roman"/>
      <w:sz w:val="24"/>
      <w:lang w:val="en-US" w:eastAsia="en-US"/>
    </w:rPr>
  </w:style>
  <w:style w:type="paragraph" w:styleId="Footer">
    <w:name w:val="footer"/>
    <w:basedOn w:val="Normal"/>
    <w:link w:val="FooterChar"/>
    <w:rsid w:val="00704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03E"/>
    <w:rPr>
      <w:rFonts w:ascii="Times New Roman" w:eastAsia="Times New Roman" w:hAnsi="Times New Roman" w:cs="Times New Roman"/>
      <w:sz w:val="16"/>
      <w:lang w:val="en-US" w:eastAsia="en-US"/>
    </w:rPr>
  </w:style>
  <w:style w:type="paragraph" w:styleId="ListBullet">
    <w:name w:val="List Bullet"/>
    <w:basedOn w:val="List"/>
    <w:rsid w:val="0070403E"/>
    <w:pPr>
      <w:numPr>
        <w:numId w:val="14"/>
      </w:numPr>
      <w:tabs>
        <w:tab w:val="clear" w:pos="340"/>
      </w:tabs>
      <w:spacing w:before="40" w:after="40"/>
    </w:pPr>
  </w:style>
  <w:style w:type="character" w:customStyle="1" w:styleId="SpecialBold">
    <w:name w:val="Special Bold"/>
    <w:basedOn w:val="DefaultParagraphFont"/>
    <w:rsid w:val="0070403E"/>
    <w:rPr>
      <w:b/>
      <w:spacing w:val="0"/>
    </w:rPr>
  </w:style>
  <w:style w:type="paragraph" w:styleId="ListBullet2">
    <w:name w:val="List Bullet 2"/>
    <w:basedOn w:val="List2"/>
    <w:rsid w:val="0070403E"/>
    <w:pPr>
      <w:numPr>
        <w:numId w:val="15"/>
      </w:numPr>
      <w:tabs>
        <w:tab w:val="clear" w:pos="680"/>
      </w:tabs>
    </w:pPr>
  </w:style>
  <w:style w:type="paragraph" w:styleId="Header">
    <w:name w:val="header"/>
    <w:basedOn w:val="Normal"/>
    <w:link w:val="HeaderChar"/>
    <w:rsid w:val="00704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0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03E"/>
    <w:pPr>
      <w:spacing w:before="240" w:after="120"/>
      <w:outlineLvl w:val="0"/>
    </w:pPr>
    <w:rPr>
      <w:rFonts w:ascii="Times New Roman" w:hAnsi="Times New Roman"/>
      <w:b/>
      <w:sz w:val="28"/>
    </w:rPr>
  </w:style>
  <w:style w:type="paragraph" w:customStyle="1" w:styleId="AllowPageBreak">
    <w:name w:val="AllowPageBreak"/>
    <w:rsid w:val="007040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403E"/>
    <w:pPr>
      <w:numPr>
        <w:numId w:val="3"/>
      </w:numPr>
      <w:tabs>
        <w:tab w:val="clear" w:pos="1021"/>
      </w:tabs>
      <w:ind w:left="1037" w:hanging="357"/>
    </w:pPr>
  </w:style>
  <w:style w:type="character" w:customStyle="1" w:styleId="Heading2Char">
    <w:name w:val="Heading 2 Char"/>
    <w:basedOn w:val="DefaultParagraphFont"/>
    <w:link w:val="Heading2"/>
    <w:rsid w:val="00704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0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0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03E"/>
    <w:rPr>
      <w:rFonts w:ascii="Courier New" w:eastAsia="Times New Roman" w:hAnsi="Courier New" w:cs="Times New Roman"/>
      <w:i/>
      <w:szCs w:val="20"/>
      <w:lang w:val="en-US" w:eastAsia="en-US"/>
    </w:rPr>
  </w:style>
  <w:style w:type="paragraph" w:customStyle="1" w:styleId="HeadingBase">
    <w:name w:val="Heading Base"/>
    <w:rsid w:val="00704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03E"/>
    <w:pPr>
      <w:tabs>
        <w:tab w:val="right" w:leader="dot" w:pos="9072"/>
      </w:tabs>
      <w:ind w:left="567"/>
    </w:pPr>
    <w:rPr>
      <w:szCs w:val="22"/>
    </w:rPr>
  </w:style>
  <w:style w:type="paragraph" w:customStyle="1" w:styleId="TOCBase">
    <w:name w:val="TOC Base"/>
    <w:rsid w:val="00704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03E"/>
    <w:pPr>
      <w:tabs>
        <w:tab w:val="right" w:leader="dot" w:pos="9072"/>
      </w:tabs>
      <w:spacing w:before="40" w:after="40"/>
      <w:ind w:left="284"/>
    </w:pPr>
    <w:rPr>
      <w:rFonts w:ascii="Times New Roman" w:hAnsi="Times New Roman"/>
    </w:rPr>
  </w:style>
  <w:style w:type="paragraph" w:styleId="TOC1">
    <w:name w:val="toc 1"/>
    <w:basedOn w:val="TOCBase"/>
    <w:next w:val="Normal"/>
    <w:rsid w:val="007040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03E"/>
    <w:pPr>
      <w:spacing w:before="5040"/>
      <w:jc w:val="center"/>
    </w:pPr>
    <w:rPr>
      <w:sz w:val="48"/>
      <w:szCs w:val="72"/>
      <w:lang w:val="en-US"/>
    </w:rPr>
  </w:style>
  <w:style w:type="character" w:customStyle="1" w:styleId="TitleChar">
    <w:name w:val="Title Char"/>
    <w:basedOn w:val="DefaultParagraphFont"/>
    <w:link w:val="Title"/>
    <w:rsid w:val="00704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03E"/>
    <w:pPr>
      <w:tabs>
        <w:tab w:val="left" w:pos="3600"/>
        <w:tab w:val="left" w:pos="3958"/>
      </w:tabs>
    </w:pPr>
  </w:style>
  <w:style w:type="paragraph" w:styleId="List">
    <w:name w:val="List"/>
    <w:basedOn w:val="BodyText"/>
    <w:next w:val="BodyText"/>
    <w:rsid w:val="0070403E"/>
    <w:pPr>
      <w:tabs>
        <w:tab w:val="left" w:pos="340"/>
      </w:tabs>
      <w:spacing w:before="60" w:after="60"/>
      <w:ind w:left="340" w:hanging="340"/>
    </w:pPr>
  </w:style>
  <w:style w:type="paragraph" w:customStyle="1" w:styleId="Note">
    <w:name w:val="Note"/>
    <w:basedOn w:val="BodyText"/>
    <w:rsid w:val="00704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03E"/>
    <w:pPr>
      <w:framePr w:wrap="auto" w:hAnchor="text" w:y="6049"/>
    </w:pPr>
    <w:rPr>
      <w:color w:val="000000"/>
      <w:sz w:val="40"/>
    </w:rPr>
  </w:style>
  <w:style w:type="paragraph" w:customStyle="1" w:styleId="TOCTitle">
    <w:name w:val="TOCTitle"/>
    <w:basedOn w:val="Heading1"/>
    <w:rsid w:val="0070403E"/>
    <w:pPr>
      <w:spacing w:after="240"/>
      <w:jc w:val="center"/>
      <w:outlineLvl w:val="9"/>
    </w:pPr>
    <w:rPr>
      <w:caps/>
    </w:rPr>
  </w:style>
  <w:style w:type="paragraph" w:customStyle="1" w:styleId="Version">
    <w:name w:val="Version"/>
    <w:rsid w:val="00704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03E"/>
    <w:pPr>
      <w:keepNext w:val="0"/>
      <w:tabs>
        <w:tab w:val="right" w:pos="4176"/>
      </w:tabs>
      <w:ind w:left="198" w:hanging="198"/>
    </w:pPr>
    <w:rPr>
      <w:rFonts w:ascii="Garamond" w:hAnsi="Garamond"/>
    </w:rPr>
  </w:style>
  <w:style w:type="paragraph" w:styleId="IndexHeading">
    <w:name w:val="index heading"/>
    <w:basedOn w:val="Normal"/>
    <w:next w:val="Index1"/>
    <w:semiHidden/>
    <w:rsid w:val="0070403E"/>
    <w:pPr>
      <w:spacing w:before="120" w:after="120"/>
    </w:pPr>
    <w:rPr>
      <w:rFonts w:ascii="Arial" w:hAnsi="Arial"/>
      <w:b/>
      <w:color w:val="918585"/>
      <w:sz w:val="24"/>
    </w:rPr>
  </w:style>
  <w:style w:type="paragraph" w:customStyle="1" w:styleId="Chapter">
    <w:name w:val="Chapter"/>
    <w:basedOn w:val="Normal"/>
    <w:rsid w:val="0070403E"/>
    <w:pPr>
      <w:spacing w:before="240"/>
    </w:pPr>
    <w:rPr>
      <w:rFonts w:ascii="Times New Roman" w:hAnsi="Times New Roman"/>
      <w:smallCaps/>
      <w:spacing w:val="80"/>
      <w:sz w:val="28"/>
    </w:rPr>
  </w:style>
  <w:style w:type="paragraph" w:customStyle="1" w:styleId="InChapter">
    <w:name w:val="InChapter"/>
    <w:basedOn w:val="Heading3"/>
    <w:rsid w:val="0070403E"/>
    <w:pPr>
      <w:spacing w:after="240"/>
      <w:outlineLvl w:val="9"/>
    </w:pPr>
    <w:rPr>
      <w:noProof/>
    </w:rPr>
  </w:style>
  <w:style w:type="paragraph" w:styleId="Index2">
    <w:name w:val="index 2"/>
    <w:basedOn w:val="Normal"/>
    <w:next w:val="Normal"/>
    <w:semiHidden/>
    <w:rsid w:val="0070403E"/>
    <w:pPr>
      <w:tabs>
        <w:tab w:val="right" w:pos="4176"/>
      </w:tabs>
      <w:ind w:left="568" w:hanging="284"/>
    </w:pPr>
    <w:rPr>
      <w:rFonts w:ascii="Garamond" w:hAnsi="Garamond"/>
    </w:rPr>
  </w:style>
  <w:style w:type="paragraph" w:customStyle="1" w:styleId="Byline">
    <w:name w:val="Byline"/>
    <w:rsid w:val="00704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03E"/>
    <w:pPr>
      <w:tabs>
        <w:tab w:val="clear" w:pos="3600"/>
        <w:tab w:val="clear" w:pos="3958"/>
      </w:tabs>
      <w:jc w:val="right"/>
    </w:pPr>
  </w:style>
  <w:style w:type="character" w:styleId="Emphasis">
    <w:name w:val="Emphasis"/>
    <w:basedOn w:val="DefaultParagraphFont"/>
    <w:qFormat/>
    <w:rsid w:val="0070403E"/>
    <w:rPr>
      <w:i/>
    </w:rPr>
  </w:style>
  <w:style w:type="paragraph" w:styleId="Caption">
    <w:name w:val="caption"/>
    <w:basedOn w:val="BodyText"/>
    <w:next w:val="Normal"/>
    <w:qFormat/>
    <w:rsid w:val="0070403E"/>
    <w:pPr>
      <w:framePr w:w="2268" w:hSpace="181" w:vSpace="181" w:wrap="around" w:vAnchor="text" w:hAnchor="page" w:x="1135" w:y="285" w:anchorLock="1"/>
    </w:pPr>
    <w:rPr>
      <w:i/>
    </w:rPr>
  </w:style>
  <w:style w:type="paragraph" w:customStyle="1" w:styleId="MiniTOCTitle">
    <w:name w:val="MiniTOCTitle"/>
    <w:basedOn w:val="Heading4"/>
    <w:rsid w:val="0070403E"/>
    <w:pPr>
      <w:spacing w:before="240"/>
      <w:outlineLvl w:val="9"/>
    </w:pPr>
    <w:rPr>
      <w:noProof/>
      <w:sz w:val="24"/>
    </w:rPr>
  </w:style>
  <w:style w:type="paragraph" w:customStyle="1" w:styleId="MiniTOCItem">
    <w:name w:val="MiniTOCItem"/>
    <w:basedOn w:val="ListBullet"/>
    <w:rsid w:val="0070403E"/>
    <w:pPr>
      <w:numPr>
        <w:numId w:val="0"/>
      </w:numPr>
      <w:tabs>
        <w:tab w:val="right" w:leader="dot" w:pos="6521"/>
      </w:tabs>
      <w:spacing w:before="0" w:after="0"/>
    </w:pPr>
  </w:style>
  <w:style w:type="paragraph" w:customStyle="1" w:styleId="TOFTitle">
    <w:name w:val="TOFTitle"/>
    <w:basedOn w:val="TOCTitle"/>
    <w:rsid w:val="0070403E"/>
  </w:style>
  <w:style w:type="paragraph" w:styleId="TableofFigures">
    <w:name w:val="table of figures"/>
    <w:basedOn w:val="Normal"/>
    <w:next w:val="Normal"/>
    <w:semiHidden/>
    <w:rsid w:val="0070403E"/>
    <w:pPr>
      <w:tabs>
        <w:tab w:val="right" w:leader="dot" w:pos="9072"/>
      </w:tabs>
      <w:ind w:left="970" w:hanging="403"/>
    </w:pPr>
    <w:rPr>
      <w:rFonts w:ascii="Times New Roman" w:hAnsi="Times New Roman"/>
      <w:b/>
    </w:rPr>
  </w:style>
  <w:style w:type="paragraph" w:styleId="ListNumber">
    <w:name w:val="List Number"/>
    <w:basedOn w:val="List"/>
    <w:rsid w:val="0070403E"/>
    <w:pPr>
      <w:numPr>
        <w:numId w:val="12"/>
      </w:numPr>
    </w:pPr>
  </w:style>
  <w:style w:type="character" w:customStyle="1" w:styleId="WingdingSymbols">
    <w:name w:val="Wingding Symbols"/>
    <w:rsid w:val="0070403E"/>
    <w:rPr>
      <w:rFonts w:ascii="Wingdings" w:hAnsi="Wingdings"/>
    </w:rPr>
  </w:style>
  <w:style w:type="paragraph" w:customStyle="1" w:styleId="TableHeading">
    <w:name w:val="Table Heading"/>
    <w:basedOn w:val="HeadingBase"/>
    <w:rsid w:val="0070403E"/>
    <w:pPr>
      <w:keepLines/>
      <w:pBdr>
        <w:bottom w:val="single" w:sz="6" w:space="1" w:color="918585"/>
      </w:pBdr>
      <w:spacing w:before="240"/>
    </w:pPr>
  </w:style>
  <w:style w:type="character" w:customStyle="1" w:styleId="HotSpot">
    <w:name w:val="HotSpot"/>
    <w:rsid w:val="0070403E"/>
    <w:rPr>
      <w:color w:val="0033CC"/>
      <w:u w:val="none"/>
    </w:rPr>
  </w:style>
  <w:style w:type="paragraph" w:customStyle="1" w:styleId="BodyTextRight">
    <w:name w:val="Body Text Right"/>
    <w:basedOn w:val="BodyText"/>
    <w:rsid w:val="0070403E"/>
    <w:pPr>
      <w:spacing w:before="0" w:after="0"/>
      <w:jc w:val="right"/>
    </w:pPr>
  </w:style>
  <w:style w:type="paragraph" w:styleId="Index3">
    <w:name w:val="index 3"/>
    <w:basedOn w:val="ListNumber2"/>
    <w:next w:val="Normal"/>
    <w:semiHidden/>
    <w:rsid w:val="0070403E"/>
    <w:pPr>
      <w:numPr>
        <w:numId w:val="0"/>
      </w:numPr>
      <w:tabs>
        <w:tab w:val="right" w:leader="dot" w:pos="4176"/>
      </w:tabs>
    </w:pPr>
  </w:style>
  <w:style w:type="paragraph" w:styleId="ListNumber2">
    <w:name w:val="List Number 2"/>
    <w:basedOn w:val="List2"/>
    <w:rsid w:val="0070403E"/>
    <w:pPr>
      <w:numPr>
        <w:numId w:val="11"/>
      </w:numPr>
      <w:tabs>
        <w:tab w:val="clear" w:pos="1060"/>
      </w:tabs>
    </w:pPr>
  </w:style>
  <w:style w:type="paragraph" w:customStyle="1" w:styleId="MarginNote">
    <w:name w:val="Margin Note"/>
    <w:basedOn w:val="BodyText"/>
    <w:rsid w:val="00704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0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03E"/>
    <w:rPr>
      <w:sz w:val="32"/>
    </w:rPr>
  </w:style>
  <w:style w:type="paragraph" w:customStyle="1" w:styleId="HeadingProcedure">
    <w:name w:val="Heading Procedure"/>
    <w:basedOn w:val="HeadingBase"/>
    <w:next w:val="Normal"/>
    <w:rsid w:val="0070403E"/>
    <w:pPr>
      <w:tabs>
        <w:tab w:val="left" w:pos="0"/>
      </w:tabs>
      <w:spacing w:before="120" w:after="60"/>
    </w:pPr>
    <w:rPr>
      <w:i/>
      <w:color w:val="918585"/>
      <w:sz w:val="22"/>
    </w:rPr>
  </w:style>
  <w:style w:type="paragraph" w:customStyle="1" w:styleId="TableBodyText">
    <w:name w:val="Table Body Text"/>
    <w:basedOn w:val="BodyText"/>
    <w:rsid w:val="0070403E"/>
    <w:pPr>
      <w:spacing w:before="60" w:after="60"/>
    </w:pPr>
  </w:style>
  <w:style w:type="paragraph" w:styleId="ListContinue">
    <w:name w:val="List Continue"/>
    <w:basedOn w:val="List"/>
    <w:rsid w:val="0070403E"/>
    <w:pPr>
      <w:ind w:firstLine="0"/>
    </w:pPr>
  </w:style>
  <w:style w:type="paragraph" w:customStyle="1" w:styleId="ListNote">
    <w:name w:val="List Note"/>
    <w:basedOn w:val="List"/>
    <w:rsid w:val="0070403E"/>
    <w:pPr>
      <w:pBdr>
        <w:top w:val="single" w:sz="6" w:space="2" w:color="918585"/>
        <w:bottom w:val="single" w:sz="6" w:space="2" w:color="918585"/>
      </w:pBdr>
      <w:tabs>
        <w:tab w:val="left" w:pos="1021"/>
      </w:tabs>
      <w:ind w:firstLine="0"/>
    </w:pPr>
  </w:style>
  <w:style w:type="paragraph" w:customStyle="1" w:styleId="Warning">
    <w:name w:val="Warning"/>
    <w:basedOn w:val="BodyText"/>
    <w:rsid w:val="0070403E"/>
    <w:pPr>
      <w:shd w:val="clear" w:color="auto" w:fill="D9D9D9"/>
      <w:tabs>
        <w:tab w:val="left" w:pos="992"/>
      </w:tabs>
      <w:ind w:left="119" w:right="119"/>
    </w:pPr>
    <w:rPr>
      <w:sz w:val="20"/>
    </w:rPr>
  </w:style>
  <w:style w:type="paragraph" w:customStyle="1" w:styleId="MarginIcons">
    <w:name w:val="Margin Icons"/>
    <w:basedOn w:val="BodyText"/>
    <w:rsid w:val="00704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03E"/>
    <w:rPr>
      <w:rFonts w:ascii="Courier New" w:hAnsi="Courier New"/>
    </w:rPr>
  </w:style>
  <w:style w:type="paragraph" w:customStyle="1" w:styleId="NoteBullet">
    <w:name w:val="Note Bullet"/>
    <w:basedOn w:val="Note"/>
    <w:rsid w:val="0070403E"/>
    <w:pPr>
      <w:tabs>
        <w:tab w:val="clear" w:pos="680"/>
      </w:tabs>
      <w:spacing w:before="60" w:after="60"/>
    </w:pPr>
  </w:style>
  <w:style w:type="paragraph" w:customStyle="1" w:styleId="SubHeading2">
    <w:name w:val="SubHeading2"/>
    <w:basedOn w:val="HeadingBase"/>
    <w:rsid w:val="0070403E"/>
    <w:pPr>
      <w:spacing w:before="240" w:after="60"/>
    </w:pPr>
    <w:rPr>
      <w:sz w:val="20"/>
    </w:rPr>
  </w:style>
  <w:style w:type="paragraph" w:customStyle="1" w:styleId="SubHeading1">
    <w:name w:val="SubHeading1"/>
    <w:basedOn w:val="HeadingBase"/>
    <w:rsid w:val="0070403E"/>
    <w:pPr>
      <w:spacing w:before="240" w:after="60"/>
    </w:pPr>
    <w:rPr>
      <w:color w:val="918585"/>
      <w:sz w:val="22"/>
    </w:rPr>
  </w:style>
  <w:style w:type="paragraph" w:customStyle="1" w:styleId="SideHeading">
    <w:name w:val="Side Heading"/>
    <w:basedOn w:val="HeadingBase"/>
    <w:rsid w:val="00704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03E"/>
    <w:pPr>
      <w:numPr>
        <w:numId w:val="13"/>
      </w:numPr>
    </w:pPr>
  </w:style>
  <w:style w:type="paragraph" w:styleId="PlainText">
    <w:name w:val="Plain Text"/>
    <w:basedOn w:val="Normal"/>
    <w:link w:val="PlainTextChar"/>
    <w:rsid w:val="0070403E"/>
    <w:rPr>
      <w:sz w:val="20"/>
    </w:rPr>
  </w:style>
  <w:style w:type="character" w:customStyle="1" w:styleId="PlainTextChar">
    <w:name w:val="Plain Text Char"/>
    <w:basedOn w:val="DefaultParagraphFont"/>
    <w:link w:val="PlainText"/>
    <w:rsid w:val="007040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03E"/>
    <w:rPr>
      <w:b/>
      <w:smallCaps/>
    </w:rPr>
  </w:style>
  <w:style w:type="paragraph" w:customStyle="1" w:styleId="TableListNumber">
    <w:name w:val="Table List Number"/>
    <w:basedOn w:val="ListNumber"/>
    <w:rsid w:val="0070403E"/>
    <w:pPr>
      <w:numPr>
        <w:numId w:val="0"/>
      </w:numPr>
    </w:pPr>
  </w:style>
  <w:style w:type="paragraph" w:styleId="TOC4">
    <w:name w:val="toc 4"/>
    <w:basedOn w:val="TOCBase"/>
    <w:next w:val="Normal"/>
    <w:semiHidden/>
    <w:rsid w:val="0070403E"/>
    <w:pPr>
      <w:tabs>
        <w:tab w:val="right" w:leader="dot" w:pos="9071"/>
      </w:tabs>
      <w:ind w:left="1701"/>
    </w:pPr>
  </w:style>
  <w:style w:type="paragraph" w:customStyle="1" w:styleId="ListAlpha">
    <w:name w:val="List Alpha"/>
    <w:basedOn w:val="List"/>
    <w:rsid w:val="0070403E"/>
    <w:pPr>
      <w:numPr>
        <w:numId w:val="10"/>
      </w:numPr>
    </w:pPr>
  </w:style>
  <w:style w:type="paragraph" w:customStyle="1" w:styleId="ListAlpha2">
    <w:name w:val="List Alpha 2"/>
    <w:basedOn w:val="List2"/>
    <w:rsid w:val="0070403E"/>
    <w:pPr>
      <w:numPr>
        <w:numId w:val="9"/>
      </w:numPr>
    </w:pPr>
  </w:style>
  <w:style w:type="paragraph" w:styleId="List2">
    <w:name w:val="List 2"/>
    <w:basedOn w:val="BodyText"/>
    <w:rsid w:val="0070403E"/>
    <w:pPr>
      <w:tabs>
        <w:tab w:val="left" w:pos="680"/>
      </w:tabs>
      <w:spacing w:before="60" w:after="60"/>
      <w:ind w:left="680" w:hanging="340"/>
    </w:pPr>
  </w:style>
  <w:style w:type="paragraph" w:styleId="List3">
    <w:name w:val="List 3"/>
    <w:basedOn w:val="BodyText"/>
    <w:rsid w:val="0070403E"/>
    <w:pPr>
      <w:tabs>
        <w:tab w:val="left" w:pos="1021"/>
      </w:tabs>
      <w:spacing w:before="60" w:after="60"/>
      <w:ind w:left="1020" w:hanging="340"/>
    </w:pPr>
  </w:style>
  <w:style w:type="paragraph" w:styleId="List4">
    <w:name w:val="List 4"/>
    <w:basedOn w:val="BodyText"/>
    <w:rsid w:val="0070403E"/>
    <w:pPr>
      <w:tabs>
        <w:tab w:val="left" w:pos="1361"/>
      </w:tabs>
      <w:spacing w:before="60" w:after="60"/>
      <w:ind w:left="1361" w:hanging="340"/>
    </w:pPr>
  </w:style>
  <w:style w:type="paragraph" w:styleId="List5">
    <w:name w:val="List 5"/>
    <w:basedOn w:val="BodyText"/>
    <w:rsid w:val="0070403E"/>
    <w:pPr>
      <w:tabs>
        <w:tab w:val="left" w:pos="1701"/>
      </w:tabs>
      <w:spacing w:before="60" w:after="60"/>
      <w:ind w:left="1701" w:hanging="340"/>
    </w:pPr>
  </w:style>
  <w:style w:type="paragraph" w:styleId="ListBullet4">
    <w:name w:val="List Bullet 4"/>
    <w:basedOn w:val="List4"/>
    <w:rsid w:val="0070403E"/>
    <w:pPr>
      <w:numPr>
        <w:numId w:val="4"/>
      </w:numPr>
    </w:pPr>
  </w:style>
  <w:style w:type="paragraph" w:styleId="ListBullet5">
    <w:name w:val="List Bullet 5"/>
    <w:basedOn w:val="List5"/>
    <w:rsid w:val="0070403E"/>
    <w:pPr>
      <w:numPr>
        <w:numId w:val="5"/>
      </w:numPr>
    </w:pPr>
  </w:style>
  <w:style w:type="paragraph" w:styleId="ListContinue2">
    <w:name w:val="List Continue 2"/>
    <w:basedOn w:val="List2"/>
    <w:rsid w:val="0070403E"/>
    <w:pPr>
      <w:ind w:firstLine="0"/>
    </w:pPr>
  </w:style>
  <w:style w:type="paragraph" w:styleId="ListContinue3">
    <w:name w:val="List Continue 3"/>
    <w:basedOn w:val="List3"/>
    <w:rsid w:val="0070403E"/>
    <w:pPr>
      <w:ind w:left="1021" w:firstLine="0"/>
    </w:pPr>
  </w:style>
  <w:style w:type="paragraph" w:styleId="ListContinue4">
    <w:name w:val="List Continue 4"/>
    <w:basedOn w:val="List4"/>
    <w:rsid w:val="0070403E"/>
    <w:pPr>
      <w:ind w:firstLine="0"/>
    </w:pPr>
  </w:style>
  <w:style w:type="paragraph" w:styleId="ListContinue5">
    <w:name w:val="List Continue 5"/>
    <w:basedOn w:val="List5"/>
    <w:rsid w:val="0070403E"/>
    <w:pPr>
      <w:ind w:firstLine="0"/>
    </w:pPr>
  </w:style>
  <w:style w:type="paragraph" w:styleId="ListNumber3">
    <w:name w:val="List Number 3"/>
    <w:basedOn w:val="List3"/>
    <w:rsid w:val="0070403E"/>
    <w:pPr>
      <w:numPr>
        <w:numId w:val="6"/>
      </w:numPr>
    </w:pPr>
  </w:style>
  <w:style w:type="paragraph" w:styleId="ListNumber4">
    <w:name w:val="List Number 4"/>
    <w:basedOn w:val="List4"/>
    <w:rsid w:val="0070403E"/>
    <w:pPr>
      <w:numPr>
        <w:numId w:val="7"/>
      </w:numPr>
    </w:pPr>
  </w:style>
  <w:style w:type="paragraph" w:styleId="ListNumber5">
    <w:name w:val="List Number 5"/>
    <w:basedOn w:val="List5"/>
    <w:rsid w:val="0070403E"/>
    <w:pPr>
      <w:numPr>
        <w:numId w:val="8"/>
      </w:numPr>
    </w:pPr>
  </w:style>
  <w:style w:type="paragraph" w:styleId="BlockText">
    <w:name w:val="Block Text"/>
    <w:basedOn w:val="Normal"/>
    <w:rsid w:val="0070403E"/>
    <w:pPr>
      <w:spacing w:after="120"/>
      <w:ind w:left="1440" w:right="1440"/>
    </w:pPr>
  </w:style>
  <w:style w:type="character" w:customStyle="1" w:styleId="Subscript">
    <w:name w:val="Subscript"/>
    <w:basedOn w:val="DefaultParagraphFont"/>
    <w:rsid w:val="0070403E"/>
    <w:rPr>
      <w:sz w:val="16"/>
      <w:vertAlign w:val="subscript"/>
    </w:rPr>
  </w:style>
  <w:style w:type="character" w:customStyle="1" w:styleId="Superscript">
    <w:name w:val="Superscript"/>
    <w:basedOn w:val="DefaultParagraphFont"/>
    <w:rsid w:val="0070403E"/>
    <w:rPr>
      <w:sz w:val="16"/>
      <w:vertAlign w:val="superscript"/>
    </w:rPr>
  </w:style>
  <w:style w:type="character" w:customStyle="1" w:styleId="Symbols">
    <w:name w:val="Symbols"/>
    <w:basedOn w:val="DefaultParagraphFont"/>
    <w:rsid w:val="0070403E"/>
    <w:rPr>
      <w:rFonts w:ascii="Symbol" w:hAnsi="Symbol"/>
    </w:rPr>
  </w:style>
  <w:style w:type="character" w:customStyle="1" w:styleId="MenuOptions">
    <w:name w:val="Menu Options"/>
    <w:basedOn w:val="DefaultParagraphFont"/>
    <w:rsid w:val="0070403E"/>
    <w:rPr>
      <w:rFonts w:ascii="Arial Narrow" w:hAnsi="Arial Narrow"/>
      <w:smallCaps/>
    </w:rPr>
  </w:style>
  <w:style w:type="character" w:customStyle="1" w:styleId="Buttons">
    <w:name w:val="Buttons"/>
    <w:basedOn w:val="DefaultParagraphFont"/>
    <w:rsid w:val="0070403E"/>
    <w:rPr>
      <w:b/>
    </w:rPr>
  </w:style>
  <w:style w:type="character" w:customStyle="1" w:styleId="Underlined">
    <w:name w:val="Underlined"/>
    <w:basedOn w:val="DefaultParagraphFont"/>
    <w:rsid w:val="0070403E"/>
    <w:rPr>
      <w:u w:val="single"/>
    </w:rPr>
  </w:style>
  <w:style w:type="paragraph" w:customStyle="1" w:styleId="TableBodyTextRight">
    <w:name w:val="Table Body Text Right"/>
    <w:basedOn w:val="TableBodyText"/>
    <w:rsid w:val="0070403E"/>
    <w:pPr>
      <w:widowControl w:val="0"/>
      <w:autoSpaceDE w:val="0"/>
      <w:autoSpaceDN w:val="0"/>
      <w:adjustRightInd w:val="0"/>
      <w:jc w:val="right"/>
    </w:pPr>
    <w:rPr>
      <w:rFonts w:cs="Arial"/>
      <w:szCs w:val="18"/>
    </w:rPr>
  </w:style>
  <w:style w:type="paragraph" w:customStyle="1" w:styleId="CopyrightText">
    <w:name w:val="Copyright Text"/>
    <w:basedOn w:val="BodyText"/>
    <w:rsid w:val="0070403E"/>
    <w:rPr>
      <w:sz w:val="18"/>
    </w:rPr>
  </w:style>
  <w:style w:type="paragraph" w:customStyle="1" w:styleId="BodySmallRight">
    <w:name w:val="Body Small Right"/>
    <w:basedOn w:val="BodyTextRight"/>
    <w:rsid w:val="0070403E"/>
    <w:rPr>
      <w:sz w:val="18"/>
      <w:szCs w:val="18"/>
    </w:rPr>
  </w:style>
  <w:style w:type="paragraph" w:customStyle="1" w:styleId="MarginEdition">
    <w:name w:val="Margin Edition"/>
    <w:basedOn w:val="MarginNote"/>
    <w:rsid w:val="0070403E"/>
    <w:pPr>
      <w:spacing w:before="0" w:after="0"/>
    </w:pPr>
    <w:rPr>
      <w:rFonts w:ascii="Times New Roman" w:hAnsi="Times New Roman"/>
      <w:color w:val="999999"/>
    </w:rPr>
  </w:style>
  <w:style w:type="paragraph" w:customStyle="1" w:styleId="Spacer">
    <w:name w:val="Spacer"/>
    <w:basedOn w:val="Normal"/>
    <w:rsid w:val="0070403E"/>
    <w:rPr>
      <w:sz w:val="2"/>
      <w:szCs w:val="2"/>
    </w:rPr>
  </w:style>
  <w:style w:type="character" w:customStyle="1" w:styleId="Small">
    <w:name w:val="Small"/>
    <w:basedOn w:val="DefaultParagraphFont"/>
    <w:rsid w:val="0070403E"/>
    <w:rPr>
      <w:sz w:val="16"/>
    </w:rPr>
  </w:style>
  <w:style w:type="paragraph" w:customStyle="1" w:styleId="WideTable">
    <w:name w:val="Wide Table"/>
    <w:basedOn w:val="Normal"/>
    <w:rsid w:val="0070403E"/>
    <w:pPr>
      <w:ind w:left="-1418"/>
    </w:pPr>
    <w:rPr>
      <w:sz w:val="2"/>
      <w:szCs w:val="2"/>
    </w:rPr>
  </w:style>
  <w:style w:type="character" w:styleId="PageNumber">
    <w:name w:val="page number"/>
    <w:basedOn w:val="DefaultParagraphFont"/>
    <w:rsid w:val="0070403E"/>
  </w:style>
  <w:style w:type="paragraph" w:styleId="Quote">
    <w:name w:val="Quote"/>
    <w:basedOn w:val="Heading1"/>
    <w:link w:val="QuoteChar"/>
    <w:qFormat/>
    <w:rsid w:val="0070403E"/>
    <w:rPr>
      <w:b w:val="0"/>
      <w:sz w:val="72"/>
      <w:szCs w:val="72"/>
      <w:lang w:val="en-NZ"/>
    </w:rPr>
  </w:style>
  <w:style w:type="character" w:customStyle="1" w:styleId="QuoteChar">
    <w:name w:val="Quote Char"/>
    <w:basedOn w:val="DefaultParagraphFont"/>
    <w:link w:val="Quote"/>
    <w:rsid w:val="00704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03E"/>
    <w:pPr>
      <w:pageBreakBefore/>
    </w:pPr>
  </w:style>
  <w:style w:type="paragraph" w:customStyle="1" w:styleId="Border">
    <w:name w:val="Border"/>
    <w:basedOn w:val="Normal"/>
    <w:qFormat/>
    <w:rsid w:val="00704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03E"/>
    <w:rPr>
      <w:b/>
      <w:bCs/>
      <w:i/>
      <w:iCs/>
      <w:color w:val="auto"/>
    </w:rPr>
  </w:style>
  <w:style w:type="paragraph" w:styleId="IntenseQuote">
    <w:name w:val="Intense Quote"/>
    <w:basedOn w:val="Normal"/>
    <w:next w:val="Normal"/>
    <w:link w:val="IntenseQuoteChar"/>
    <w:uiPriority w:val="30"/>
    <w:qFormat/>
    <w:rsid w:val="00704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0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03E"/>
    <w:rPr>
      <w:smallCaps/>
      <w:color w:val="auto"/>
      <w:u w:val="single"/>
    </w:rPr>
  </w:style>
  <w:style w:type="character" w:styleId="IntenseReference">
    <w:name w:val="Intense Reference"/>
    <w:basedOn w:val="DefaultParagraphFont"/>
    <w:uiPriority w:val="32"/>
    <w:qFormat/>
    <w:rsid w:val="0070403E"/>
    <w:rPr>
      <w:b/>
      <w:bCs/>
      <w:smallCaps/>
      <w:color w:val="auto"/>
      <w:spacing w:val="5"/>
      <w:u w:val="single"/>
    </w:rPr>
  </w:style>
  <w:style w:type="paragraph" w:customStyle="1" w:styleId="2ColumnHeading">
    <w:name w:val="2Column Heading"/>
    <w:basedOn w:val="BodyText"/>
    <w:qFormat/>
    <w:rsid w:val="0070403E"/>
    <w:pPr>
      <w:spacing w:after="60"/>
      <w:ind w:left="-2268"/>
    </w:pPr>
    <w:rPr>
      <w:b/>
    </w:rPr>
  </w:style>
  <w:style w:type="paragraph" w:customStyle="1" w:styleId="Heading1TOC">
    <w:name w:val="Heading1 TOC"/>
    <w:basedOn w:val="Normal"/>
    <w:qFormat/>
    <w:rsid w:val="0070403E"/>
    <w:pPr>
      <w:spacing w:before="240" w:after="120"/>
    </w:pPr>
    <w:rPr>
      <w:rFonts w:ascii="Times New Roman" w:hAnsi="Times New Roman"/>
      <w:b/>
      <w:sz w:val="32"/>
    </w:rPr>
  </w:style>
  <w:style w:type="paragraph" w:customStyle="1" w:styleId="Heading2TOC">
    <w:name w:val="Heading2 TOC"/>
    <w:basedOn w:val="Normal"/>
    <w:qFormat/>
    <w:rsid w:val="0070403E"/>
    <w:pPr>
      <w:spacing w:before="240" w:after="60"/>
    </w:pPr>
    <w:rPr>
      <w:rFonts w:ascii="Times New Roman" w:hAnsi="Times New Roman"/>
      <w:b/>
      <w:sz w:val="28"/>
    </w:rPr>
  </w:style>
  <w:style w:type="character" w:customStyle="1" w:styleId="Underline">
    <w:name w:val="Underline"/>
    <w:basedOn w:val="DefaultParagraphFont"/>
    <w:qFormat/>
    <w:rsid w:val="0070403E"/>
    <w:rPr>
      <w:u w:val="single"/>
    </w:rPr>
  </w:style>
  <w:style w:type="character" w:customStyle="1" w:styleId="BoldandItalics">
    <w:name w:val="Bold and Italics"/>
    <w:qFormat/>
    <w:rsid w:val="0070403E"/>
    <w:rPr>
      <w:b/>
      <w:i/>
      <w:u w:val="none"/>
    </w:rPr>
  </w:style>
  <w:style w:type="paragraph" w:styleId="BalloonText">
    <w:name w:val="Balloon Text"/>
    <w:basedOn w:val="Normal"/>
    <w:link w:val="BalloonTextChar"/>
    <w:rsid w:val="0070403E"/>
    <w:rPr>
      <w:rFonts w:ascii="Tahoma" w:hAnsi="Tahoma" w:cs="Tahoma"/>
      <w:sz w:val="16"/>
      <w:szCs w:val="16"/>
    </w:rPr>
  </w:style>
  <w:style w:type="character" w:customStyle="1" w:styleId="BalloonTextChar">
    <w:name w:val="Balloon Text Char"/>
    <w:basedOn w:val="DefaultParagraphFont"/>
    <w:link w:val="BalloonText"/>
    <w:rsid w:val="007040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0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0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3201</Words>
  <Characters>20335</Characters>
  <Application>Microsoft Office Word</Application>
  <DocSecurity>0</DocSecurity>
  <Lines>797</Lines>
  <Paragraphs>350</Paragraphs>
  <ScaleCrop>false</ScaleCrop>
  <Company>Author-it Software Corporation Ltd.</Company>
  <LinksUpToDate>false</LinksUpToDate>
  <CharactersWithSpaces>23317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UETTDRRT36A Maintain traction network wiring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2012-05-26T12:17:00Z</dcterms:created>
  <dcterms:modified xsi:type="dcterms:W3CDTF">2012-05-26T12:17:00Z</dcterms:modified>
</cp:coreProperties>
</file>