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0C24" w:rsidP="00A10C24">
      <w:pPr>
        <w:pStyle w:val="Title"/>
      </w:pPr>
      <w:r>
        <w:fldChar w:fldCharType="begin"/>
      </w:r>
      <w:r>
        <w:instrText xml:space="preserve"> TITLE   \* MERGEFORMAT </w:instrText>
      </w:r>
      <w:r>
        <w:fldChar w:fldCharType="separate"/>
      </w:r>
      <w:r>
        <w:t>UETTDRRT34A Install and maintain traction network wiring systems</w:t>
      </w:r>
      <w:r>
        <w:fldChar w:fldCharType="end"/>
      </w:r>
    </w:p>
    <w:p w:rsidR="00A10C24" w:rsidP="00A10C24">
      <w:pPr>
        <w:pStyle w:val="Version"/>
        <w:sectPr w:rsidSect="003E75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7567" w:rsidP="003E7567">
      <w:pPr>
        <w:pStyle w:val="SuperHeading"/>
      </w:pPr>
      <w:r w:rsidRPr="003E7567">
        <w:t>UETTDRRT34A Install and maintain traction network wiring systems</w:t>
      </w:r>
    </w:p>
    <w:p w:rsidR="00000000" w:rsidRPr="003E7567" w:rsidP="003E7567">
      <w:pPr>
        <w:pStyle w:val="Heading1"/>
      </w:pPr>
      <w:bookmarkStart w:id="1" w:name="O_465425"/>
      <w:bookmarkEnd w:id="1"/>
      <w:r w:rsidRPr="003E7567">
        <w:t>Modification History</w:t>
      </w:r>
    </w:p>
    <w:p w:rsidR="00000000" w:rsidRPr="003E7567" w:rsidP="003E7567">
      <w:pPr>
        <w:pStyle w:val="BodyText"/>
      </w:pPr>
      <w:r w:rsidRPr="003E7567">
        <w:t>Not applicable.</w:t>
      </w:r>
    </w:p>
    <w:p w:rsidR="00000000" w:rsidRPr="003E7567" w:rsidP="003E7567">
      <w:pPr>
        <w:pStyle w:val="AllowPageBreak"/>
      </w:pPr>
    </w:p>
    <w:p w:rsidR="00000000" w:rsidRPr="003E7567" w:rsidP="003E7567">
      <w:pPr>
        <w:pStyle w:val="Heading1"/>
      </w:pPr>
      <w:bookmarkStart w:id="2" w:name="O_465423"/>
      <w:bookmarkEnd w:id="2"/>
      <w:r w:rsidRPr="003E7567">
        <w:t>Unit Descriptor</w:t>
      </w:r>
    </w:p>
    <w:tbl>
      <w:tblPr>
        <w:tblW w:w="0" w:type="auto"/>
        <w:tblLayout w:type="fixed"/>
        <w:tblCellMar>
          <w:left w:w="62" w:type="dxa"/>
          <w:right w:w="62" w:type="dxa"/>
        </w:tblCellMar>
        <w:tblLook w:val="0000"/>
      </w:tblPr>
      <w:tblGrid>
        <w:gridCol w:w="2700"/>
        <w:gridCol w:w="5760"/>
      </w:tblGrid>
      <w:tr w:rsidTr="00A10C2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rPr>
                <w:rStyle w:val="SpecialBold"/>
              </w:rPr>
              <w:t>1)</w:t>
            </w:r>
            <w:r w:rsidRPr="003E7567">
              <w:t xml:space="preserve"> </w:t>
            </w:r>
            <w:r w:rsidRPr="003E7567">
              <w:rPr>
                <w:rStyle w:val="SpecialBold"/>
              </w:rPr>
              <w:t>Scope:</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E756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rPr>
                <w:rStyle w:val="SpecialBold"/>
              </w:rPr>
              <w:t>1.1) Descriptor</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t>This Competency Standard Unit covers the installation and maintenance of overhead traction wiring systems to ensure proper installation, in particular the correct registration of the contact wire with respect to the current collectors. It includes the unde</w:t>
            </w:r>
            <w:r w:rsidRPr="003E7567">
              <w:t>rtaking of safe working practices on or about the running line/track and the preparation needed for stringing and profiling including the isolation of systems and circuits for safe working according to work plans, the diagnosis of faults and the modificati</w:t>
            </w:r>
            <w:r w:rsidRPr="003E7567">
              <w:t>on and re-adjustment to appropriate standards. It may also encompass the correct positioning of road signs, barriers and or warning devices, and the procedure of issuing/accepting electrical permits. It also includes the visual and other necessary checks t</w:t>
            </w:r>
            <w:r w:rsidRPr="003E7567">
              <w:t>o confirm that equipment and associated hardware have been correctly installed according to design and are in a safe condition to undertake pre-commissioning tests prior to, putting into service, and updating of, installation and maintenance data such as a</w:t>
            </w:r>
            <w:r w:rsidRPr="003E7567">
              <w:t>s-built drawings and relevant quality assurance documentation.</w:t>
            </w:r>
          </w:p>
        </w:tc>
      </w:tr>
    </w:tbl>
    <w:p w:rsidR="00000000" w:rsidRPr="003E7567" w:rsidP="003E7567">
      <w:pPr>
        <w:pStyle w:val="BodyText"/>
      </w:pPr>
    </w:p>
    <w:p w:rsidR="00000000" w:rsidRPr="003E7567" w:rsidP="003E7567">
      <w:pPr>
        <w:pStyle w:val="AllowPageBreak"/>
      </w:pPr>
    </w:p>
    <w:p w:rsidR="00000000" w:rsidRPr="003E7567" w:rsidP="003E7567">
      <w:pPr>
        <w:pStyle w:val="Heading1"/>
      </w:pPr>
      <w:bookmarkStart w:id="3" w:name="O_465412"/>
      <w:bookmarkEnd w:id="3"/>
      <w:r w:rsidRPr="003E7567">
        <w:t>Application of the Unit</w:t>
      </w:r>
    </w:p>
    <w:tbl>
      <w:tblPr>
        <w:tblW w:w="0" w:type="auto"/>
        <w:tblLayout w:type="fixed"/>
        <w:tblCellMar>
          <w:left w:w="62" w:type="dxa"/>
          <w:right w:w="62" w:type="dxa"/>
        </w:tblCellMar>
        <w:tblLook w:val="0000"/>
      </w:tblPr>
      <w:tblGrid>
        <w:gridCol w:w="2672"/>
        <w:gridCol w:w="5699"/>
      </w:tblGrid>
      <w:tr w:rsidTr="00A10C2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rPr>
                <w:rStyle w:val="SpecialBold"/>
              </w:rPr>
              <w:t>2)</w:t>
            </w:r>
          </w:p>
        </w:tc>
      </w:tr>
      <w:tr w:rsidTr="00A10C2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t>This Competency St</w:t>
            </w:r>
            <w:r w:rsidRPr="003E7567">
              <w:t>andard Unit is intended to augment formally acquired competencies. It is suitable for employment-based programs under an approved contract of training.</w:t>
            </w:r>
          </w:p>
        </w:tc>
      </w:tr>
    </w:tbl>
    <w:p w:rsidR="00000000" w:rsidRPr="003E7567" w:rsidP="003E7567">
      <w:pPr>
        <w:pStyle w:val="BodyText"/>
      </w:pPr>
    </w:p>
    <w:p w:rsidR="00000000" w:rsidRPr="003E7567" w:rsidP="003E7567">
      <w:pPr>
        <w:pStyle w:val="AllowPageBreak"/>
      </w:pPr>
    </w:p>
    <w:p w:rsidR="00000000" w:rsidRPr="003E7567" w:rsidP="003E7567">
      <w:pPr>
        <w:pStyle w:val="Heading1"/>
      </w:pPr>
      <w:bookmarkStart w:id="4" w:name="O_465419"/>
      <w:bookmarkEnd w:id="4"/>
      <w:r w:rsidRPr="003E7567">
        <w:t>Licensing/Regulatory Information</w:t>
      </w:r>
    </w:p>
    <w:tbl>
      <w:tblPr>
        <w:tblW w:w="0" w:type="auto"/>
        <w:tblLayout w:type="fixed"/>
        <w:tblCellMar>
          <w:left w:w="62" w:type="dxa"/>
          <w:right w:w="62" w:type="dxa"/>
        </w:tblCellMar>
        <w:tblLook w:val="0000"/>
      </w:tblPr>
      <w:tblGrid>
        <w:gridCol w:w="2700"/>
        <w:gridCol w:w="5760"/>
      </w:tblGrid>
      <w:tr w:rsidTr="00A10C2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rPr>
                <w:rStyle w:val="SpecialBold"/>
              </w:rPr>
              <w:t xml:space="preserve">3) </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t>The skills and knowledge d</w:t>
            </w:r>
            <w:r w:rsidRPr="003E7567">
              <w:t xml:space="preserve">escribed in this unit requires a licence/registration to practice in the work place subject to regulations for undertaking of electrical work. Practice in workplace and during training is also subject to regulations directly related to Occupational Health </w:t>
            </w:r>
            <w:r w:rsidRPr="003E7567">
              <w:t>and Safety, electricity/telecommunications/gas/water industry safety and compliance, industrial relations, environmental protection, anti discrimination and training. Commonwealth, State/Territory or Local Government legislation and regulations may exist t</w:t>
            </w:r>
            <w:r w:rsidRPr="003E7567">
              <w:t>hat limits the age of operating certain equipment.</w:t>
            </w:r>
          </w:p>
        </w:tc>
      </w:tr>
    </w:tbl>
    <w:p w:rsidR="00000000" w:rsidRPr="003E7567" w:rsidP="003E7567">
      <w:pPr>
        <w:pStyle w:val="BodyText"/>
      </w:pPr>
    </w:p>
    <w:p w:rsidR="00000000" w:rsidRPr="003E7567" w:rsidP="003E7567">
      <w:pPr>
        <w:pStyle w:val="AllowPageBreak"/>
      </w:pPr>
    </w:p>
    <w:p w:rsidR="00000000" w:rsidRPr="003E7567" w:rsidP="003E7567">
      <w:pPr>
        <w:pStyle w:val="Heading1"/>
      </w:pPr>
      <w:bookmarkStart w:id="5" w:name="O_465420"/>
      <w:bookmarkEnd w:id="5"/>
      <w:r w:rsidRPr="003E7567">
        <w:t>Pre-Requisites</w:t>
      </w:r>
    </w:p>
    <w:tbl>
      <w:tblPr>
        <w:tblW w:w="0" w:type="auto"/>
        <w:tblLayout w:type="fixed"/>
        <w:tblCellMar>
          <w:left w:w="62" w:type="dxa"/>
          <w:right w:w="62" w:type="dxa"/>
        </w:tblCellMar>
        <w:tblLook w:val="0000"/>
      </w:tblPr>
      <w:tblGrid>
        <w:gridCol w:w="2700"/>
        <w:gridCol w:w="2070"/>
        <w:gridCol w:w="3690"/>
      </w:tblGrid>
      <w:tr w:rsidTr="00A10C2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rPr>
                <w:rStyle w:val="SpecialBold"/>
              </w:rPr>
              <w:t xml:space="preserve">4) </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rPr>
                <w:rStyle w:val="SpecialBold"/>
              </w:rPr>
              <w:t>4.1)</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t>Granting of competency in this unit shall be made only after competency in the following unit(s) has/have been confirmed.</w:t>
            </w:r>
          </w:p>
          <w:p w:rsidR="00000000" w:rsidRPr="003E7567" w:rsidP="003E7567">
            <w:pPr>
              <w:pStyle w:val="BodyText"/>
            </w:pPr>
            <w:r w:rsidRPr="003E7567">
              <w:t>Where pre-requisite pathways have been identified. All competencies in the Common Unit Group must be have been completed plus all the competencies in one (1) of the identified Pathway Unit Group(s):</w:t>
            </w:r>
          </w:p>
          <w:p w:rsidR="00000000" w:rsidP="003E7567">
            <w:pPr>
              <w:pStyle w:val="BodyText"/>
              <w:rPr>
                <w:lang w:val="en-NZ"/>
              </w:rPr>
            </w:pPr>
            <w:r w:rsidRPr="003E7567">
              <w:t>Common Unit Group</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Unit Code</w:t>
            </w:r>
            <w:r w:rsidRPr="003E7567">
              <w:tab/>
            </w:r>
          </w:p>
        </w:tc>
        <w:tc>
          <w:tcPr>
            <w:tcW w:w="369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Unit Title</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Apply Occupational Health and Safety regulations, codes and practices in the workplace</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Fabricate, assemble and dismantle utilities industry components</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UEENEEE104A</w:t>
            </w:r>
          </w:p>
        </w:tc>
        <w:tc>
          <w:tcPr>
            <w:tcW w:w="369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Solve problems in d.c. Circuits</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UEENEEE105A</w:t>
            </w:r>
          </w:p>
        </w:tc>
        <w:tc>
          <w:tcPr>
            <w:tcW w:w="369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Fix and secure electrotechnolog</w:t>
            </w:r>
            <w:r w:rsidRPr="003E7567">
              <w:t>y equipment</w:t>
            </w:r>
          </w:p>
        </w:tc>
      </w:tr>
      <w:tr w:rsidTr="00A10C24">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Use drawings, diagrams, schedules, standards, codes and specifications</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UEENEEE137A</w:t>
            </w:r>
          </w:p>
        </w:tc>
        <w:tc>
          <w:tcPr>
            <w:tcW w:w="369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Document and apply measures to control OHS risks associated with electrotechnology work</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UEENEEG006A</w:t>
            </w:r>
          </w:p>
        </w:tc>
        <w:tc>
          <w:tcPr>
            <w:tcW w:w="369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Solve problems in single and three phase low voltage machines</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UEENEEG033A</w:t>
            </w:r>
          </w:p>
        </w:tc>
        <w:tc>
          <w:tcPr>
            <w:tcW w:w="369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Solve problems in single and three phase electrical apparatus and circuits</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UEENEEG063A</w:t>
            </w:r>
          </w:p>
        </w:tc>
        <w:tc>
          <w:tcPr>
            <w:tcW w:w="369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Arrange circuits, control and protection for general electrical installations</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UEENEEG101A</w:t>
            </w:r>
          </w:p>
        </w:tc>
        <w:tc>
          <w:tcPr>
            <w:tcW w:w="369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Solve problems in electromagnetic devices and related circuits</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UEENEEG102A</w:t>
            </w:r>
          </w:p>
        </w:tc>
        <w:tc>
          <w:tcPr>
            <w:tcW w:w="369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Solve problems in electromagnetic devices and related circuits</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UEENEEG103A</w:t>
            </w:r>
          </w:p>
        </w:tc>
        <w:tc>
          <w:tcPr>
            <w:tcW w:w="369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Install low voltage wiring and accessories</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UEENEEG104A</w:t>
            </w:r>
          </w:p>
        </w:tc>
        <w:tc>
          <w:tcPr>
            <w:tcW w:w="369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Install appliances, switchgear and associate</w:t>
            </w:r>
            <w:r w:rsidRPr="003E7567">
              <w:t>d accessories for low voltage electrical installations</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UEENEEG105A</w:t>
            </w:r>
          </w:p>
        </w:tc>
        <w:tc>
          <w:tcPr>
            <w:tcW w:w="369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Verify compliance and functionality of low voltage general electrical installations</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UEENEEG106A</w:t>
            </w:r>
          </w:p>
        </w:tc>
        <w:tc>
          <w:tcPr>
            <w:tcW w:w="369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Terminate cables, cords and accessories for low voltage circuits</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UEENEEG107A</w:t>
            </w:r>
          </w:p>
        </w:tc>
        <w:tc>
          <w:tcPr>
            <w:tcW w:w="369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Select wiring systems and cables for low voltage general electrical installations</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UEENEEG108A</w:t>
            </w:r>
          </w:p>
        </w:tc>
        <w:tc>
          <w:tcPr>
            <w:tcW w:w="369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Trouble-shoot and repair faults in low voltage electrical apparatus and circuits</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UEENEEG109A</w:t>
            </w:r>
          </w:p>
        </w:tc>
        <w:tc>
          <w:tcPr>
            <w:tcW w:w="369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Develop and connect electrical control circuits</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UEENEEK142A</w:t>
            </w:r>
          </w:p>
        </w:tc>
        <w:tc>
          <w:tcPr>
            <w:tcW w:w="369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App</w:t>
            </w:r>
            <w:r w:rsidRPr="003E7567">
              <w:t>ly environmentally and sustainable energy procedures in the energy sector</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UETTDREL16A</w:t>
            </w:r>
          </w:p>
        </w:tc>
        <w:tc>
          <w:tcPr>
            <w:tcW w:w="3690" w:type="dxa"/>
            <w:tcBorders>
              <w:top w:val="nil"/>
              <w:left w:val="nil"/>
              <w:bottom w:val="nil"/>
              <w:right w:val="nil"/>
            </w:tcBorders>
            <w:tcMar>
              <w:top w:w="0" w:type="dxa"/>
              <w:left w:w="62" w:type="dxa"/>
              <w:bottom w:w="0" w:type="dxa"/>
              <w:right w:w="62" w:type="dxa"/>
            </w:tcMar>
            <w:vAlign w:val="bottom"/>
          </w:tcPr>
          <w:p w:rsidR="00000000" w:rsidP="003E7567">
            <w:pPr>
              <w:pStyle w:val="BodyText"/>
              <w:rPr>
                <w:lang w:val="en-NZ"/>
              </w:rPr>
            </w:pPr>
            <w:r w:rsidRPr="003E7567">
              <w:t xml:space="preserve">Working safely near live electrical apparatus </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3E7567">
            <w:pPr>
              <w:pStyle w:val="BodyText"/>
              <w:rPr>
                <w:lang w:val="en-NZ"/>
              </w:rPr>
            </w:pPr>
            <w:r w:rsidRPr="003E7567">
              <w:t>Implement and monitor the power system organisational OHS policies, procedures and programs</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P="003E7567">
            <w:pPr>
              <w:pStyle w:val="BodyText"/>
              <w:rPr>
                <w:lang w:val="en-NZ"/>
              </w:rPr>
            </w:pPr>
            <w:r w:rsidRPr="003E7567">
              <w:t>Implement and monitor the power system environmental and sustainable energy management policies and procedures</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UETTDRIS67A</w:t>
            </w:r>
          </w:p>
        </w:tc>
        <w:tc>
          <w:tcPr>
            <w:tcW w:w="3690" w:type="dxa"/>
            <w:tcBorders>
              <w:top w:val="nil"/>
              <w:left w:val="nil"/>
              <w:bottom w:val="nil"/>
              <w:right w:val="nil"/>
            </w:tcBorders>
            <w:tcMar>
              <w:top w:w="0" w:type="dxa"/>
              <w:left w:w="62" w:type="dxa"/>
              <w:bottom w:w="0" w:type="dxa"/>
              <w:right w:w="62" w:type="dxa"/>
            </w:tcMar>
            <w:vAlign w:val="center"/>
          </w:tcPr>
          <w:p w:rsidR="00000000" w:rsidRPr="003E7567" w:rsidP="003E7567">
            <w:pPr>
              <w:pStyle w:val="BodyText"/>
            </w:pPr>
            <w:r w:rsidRPr="003E7567">
              <w:t>Solve problems in energy supply network equipment</w:t>
            </w:r>
          </w:p>
        </w:tc>
      </w:tr>
    </w:tbl>
    <w:p w:rsidR="00000000" w:rsidRPr="003E7567" w:rsidP="003E756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10C2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rPr>
                <w:rStyle w:val="SpecialBold"/>
              </w:rPr>
              <w:t xml:space="preserve">4.2) </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Participants are best equipped to achieve this unit if they have reading, writing and numeracy skills indicated by the following scales. Description of each scale is given in Volume 2, Part 3 “Literacy and Numeracy”.</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Reading</w:t>
            </w:r>
          </w:p>
        </w:tc>
        <w:tc>
          <w:tcPr>
            <w:tcW w:w="81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4</w:t>
            </w:r>
          </w:p>
        </w:tc>
        <w:tc>
          <w:tcPr>
            <w:tcW w:w="99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Writing</w:t>
            </w: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4</w:t>
            </w:r>
          </w:p>
        </w:tc>
        <w:tc>
          <w:tcPr>
            <w:tcW w:w="12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Numeracy</w:t>
            </w:r>
          </w:p>
        </w:tc>
        <w:tc>
          <w:tcPr>
            <w:tcW w:w="72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t>4</w:t>
            </w:r>
          </w:p>
        </w:tc>
      </w:tr>
    </w:tbl>
    <w:p w:rsidR="00000000" w:rsidRPr="003E7567" w:rsidP="003E7567">
      <w:pPr>
        <w:pStyle w:val="BodyText"/>
      </w:pPr>
    </w:p>
    <w:p w:rsidR="00000000" w:rsidRPr="003E7567" w:rsidP="003E7567">
      <w:pPr>
        <w:pStyle w:val="AllowPageBreak"/>
      </w:pPr>
    </w:p>
    <w:p w:rsidR="00000000" w:rsidRPr="003E7567" w:rsidP="003E7567">
      <w:pPr>
        <w:pStyle w:val="Heading1"/>
      </w:pPr>
      <w:bookmarkStart w:id="6" w:name="O_465416"/>
      <w:bookmarkEnd w:id="6"/>
      <w:r w:rsidRPr="003E7567">
        <w:t>Employability Skills Information</w:t>
      </w:r>
    </w:p>
    <w:tbl>
      <w:tblPr>
        <w:tblW w:w="0" w:type="auto"/>
        <w:tblLayout w:type="fixed"/>
        <w:tblCellMar>
          <w:left w:w="62" w:type="dxa"/>
          <w:right w:w="62" w:type="dxa"/>
        </w:tblCellMar>
        <w:tblLook w:val="0000"/>
      </w:tblPr>
      <w:tblGrid>
        <w:gridCol w:w="2700"/>
        <w:gridCol w:w="5760"/>
      </w:tblGrid>
      <w:tr w:rsidTr="00A10C2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rPr>
                <w:rStyle w:val="SpecialBold"/>
              </w:rPr>
              <w:t xml:space="preserve">5) </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t xml:space="preserve">The required outcomes described in this unit of competency contain applicable facets of Employability Skills. The Employability Skills Summary </w:t>
            </w:r>
            <w:r w:rsidRPr="003E7567">
              <w:t>of the qualification in which this unit of competency is packaged will assist in identifying Employability Skill requirements.</w:t>
            </w:r>
          </w:p>
        </w:tc>
      </w:tr>
    </w:tbl>
    <w:p w:rsidR="00000000" w:rsidRPr="003E7567" w:rsidP="003E7567">
      <w:pPr>
        <w:pStyle w:val="BodyText"/>
      </w:pPr>
    </w:p>
    <w:p w:rsidR="00000000" w:rsidRPr="003E7567" w:rsidP="003E7567">
      <w:pPr>
        <w:pStyle w:val="AllowPageBreak"/>
      </w:pPr>
    </w:p>
    <w:p w:rsidR="00000000" w:rsidRPr="003E7567" w:rsidP="003E7567">
      <w:pPr>
        <w:pStyle w:val="Heading1"/>
      </w:pPr>
      <w:bookmarkStart w:id="7" w:name="O_465415"/>
      <w:bookmarkEnd w:id="7"/>
      <w:r w:rsidRPr="003E7567">
        <w:t>Elements and Performance Criteria Pre-Content</w:t>
      </w:r>
    </w:p>
    <w:tbl>
      <w:tblPr>
        <w:tblW w:w="0" w:type="auto"/>
        <w:tblLayout w:type="fixed"/>
        <w:tblCellMar>
          <w:left w:w="62" w:type="dxa"/>
          <w:right w:w="62" w:type="dxa"/>
        </w:tblCellMar>
        <w:tblLook w:val="0000"/>
      </w:tblPr>
      <w:tblGrid>
        <w:gridCol w:w="2700"/>
        <w:gridCol w:w="5760"/>
      </w:tblGrid>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rPr>
                <w:rStyle w:val="SpecialBold"/>
              </w:rPr>
              <w:t>6)</w:t>
            </w:r>
            <w:r w:rsidRPr="003E7567">
              <w:t xml:space="preserve"> Elements describe the essential outcomes of a competency stan</w:t>
            </w:r>
            <w:r w:rsidRPr="003E7567">
              <w:t>dard unit</w:t>
            </w:r>
          </w:p>
        </w:tc>
        <w:tc>
          <w:tcPr>
            <w:tcW w:w="576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t>Performance Criteria describe the required performance needed to demonstrate achievement of the element. Assessment of performance is to be consistent with the Evidence Guide.</w:t>
            </w:r>
          </w:p>
        </w:tc>
      </w:tr>
    </w:tbl>
    <w:p w:rsidR="00000000" w:rsidRPr="003E7567" w:rsidP="003E7567">
      <w:pPr>
        <w:pStyle w:val="BodyText"/>
      </w:pPr>
    </w:p>
    <w:p w:rsidR="00000000" w:rsidRPr="003E7567" w:rsidP="003E7567">
      <w:pPr>
        <w:pStyle w:val="AllowPageBreak"/>
      </w:pPr>
    </w:p>
    <w:p w:rsidR="00000000" w:rsidRPr="003E7567" w:rsidP="003E7567">
      <w:pPr>
        <w:pStyle w:val="Heading1"/>
      </w:pPr>
      <w:bookmarkStart w:id="8" w:name="O_465414"/>
      <w:bookmarkEnd w:id="8"/>
      <w:r w:rsidRPr="003E756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10C2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rPr>
                <w:rStyle w:val="SpecialBold"/>
              </w:rPr>
              <w:t>PERFORMANCE CRITERIA</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1.</w:t>
            </w:r>
          </w:p>
        </w:tc>
        <w:tc>
          <w:tcPr>
            <w:tcW w:w="2296"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Prepare/plan to install and maintain traction network wiring systems</w:t>
            </w: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1.1</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Works schedule(s), including drawings, plans, requirements, established procedures, and material lists, are received, analysed and confirmed, if necessary, b</w:t>
            </w:r>
            <w:r w:rsidRPr="003E7567">
              <w:t>y site inspection.</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1.2</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Relevant requirements and established procedures for the work are communicated to all personnel and identified for all work sites.</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1.3</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OHS policies and procedures related to requirements and established procedures for the installation and maintenance of traction network wiring systems are obtained and confirmed for the purposes of the work to be performed and communicated.</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1.4</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 xml:space="preserve">Work is </w:t>
            </w:r>
            <w:r w:rsidRPr="003E7567">
              <w:t>prioritised and sequenced following consultation with others for completion within acceptable timeframes and in accordance with established procedures.</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1.5</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 xml:space="preserve">Hazards are identified; OHS risks assessed and control measures are prioritised, implemented and </w:t>
            </w:r>
            <w:r w:rsidRPr="003E7567">
              <w:t>monitored including emergency exits kept clear according to established procedures.</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1.6</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Relevant work permits are obtained to access and perform work according to requirements and/or established procedures.</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1.7</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Resources including personnel, equipment, tools and personal protective equipment required for the job are obtained and confirmed in working order.</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1.8</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Relevant personnel at worksite are confirmed current in CPR, First Aid, and other rescue procedures a</w:t>
            </w:r>
            <w:r w:rsidRPr="003E7567">
              <w:t>nd related work procedures according to requirements.</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1.9</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Liaison and communication issues with other authorised personnel, authorities, clients and land owners are resolved to carry out work where necessary.</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1.10</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Site is prepared according to the wo</w:t>
            </w:r>
            <w:r w:rsidRPr="003E7567">
              <w:t>rk schedule and to minimise risk and damage to property, commerce, and individuals in accordance with established procedures.</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1.11</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Personnel participating in the work, including plant operators and contractors, are fully briefed and respective responsibilities confirmed where applicable in accordance with established procedures.</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1.12</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Rail/Road signs, barriers and warning devices ar</w:t>
            </w:r>
            <w:r w:rsidRPr="003E7567">
              <w:t>e positioned in accordance with requirements.</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1.13</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Environmental constraints applicable to work are identified and control measures applied</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2</w:t>
            </w:r>
          </w:p>
        </w:tc>
        <w:tc>
          <w:tcPr>
            <w:tcW w:w="2296"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Carry out the installation and maintenance of traction network wiring systems</w:t>
            </w: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2.1</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OHS and sustainable energy p</w:t>
            </w:r>
            <w:r w:rsidRPr="003E7567">
              <w:t>rinciples and practices to reduce the incidents of accidents and minimise waste are monitored and followed in accordance with requirements and/or established procedures.</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2.2</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 xml:space="preserve">Lifting, climbing, working aloft, and use of power tools/equipment, techniques </w:t>
            </w:r>
            <w:r w:rsidRPr="003E7567">
              <w:t>and practices are safely followed and, currency according to requirements confirmed.</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2.3</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Systems and circuits are isolated as required, proved safe to work on in accordance with the requirements/permits and established procedures.</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2.4</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Essential knowledge and associated skills are applied in the safe installation and maintenance of traction network wiring systems to ensure completion in an agreed timeframe and, to quality standards with a minimum of waste according to requirements.</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2.</w:t>
            </w:r>
            <w:r w:rsidRPr="003E7567">
              <w:t>5</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Overhead traction wiring systems, including cables, fittings, traction conductors and associated equipment are installed according to design and work schedule requirements and established procedures.</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2.6</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Maintenance, including repair and/or replacemen</w:t>
            </w:r>
            <w:r w:rsidRPr="003E7567">
              <w:t>t of overhead traction wiring systems, including the modification and re-adjustment of overhead traction conductors is carried out, in accordance with the work schedule and requirements/established procedures.</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2.7</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Profiling completed according to established procedures.</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2.8</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Hazard warnings and safety signs are recognised and hazards and assessed OHS risks are reported to the immediate authorised persons for directions according to established procedures.</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2.9</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U</w:t>
            </w:r>
            <w:r w:rsidRPr="003E7567">
              <w:t>nplanned events in the installation and maintenance of traction network wiring systems are undertaken within the scope of established procedures.</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2.10</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Known solutions to a variety of problems are applied using acquired essential knowledge and associated</w:t>
            </w:r>
            <w:r w:rsidRPr="003E7567">
              <w:t xml:space="preserve"> skills.</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2.11</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Ongoing checks of quality of the work are undertaken in accordance with instructions and established procedures.</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3.</w:t>
            </w:r>
          </w:p>
        </w:tc>
        <w:tc>
          <w:tcPr>
            <w:tcW w:w="2296"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 xml:space="preserve">Complete the installation and maintenance of traction network wiring systems </w:t>
            </w: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3.1</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Work undertaken is checked against design drawings and works schedule for conformance with requirements and anomalies reported in accordance with established procedures.</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3.2</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Accidents and/or injuries are reported in accordance with requirements/establis</w:t>
            </w:r>
            <w:r w:rsidRPr="003E7567">
              <w:t>hed procedures, where applicable.</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3.3</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Work site is rehabilitated, cleaned up and made safe in accordance with established procedures.</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3.4</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Tools, equipment and any surplus resources and materials are, where appropriate, cleaned, checked and returned t</w:t>
            </w:r>
            <w:r w:rsidRPr="003E7567">
              <w:t>o storage in accordance with established procedures.</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3.5</w:t>
            </w:r>
          </w:p>
        </w:tc>
        <w:tc>
          <w:tcPr>
            <w:tcW w:w="48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Relevant work permit(s) are signed off and, the overhead traction network wiring system is returned to service in accordance with requirements.</w:t>
            </w:r>
          </w:p>
        </w:tc>
      </w:tr>
      <w:tr w:rsidTr="00A10C2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t>3.6</w:t>
            </w:r>
          </w:p>
        </w:tc>
        <w:tc>
          <w:tcPr>
            <w:tcW w:w="486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t>Works completion records, reports, as installed /modified drawing and/or documentation and information are finalised and processed and appropriate personnel notified.</w:t>
            </w:r>
          </w:p>
        </w:tc>
      </w:tr>
    </w:tbl>
    <w:p w:rsidR="00000000" w:rsidRPr="003E7567" w:rsidP="003E7567">
      <w:pPr>
        <w:pStyle w:val="BodyText"/>
      </w:pPr>
    </w:p>
    <w:p w:rsidR="00000000" w:rsidRPr="003E7567" w:rsidP="003E7567">
      <w:pPr>
        <w:pStyle w:val="AllowPageBreak"/>
      </w:pPr>
    </w:p>
    <w:p w:rsidR="00000000" w:rsidRPr="003E7567" w:rsidP="003E7567">
      <w:pPr>
        <w:pStyle w:val="Heading1"/>
      </w:pPr>
      <w:bookmarkStart w:id="9" w:name="O_465422"/>
      <w:bookmarkEnd w:id="9"/>
      <w:r w:rsidRPr="003E7567">
        <w:t>Required Skills and Knowledge</w:t>
      </w:r>
    </w:p>
    <w:tbl>
      <w:tblPr>
        <w:tblW w:w="0" w:type="auto"/>
        <w:tblLayout w:type="fixed"/>
        <w:tblCellMar>
          <w:left w:w="62" w:type="dxa"/>
          <w:right w:w="62" w:type="dxa"/>
        </w:tblCellMar>
        <w:tblLook w:val="0000"/>
      </w:tblPr>
      <w:tblGrid>
        <w:gridCol w:w="8460"/>
      </w:tblGrid>
      <w:tr w:rsidTr="00A10C2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rPr>
                <w:rStyle w:val="SpecialBold"/>
              </w:rPr>
              <w:t>REQUIRED SKILLS AND KNOWLEDGE</w:t>
            </w:r>
          </w:p>
        </w:tc>
      </w:tr>
      <w:tr w:rsidTr="00A10C2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rPr>
                <w:rStyle w:val="SpecialBold"/>
              </w:rPr>
              <w:t>8)</w:t>
            </w:r>
            <w:r w:rsidRPr="003E7567">
              <w:t xml:space="preserve"> Essential Knowledge and Associated Skills (EKAS): This describes the essential skills and knowledge and their level, required for this unit.</w:t>
            </w:r>
          </w:p>
          <w:p w:rsidR="00000000" w:rsidRPr="003E7567" w:rsidP="003E7567">
            <w:pPr>
              <w:pStyle w:val="BodyText"/>
            </w:pPr>
            <w:r w:rsidRPr="003E7567">
              <w:t>Evidence shall show that knowledge of installing overhead traction wiring systems has been acquired.</w:t>
            </w:r>
          </w:p>
          <w:p w:rsidR="00000000" w:rsidRPr="003E7567" w:rsidP="003E7567">
            <w:pPr>
              <w:pStyle w:val="BodyText"/>
            </w:pPr>
            <w:r w:rsidRPr="003E7567">
              <w:t>All knowledge</w:t>
            </w:r>
            <w:r w:rsidRPr="003E7567">
              <w:t xml:space="preserve"> and skills detailed in this unit should be contextualised to current industry practices and technologies.</w:t>
            </w:r>
          </w:p>
          <w:p w:rsidR="00000000" w:rsidRPr="003E7567" w:rsidP="003E7567">
            <w:pPr>
              <w:pStyle w:val="BodyText"/>
            </w:pPr>
            <w:r w:rsidRPr="003E7567">
              <w:t>KS01-TRT34A</w:t>
            </w:r>
            <w:r w:rsidRPr="003E7567">
              <w:tab/>
              <w:t>Electrical Rail Traction Wiring Systems Installation</w:t>
            </w:r>
          </w:p>
          <w:p w:rsidR="00000000" w:rsidRPr="003E7567" w:rsidP="003E7567">
            <w:pPr>
              <w:pStyle w:val="BodyText"/>
            </w:pPr>
            <w:r w:rsidRPr="003E7567">
              <w:t>Evidence shall show an understanding of electrical rail traction wiring systems inst</w:t>
            </w:r>
            <w:r w:rsidRPr="003E7567">
              <w:t>allation to an extent indicated by the following aspects:</w:t>
            </w:r>
          </w:p>
          <w:p w:rsidR="00000000" w:rsidRPr="003E7567" w:rsidP="003E7567">
            <w:pPr>
              <w:pStyle w:val="BodyText"/>
            </w:pPr>
            <w:r w:rsidRPr="003E7567">
              <w:t>T1</w:t>
            </w:r>
            <w:r w:rsidRPr="003E7567">
              <w:tab/>
              <w:t>Standards, codes, legislation, supply authority regulations and or enterprise requirements applicable to the electrical traction.</w:t>
            </w:r>
          </w:p>
          <w:p w:rsidR="00000000" w:rsidRPr="003E7567" w:rsidP="003E7567">
            <w:pPr>
              <w:pStyle w:val="BodyText"/>
            </w:pPr>
            <w:r w:rsidRPr="003E7567">
              <w:t>T2</w:t>
            </w:r>
            <w:r w:rsidRPr="003E7567">
              <w:tab/>
              <w:t>Electrical traction voltage and current circuit paths encompas</w:t>
            </w:r>
            <w:r w:rsidRPr="003E7567">
              <w:t xml:space="preserve">sing: </w:t>
            </w:r>
          </w:p>
          <w:p w:rsidR="00000000" w:rsidRPr="003E7567" w:rsidP="003E7567">
            <w:pPr>
              <w:pStyle w:val="ListBullet"/>
            </w:pPr>
            <w:r w:rsidRPr="003E7567">
              <w:t>Transmission distribution voltages</w:t>
            </w:r>
          </w:p>
          <w:p w:rsidR="00000000" w:rsidRPr="003E7567" w:rsidP="003E7567">
            <w:pPr>
              <w:pStyle w:val="ListBullet"/>
            </w:pPr>
            <w:r w:rsidRPr="003E7567">
              <w:t>Traction supply system and voltages</w:t>
            </w:r>
          </w:p>
          <w:p w:rsidR="00000000" w:rsidRPr="003E7567" w:rsidP="003E7567">
            <w:pPr>
              <w:pStyle w:val="ListBullet"/>
            </w:pPr>
            <w:r w:rsidRPr="003E7567">
              <w:t>Return and stay current paths, including electrolysis</w:t>
            </w:r>
          </w:p>
          <w:p w:rsidR="00000000" w:rsidRPr="003E7567" w:rsidP="003E7567">
            <w:pPr>
              <w:pStyle w:val="BodyText"/>
            </w:pPr>
            <w:r w:rsidRPr="003E7567">
              <w:t>T3</w:t>
            </w:r>
            <w:r w:rsidRPr="003E7567">
              <w:tab/>
              <w:t>Relationship of sectioning, section insulator and overlaps/air gaps in a traction power system.</w:t>
            </w:r>
          </w:p>
          <w:p w:rsidR="00000000" w:rsidRPr="003E7567" w:rsidP="003E7567">
            <w:pPr>
              <w:pStyle w:val="BodyText"/>
            </w:pPr>
            <w:r w:rsidRPr="003E7567">
              <w:t>T4</w:t>
            </w:r>
            <w:r w:rsidRPr="003E7567">
              <w:tab/>
              <w:t>Traction power system</w:t>
            </w:r>
            <w:r w:rsidRPr="003E7567">
              <w:t xml:space="preserve"> components encompassing: </w:t>
            </w:r>
          </w:p>
          <w:p w:rsidR="00000000" w:rsidRPr="003E7567" w:rsidP="003E7567">
            <w:pPr>
              <w:pStyle w:val="ListBullet"/>
            </w:pPr>
            <w:r w:rsidRPr="003E7567">
              <w:t>Function of transformer/rectifiers</w:t>
            </w:r>
          </w:p>
          <w:p w:rsidR="00000000" w:rsidRPr="003E7567" w:rsidP="003E7567">
            <w:pPr>
              <w:pStyle w:val="ListBullet"/>
            </w:pPr>
            <w:r w:rsidRPr="003E7567">
              <w:t>Configuration and purpose of traction overhead wiring systems</w:t>
            </w:r>
          </w:p>
          <w:p w:rsidR="00000000" w:rsidRPr="003E7567" w:rsidP="003E7567">
            <w:pPr>
              <w:pStyle w:val="ListBullet"/>
            </w:pPr>
            <w:r w:rsidRPr="003E7567">
              <w:t>Function of isolators/switches</w:t>
            </w:r>
          </w:p>
          <w:p w:rsidR="00000000" w:rsidRPr="003E7567" w:rsidP="003E7567">
            <w:pPr>
              <w:pStyle w:val="ListBullet"/>
            </w:pPr>
            <w:r w:rsidRPr="003E7567">
              <w:t>Function of the circuit breaker</w:t>
            </w:r>
          </w:p>
          <w:p w:rsidR="00000000" w:rsidRPr="003E7567" w:rsidP="003E7567">
            <w:pPr>
              <w:pStyle w:val="BodyText"/>
            </w:pPr>
            <w:r w:rsidRPr="003E7567">
              <w:t>T5</w:t>
            </w:r>
            <w:r w:rsidRPr="003E7567">
              <w:tab/>
              <w:t>Reliability and security of traction supply</w:t>
            </w:r>
          </w:p>
          <w:p w:rsidR="00000000" w:rsidRPr="003E7567" w:rsidP="003E7567">
            <w:pPr>
              <w:pStyle w:val="BodyText"/>
            </w:pPr>
            <w:r w:rsidRPr="003E7567">
              <w:t>T6</w:t>
            </w:r>
            <w:r w:rsidRPr="003E7567">
              <w:tab/>
            </w:r>
            <w:r w:rsidRPr="003E7567">
              <w:t xml:space="preserve">Traction power system electrical protection encompassing: </w:t>
            </w:r>
          </w:p>
          <w:p w:rsidR="00000000" w:rsidRPr="003E7567" w:rsidP="003E7567">
            <w:pPr>
              <w:pStyle w:val="ListBullet"/>
            </w:pPr>
            <w:r w:rsidRPr="003E7567">
              <w:t>Load protection</w:t>
            </w:r>
          </w:p>
          <w:p w:rsidR="00000000" w:rsidRPr="003E7567" w:rsidP="003E7567">
            <w:pPr>
              <w:pStyle w:val="ListBullet"/>
            </w:pPr>
            <w:r w:rsidRPr="003E7567">
              <w:t>Surge protection</w:t>
            </w:r>
          </w:p>
          <w:p w:rsidR="00000000" w:rsidRPr="003E7567" w:rsidP="003E7567">
            <w:pPr>
              <w:pStyle w:val="ListBullet"/>
            </w:pPr>
            <w:r w:rsidRPr="003E7567">
              <w:t>Fault protection</w:t>
            </w:r>
          </w:p>
          <w:p w:rsidR="00000000" w:rsidRPr="003E7567" w:rsidP="003E7567">
            <w:pPr>
              <w:pStyle w:val="ListBullet"/>
            </w:pPr>
            <w:r w:rsidRPr="003E7567">
              <w:t>Electrolytic protection</w:t>
            </w:r>
          </w:p>
          <w:p w:rsidR="00000000" w:rsidRPr="003E7567" w:rsidP="003E7567">
            <w:pPr>
              <w:pStyle w:val="BodyText"/>
            </w:pPr>
            <w:r w:rsidRPr="003E7567">
              <w:t>T7</w:t>
            </w:r>
            <w:r w:rsidRPr="003E7567">
              <w:tab/>
              <w:t xml:space="preserve">Impact of electromagnetic forces encompassing: </w:t>
            </w:r>
          </w:p>
          <w:p w:rsidR="00000000" w:rsidRPr="003E7567" w:rsidP="003E7567">
            <w:pPr>
              <w:pStyle w:val="ListBullet"/>
            </w:pPr>
            <w:r w:rsidRPr="003E7567">
              <w:t>Telephone interference</w:t>
            </w:r>
          </w:p>
          <w:p w:rsidR="00000000" w:rsidRPr="003E7567" w:rsidP="003E7567">
            <w:pPr>
              <w:pStyle w:val="ListBullet"/>
            </w:pPr>
            <w:r w:rsidRPr="003E7567">
              <w:t>Effects of television/radio interference</w:t>
            </w:r>
          </w:p>
          <w:p w:rsidR="00000000" w:rsidRPr="003E7567" w:rsidP="003E7567">
            <w:pPr>
              <w:pStyle w:val="BodyText"/>
            </w:pPr>
            <w:r w:rsidRPr="003E7567">
              <w:t>T8</w:t>
            </w:r>
            <w:r w:rsidRPr="003E7567">
              <w:tab/>
              <w:t>Ins</w:t>
            </w:r>
            <w:r w:rsidRPr="003E7567">
              <w:t xml:space="preserve">ulation methods in a traction power system encompassing: </w:t>
            </w:r>
          </w:p>
          <w:p w:rsidR="00000000" w:rsidRPr="003E7567" w:rsidP="003E7567">
            <w:pPr>
              <w:pStyle w:val="ListBullet"/>
            </w:pPr>
            <w:r w:rsidRPr="003E7567">
              <w:t>Types of electrical insulation</w:t>
            </w:r>
          </w:p>
          <w:p w:rsidR="00000000" w:rsidRPr="003E7567" w:rsidP="003E7567">
            <w:pPr>
              <w:pStyle w:val="ListBullet"/>
            </w:pPr>
            <w:r w:rsidRPr="003E7567">
              <w:t>Insulation coordination</w:t>
            </w:r>
          </w:p>
          <w:p w:rsidR="00000000" w:rsidRPr="003E7567" w:rsidP="003E7567">
            <w:pPr>
              <w:pStyle w:val="ListBullet"/>
            </w:pPr>
            <w:r w:rsidRPr="003E7567">
              <w:t>Reason for electrical clearances</w:t>
            </w:r>
          </w:p>
          <w:p w:rsidR="00000000" w:rsidRPr="003E7567" w:rsidP="003E7567">
            <w:pPr>
              <w:pStyle w:val="BodyText"/>
            </w:pPr>
            <w:r w:rsidRPr="003E7567">
              <w:t>T9</w:t>
            </w:r>
            <w:r w:rsidRPr="003E7567">
              <w:tab/>
              <w:t>Bonding systems - structure bonds, traction bonds/bonding cables and impedance bonds</w:t>
            </w:r>
          </w:p>
          <w:p w:rsidR="00000000" w:rsidRPr="003E7567" w:rsidP="003E7567">
            <w:pPr>
              <w:pStyle w:val="BodyText"/>
            </w:pPr>
            <w:r w:rsidRPr="003E7567">
              <w:t>T10</w:t>
            </w:r>
            <w:r w:rsidRPr="003E7567">
              <w:tab/>
              <w:t>Ancillary conduct</w:t>
            </w:r>
            <w:r w:rsidRPr="003E7567">
              <w:t>ors - feeder wires, current return path and other ancillary conductors</w:t>
            </w:r>
          </w:p>
          <w:p w:rsidR="00000000" w:rsidRPr="003E7567" w:rsidP="003E7567">
            <w:pPr>
              <w:pStyle w:val="BodyText"/>
            </w:pPr>
            <w:r w:rsidRPr="003E7567">
              <w:t>T11</w:t>
            </w:r>
            <w:r w:rsidRPr="003E7567">
              <w:tab/>
              <w:t>Relationship of current and potential drapers/jumpers to the traction power system</w:t>
            </w:r>
          </w:p>
          <w:p w:rsidR="00000000" w:rsidRPr="003E7567" w:rsidP="003E7567">
            <w:pPr>
              <w:pStyle w:val="BodyText"/>
            </w:pPr>
            <w:r w:rsidRPr="003E7567">
              <w:t>T12</w:t>
            </w:r>
            <w:r w:rsidRPr="003E7567">
              <w:tab/>
              <w:t xml:space="preserve">Electrical wiring system components - earth wires, feeder wire, return conductor, insulators, </w:t>
            </w:r>
            <w:r w:rsidRPr="003E7567">
              <w:t>catenary wire, contact/trolley wire, droppers, tensioning equipment, current collectors, tram support networks, tram fittings, bridge/tunnel fittings</w:t>
            </w:r>
          </w:p>
          <w:p w:rsidR="00000000" w:rsidRPr="003E7567" w:rsidP="003E7567">
            <w:pPr>
              <w:pStyle w:val="BodyText"/>
            </w:pPr>
            <w:r w:rsidRPr="003E7567">
              <w:t>T13</w:t>
            </w:r>
            <w:r w:rsidRPr="003E7567">
              <w:tab/>
              <w:t xml:space="preserve">Electrical traction circuits encompassing: </w:t>
            </w:r>
          </w:p>
          <w:p w:rsidR="00000000" w:rsidRPr="003E7567" w:rsidP="003E7567">
            <w:pPr>
              <w:pStyle w:val="ListBullet"/>
            </w:pPr>
            <w:r w:rsidRPr="003E7567">
              <w:t>Types</w:t>
            </w:r>
          </w:p>
          <w:p w:rsidR="00000000" w:rsidRPr="003E7567" w:rsidP="003E7567">
            <w:pPr>
              <w:pStyle w:val="ListBullet"/>
            </w:pPr>
            <w:r w:rsidRPr="003E7567">
              <w:t>Applications</w:t>
            </w:r>
          </w:p>
          <w:p w:rsidR="00000000" w:rsidRPr="003E7567" w:rsidP="003E7567">
            <w:pPr>
              <w:pStyle w:val="BodyText"/>
            </w:pPr>
            <w:r w:rsidRPr="003E7567">
              <w:t>T14</w:t>
            </w:r>
            <w:r w:rsidRPr="003E7567">
              <w:tab/>
            </w:r>
            <w:r w:rsidRPr="003E7567">
              <w:t>Relationship of the components, apparatus and the conductors to the operation of the traction system</w:t>
            </w:r>
          </w:p>
          <w:p w:rsidR="00000000" w:rsidRPr="003E7567" w:rsidP="003E7567">
            <w:pPr>
              <w:pStyle w:val="BodyText"/>
            </w:pPr>
            <w:r w:rsidRPr="003E7567">
              <w:t>T15</w:t>
            </w:r>
            <w:r w:rsidRPr="003E7567">
              <w:tab/>
              <w:t>Effective current collection and wire interface</w:t>
            </w:r>
          </w:p>
          <w:p w:rsidR="00000000" w:rsidRPr="003E7567" w:rsidP="003E7567">
            <w:pPr>
              <w:pStyle w:val="BodyText"/>
            </w:pPr>
            <w:r w:rsidRPr="003E7567">
              <w:t>T16</w:t>
            </w:r>
            <w:r w:rsidRPr="003E7567">
              <w:tab/>
              <w:t>Effective registration in the traction power system</w:t>
            </w:r>
          </w:p>
          <w:p w:rsidR="00000000" w:rsidRPr="003E7567" w:rsidP="003E7567">
            <w:pPr>
              <w:pStyle w:val="BodyText"/>
            </w:pPr>
            <w:r w:rsidRPr="003E7567">
              <w:t>T17</w:t>
            </w:r>
            <w:r w:rsidRPr="003E7567">
              <w:tab/>
              <w:t>Profiling overhead traction wire methods.</w:t>
            </w:r>
          </w:p>
          <w:p w:rsidR="00000000" w:rsidRPr="003E7567" w:rsidP="003E7567">
            <w:pPr>
              <w:pStyle w:val="ListBullet"/>
            </w:pPr>
            <w:r w:rsidRPr="003E7567">
              <w:t>Factors that impact on current collectors</w:t>
            </w:r>
          </w:p>
          <w:p w:rsidR="00000000" w:rsidRPr="003E7567" w:rsidP="003E7567">
            <w:pPr>
              <w:pStyle w:val="ListBullet"/>
            </w:pPr>
            <w:r w:rsidRPr="003E7567">
              <w:t>Methods to achieving smooth current collector transitions and interfaces</w:t>
            </w:r>
          </w:p>
          <w:p w:rsidR="00000000" w:rsidRPr="003E7567" w:rsidP="003E7567">
            <w:pPr>
              <w:pStyle w:val="BodyText"/>
            </w:pPr>
            <w:r w:rsidRPr="003E7567">
              <w:t>T18</w:t>
            </w:r>
            <w:r w:rsidRPr="003E7567">
              <w:tab/>
              <w:t xml:space="preserve">Dynamic and static forces encompassing: </w:t>
            </w:r>
          </w:p>
          <w:p w:rsidR="00000000" w:rsidRPr="003E7567" w:rsidP="003E7567">
            <w:pPr>
              <w:pStyle w:val="ListBullet"/>
            </w:pPr>
            <w:r w:rsidRPr="003E7567">
              <w:t>Types that effect traction systems</w:t>
            </w:r>
          </w:p>
          <w:p w:rsidR="00000000" w:rsidRPr="003E7567" w:rsidP="003E7567">
            <w:pPr>
              <w:pStyle w:val="ListBullet"/>
            </w:pPr>
            <w:r w:rsidRPr="003E7567">
              <w:t>Effects on effective registration</w:t>
            </w:r>
          </w:p>
          <w:p w:rsidR="00000000" w:rsidRPr="003E7567" w:rsidP="003E7567">
            <w:pPr>
              <w:pStyle w:val="ListBullet"/>
            </w:pPr>
            <w:r w:rsidRPr="003E7567">
              <w:t>Techniques to minimise the</w:t>
            </w:r>
            <w:r w:rsidRPr="003E7567">
              <w:t xml:space="preserve"> adverse effects</w:t>
            </w:r>
          </w:p>
        </w:tc>
      </w:tr>
    </w:tbl>
    <w:p w:rsidR="00000000" w:rsidRPr="003E7567" w:rsidP="003E7567">
      <w:pPr>
        <w:pStyle w:val="BodyText"/>
      </w:pPr>
    </w:p>
    <w:p w:rsidR="00000000" w:rsidRPr="003E7567" w:rsidP="003E7567">
      <w:pPr>
        <w:pStyle w:val="AllowPageBreak"/>
      </w:pPr>
    </w:p>
    <w:p w:rsidR="00000000" w:rsidRPr="003E7567" w:rsidP="003E7567">
      <w:pPr>
        <w:pStyle w:val="Heading1"/>
      </w:pPr>
      <w:bookmarkStart w:id="10" w:name="O_465417"/>
      <w:bookmarkEnd w:id="10"/>
      <w:r w:rsidRPr="003E7567">
        <w:t>Evidence Guide</w:t>
      </w:r>
    </w:p>
    <w:tbl>
      <w:tblPr>
        <w:tblW w:w="0" w:type="auto"/>
        <w:tblLayout w:type="fixed"/>
        <w:tblCellMar>
          <w:left w:w="62" w:type="dxa"/>
          <w:right w:w="62" w:type="dxa"/>
        </w:tblCellMar>
        <w:tblLook w:val="0000"/>
      </w:tblPr>
      <w:tblGrid>
        <w:gridCol w:w="8460"/>
      </w:tblGrid>
      <w:tr w:rsidTr="00A10C2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rPr>
                <w:rStyle w:val="SpecialBold"/>
              </w:rPr>
              <w:t>EVIDENCE GUIDE</w:t>
            </w:r>
          </w:p>
        </w:tc>
      </w:tr>
      <w:tr w:rsidTr="00A10C2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rPr>
                <w:rStyle w:val="SpecialBold"/>
              </w:rPr>
              <w:t>9)</w:t>
            </w:r>
            <w:r w:rsidRPr="003E7567">
              <w:t xml:space="preserve"> This provides essential advice for assessment of the competency standard unit and must be read </w:t>
            </w:r>
            <w:r w:rsidRPr="003E7567">
              <w:t>in conjunction with the Performance Criteria and the range statement of the competency standard unit and the Training Package Assessment Guidelines.</w:t>
            </w:r>
          </w:p>
          <w:p w:rsidR="00000000" w:rsidRPr="003E7567" w:rsidP="003E7567">
            <w:pPr>
              <w:pStyle w:val="BodyText"/>
            </w:pPr>
            <w:r w:rsidRPr="003E7567">
              <w:t>The Evidence Guide forms an integral part of this Competency Standard Unit and shall be used in conjunction</w:t>
            </w:r>
            <w:r w:rsidRPr="003E7567">
              <w:t xml:space="preserve"> with all component parts of this unit and, performed in accordance with the Assessment Guidelines of this Training Package.</w:t>
            </w:r>
          </w:p>
        </w:tc>
      </w:tr>
    </w:tbl>
    <w:p w:rsidR="00000000" w:rsidRPr="003E7567" w:rsidP="003E7567">
      <w:pPr>
        <w:pStyle w:val="BodyText"/>
      </w:pPr>
    </w:p>
    <w:tbl>
      <w:tblPr>
        <w:tblW w:w="0" w:type="auto"/>
        <w:tblLayout w:type="fixed"/>
        <w:tblCellMar>
          <w:left w:w="62" w:type="dxa"/>
          <w:right w:w="62" w:type="dxa"/>
        </w:tblCellMar>
        <w:tblLook w:val="0000"/>
      </w:tblPr>
      <w:tblGrid>
        <w:gridCol w:w="1890"/>
        <w:gridCol w:w="6570"/>
      </w:tblGrid>
      <w:tr w:rsidTr="00A10C2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rPr>
                <w:rStyle w:val="SpecialBold"/>
              </w:rPr>
              <w:t>9.1)</w:t>
            </w:r>
          </w:p>
        </w:tc>
      </w:tr>
      <w:tr w:rsidTr="00A10C2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t>Longitudinal competency development approaches to as</w:t>
            </w:r>
            <w:r w:rsidRPr="003E7567">
              <w:t xml:space="preserve">sessment, such as Profiling, require data to be reliably gathered in a form that can be consistently interpreted over time. This approach is best utilised in Apprenticeship programs and reduces assessment intervention. It is the Industry’s preferred model </w:t>
            </w:r>
            <w:r w:rsidRPr="003E7567">
              <w:t>for apprenticeships. However, where summative (or final) assessment is used it is to include the application of the competency in the normal work environment or, at a minimum, the application of the competency in a realistically simulated work environment.</w:t>
            </w:r>
            <w:r w:rsidRPr="003E7567">
              <w:t xml:space="preserve"> It is recognised that, in some circumstances, assessment in part or full can occur outside the workplace. However, it must be in accord with Industry and, Regulatory policy in this regard.</w:t>
            </w:r>
          </w:p>
          <w:p w:rsidR="00000000" w:rsidRPr="003E7567" w:rsidP="003E7567">
            <w:pPr>
              <w:pStyle w:val="BodyText"/>
            </w:pPr>
            <w:r w:rsidRPr="003E7567">
              <w:t>Methods chosen for a particular assessment will be influenced by v</w:t>
            </w:r>
            <w:r w:rsidRPr="003E7567">
              <w:t xml:space="preserve">arious factors. These include the extent of the assessment, the most effective locations for the assessment activities to take place, access to physical resources, additional safety measures that may be required and the critical nature of the competencies </w:t>
            </w:r>
            <w:r w:rsidRPr="003E7567">
              <w:t>being assessed.</w:t>
            </w:r>
          </w:p>
          <w:p w:rsidR="00000000" w:rsidRPr="003E7567" w:rsidP="003E7567">
            <w:pPr>
              <w:pStyle w:val="BodyText"/>
            </w:pPr>
            <w:r w:rsidRPr="003E7567">
              <w:t>The critical safety nature of working with electricity, electrical equipment, gas or any other hazardous substance/material carries risk in deeming a person competent. Hence, sources of evidence need to be ‘rich’ in nature so as to minimise</w:t>
            </w:r>
            <w:r w:rsidRPr="003E7567">
              <w:t xml:space="preserve"> error in judgment.</w:t>
            </w:r>
          </w:p>
          <w:p w:rsidR="00000000" w:rsidRPr="003E7567" w:rsidP="003E7567">
            <w:pPr>
              <w:pStyle w:val="BodyText"/>
            </w:pPr>
            <w:r w:rsidRPr="003E7567">
              <w:t>Activities associated with normal every day work have a bearing on the decision as to how much and how detailed the data gathered will contribute to its ‘richness’. Some skills are more critical to safety and operational requirements wh</w:t>
            </w:r>
            <w:r w:rsidRPr="003E7567">
              <w:t>ile the same skills may be more or less frequently practiced. These points are raised for the assessors to consider when choosing an assessment method and developing assessment instruments. Sample assessment instruments are included for Assessors in the As</w:t>
            </w:r>
            <w:r w:rsidRPr="003E7567">
              <w:t>sessment Guidelines of this Training Package.</w:t>
            </w:r>
          </w:p>
        </w:tc>
      </w:tr>
    </w:tbl>
    <w:p w:rsidR="00000000" w:rsidRPr="003E7567" w:rsidP="003E7567">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A10C2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rPr>
                <w:rStyle w:val="SpecialBold"/>
              </w:rPr>
              <w:t>9.2)</w:t>
            </w:r>
          </w:p>
        </w:tc>
      </w:tr>
      <w:tr w:rsidTr="00A10C2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t>Before the critical aspects of evidence are considered all prerequisites shall be met.</w:t>
            </w:r>
          </w:p>
          <w:p w:rsidR="00000000" w:rsidRPr="003E7567" w:rsidP="003E7567">
            <w:pPr>
              <w:pStyle w:val="BodyText"/>
            </w:pPr>
            <w:r w:rsidRPr="003E7567">
              <w:t>Evidence for competence in this un</w:t>
            </w:r>
            <w:r w:rsidRPr="003E7567">
              <w:t>it shall be considered holistically. Each element and associated Performance Criteria shall be demonstrated on at least two occasions in accordance with the “Assessment Guidelines – UET12”. Evidence shall also comprise:</w:t>
            </w:r>
          </w:p>
          <w:p w:rsidR="00000000" w:rsidRPr="003E7567" w:rsidP="003E7567">
            <w:pPr>
              <w:pStyle w:val="ListBullet"/>
            </w:pPr>
            <w:r w:rsidRPr="003E7567">
              <w:t>A representative body of Performance Criteria demonstrated within the timeframes typically expected of the discipline, work function and industrial environment. In particular this shall incorporate evidence that shows a candidate is able to:</w:t>
            </w:r>
          </w:p>
          <w:p w:rsidR="00000000" w:rsidRPr="003E7567" w:rsidP="003E7567">
            <w:pPr>
              <w:pStyle w:val="ListBullet2"/>
            </w:pPr>
            <w:r w:rsidRPr="003E7567">
              <w:t>Implement Occ</w:t>
            </w:r>
            <w:r w:rsidRPr="003E7567">
              <w:t>upational Health and Safety workplace procedures and practices including the use of risk control measures as specified in the Performance Criteria and range; and</w:t>
            </w:r>
          </w:p>
          <w:p w:rsidR="00000000" w:rsidRPr="003E7567" w:rsidP="003E7567">
            <w:pPr>
              <w:pStyle w:val="ListBullet2"/>
            </w:pPr>
            <w:r w:rsidRPr="003E7567">
              <w:t>Apply sustainable energy principles and practices as specified in the Performance Criteria and</w:t>
            </w:r>
            <w:r w:rsidRPr="003E7567">
              <w:t xml:space="preserve"> range; and</w:t>
            </w:r>
          </w:p>
          <w:p w:rsidR="00000000" w:rsidRPr="003E7567" w:rsidP="003E7567">
            <w:pPr>
              <w:pStyle w:val="ListBullet2"/>
            </w:pPr>
            <w:r w:rsidRPr="003E7567">
              <w:t>Demonstrate an understanding of the essential knowledge and associated skills as described in this unit to such an extent that the learner’s performance outcome is reported in accordance with the preferred approach; namely a percentile graded r</w:t>
            </w:r>
            <w:r w:rsidRPr="003E7567">
              <w:t>esult, where required by the regulated environment; and</w:t>
            </w:r>
          </w:p>
          <w:p w:rsidR="00000000" w:rsidRPr="003E7567" w:rsidP="003E7567">
            <w:pPr>
              <w:pStyle w:val="ListBullet2"/>
            </w:pPr>
            <w:r w:rsidRPr="003E7567">
              <w:t>Demonstrate an appropriate level of employability skills; and</w:t>
            </w:r>
          </w:p>
          <w:p w:rsidR="00000000" w:rsidRPr="003E7567" w:rsidP="003E7567">
            <w:pPr>
              <w:pStyle w:val="ListBullet"/>
            </w:pPr>
            <w:r w:rsidRPr="003E7567">
              <w:t>Conduct work observing the relevant Anti Discrimination legislation, regulations, policies and workplace procedures; and</w:t>
            </w:r>
          </w:p>
          <w:p w:rsidR="00000000" w:rsidP="003E7567">
            <w:pPr>
              <w:pStyle w:val="ListBullet2"/>
              <w:rPr>
                <w:lang w:val="en-NZ"/>
              </w:rPr>
            </w:pPr>
            <w:r w:rsidRPr="003E7567">
              <w:t>Demonstrated pe</w:t>
            </w:r>
            <w:r w:rsidRPr="003E7567">
              <w:t>rformance across a representative range of contexts from the prescribed items below:</w:t>
            </w:r>
          </w:p>
        </w:tc>
      </w:tr>
      <w:tr w:rsidTr="00A10C2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E7567">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567">
            <w:pPr>
              <w:pStyle w:val="BodyText"/>
              <w:rPr>
                <w:lang w:val="en-NZ"/>
              </w:rPr>
            </w:pPr>
            <w:r w:rsidRPr="003E7567">
              <w:rPr>
                <w:rStyle w:val="SpecialBold"/>
              </w:rPr>
              <w:t>Range of tools/equipment/materials/procedures/workplaces/other variables</w:t>
            </w:r>
          </w:p>
        </w:tc>
      </w:tr>
      <w:tr w:rsidTr="00A10C2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E7567">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567" w:rsidP="003E7567">
            <w:pPr>
              <w:pStyle w:val="BodyText"/>
            </w:pPr>
            <w:r w:rsidRPr="003E7567">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567" w:rsidP="003E7567">
            <w:pPr>
              <w:pStyle w:val="BodyText"/>
            </w:pPr>
            <w:r w:rsidRPr="003E7567">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567">
            <w:pPr>
              <w:pStyle w:val="BodyText"/>
              <w:rPr>
                <w:lang w:val="en-NZ"/>
              </w:rPr>
            </w:pPr>
            <w:r w:rsidRPr="003E7567">
              <w:rPr>
                <w:rStyle w:val="SpecialBold"/>
              </w:rPr>
              <w:t>Item List</w:t>
            </w:r>
          </w:p>
        </w:tc>
      </w:tr>
      <w:tr w:rsidTr="00A10C2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567">
            <w:pPr>
              <w:pStyle w:val="BodyText"/>
              <w:rPr>
                <w:lang w:val="en-NZ"/>
              </w:rPr>
            </w:pPr>
            <w:r w:rsidRPr="003E7567">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567">
            <w:pPr>
              <w:pStyle w:val="BodyText"/>
              <w:rPr>
                <w:lang w:val="en-NZ"/>
              </w:rPr>
            </w:pPr>
            <w:r w:rsidRPr="003E7567">
              <w:t>Install and maintain at least four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567" w:rsidP="003E7567">
            <w:pPr>
              <w:pStyle w:val="BodyText"/>
            </w:pPr>
            <w:r w:rsidRPr="003E7567">
              <w:t xml:space="preserve">Support structure, </w:t>
            </w:r>
          </w:p>
          <w:p w:rsidR="00000000" w:rsidRPr="003E7567" w:rsidP="003E7567">
            <w:pPr>
              <w:pStyle w:val="BodyText"/>
            </w:pPr>
            <w:r w:rsidRPr="003E7567">
              <w:t xml:space="preserve">Span, </w:t>
            </w:r>
          </w:p>
          <w:p w:rsidR="00000000" w:rsidRPr="003E7567" w:rsidP="003E7567">
            <w:pPr>
              <w:pStyle w:val="BodyText"/>
            </w:pPr>
            <w:r w:rsidRPr="003E7567">
              <w:t xml:space="preserve">Section insulator, </w:t>
            </w:r>
          </w:p>
          <w:p w:rsidR="00000000" w:rsidRPr="003E7567" w:rsidP="003E7567">
            <w:pPr>
              <w:pStyle w:val="BodyText"/>
            </w:pPr>
            <w:r w:rsidRPr="003E7567">
              <w:t xml:space="preserve">Neutral section, </w:t>
            </w:r>
          </w:p>
          <w:p w:rsidR="00000000" w:rsidRPr="003E7567" w:rsidP="003E7567">
            <w:pPr>
              <w:pStyle w:val="BodyText"/>
            </w:pPr>
            <w:r w:rsidRPr="003E7567">
              <w:t xml:space="preserve">Midpoint anchor, </w:t>
            </w:r>
          </w:p>
          <w:p w:rsidR="00000000" w:rsidRPr="003E7567" w:rsidP="003E7567">
            <w:pPr>
              <w:pStyle w:val="BodyText"/>
            </w:pPr>
            <w:r w:rsidRPr="003E7567">
              <w:t xml:space="preserve">Support equipment, </w:t>
            </w:r>
          </w:p>
          <w:p w:rsidR="00000000" w:rsidRPr="003E7567" w:rsidP="003E7567">
            <w:pPr>
              <w:pStyle w:val="BodyText"/>
            </w:pPr>
            <w:r w:rsidRPr="003E7567">
              <w:t xml:space="preserve">Tension regulators, </w:t>
            </w:r>
          </w:p>
          <w:p w:rsidR="00000000" w:rsidRPr="003E7567" w:rsidP="003E7567">
            <w:pPr>
              <w:pStyle w:val="BodyText"/>
            </w:pPr>
            <w:r w:rsidRPr="003E7567">
              <w:t xml:space="preserve">Stay/guy wire, </w:t>
            </w:r>
          </w:p>
          <w:p w:rsidR="00000000" w:rsidP="003E7567">
            <w:pPr>
              <w:pStyle w:val="BodyText"/>
              <w:rPr>
                <w:lang w:val="en-NZ"/>
              </w:rPr>
            </w:pPr>
            <w:r w:rsidRPr="003E7567">
              <w:t>Tramway support network</w:t>
            </w:r>
          </w:p>
        </w:tc>
      </w:tr>
      <w:tr w:rsidTr="00A10C2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567">
            <w:pPr>
              <w:pStyle w:val="BodyText"/>
              <w:rPr>
                <w:lang w:val="en-NZ"/>
              </w:rPr>
            </w:pPr>
            <w:r w:rsidRPr="003E7567">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567">
            <w:pPr>
              <w:pStyle w:val="BodyText"/>
              <w:rPr>
                <w:lang w:val="en-NZ"/>
              </w:rPr>
            </w:pPr>
            <w:r w:rsidRPr="003E7567">
              <w:t xml:space="preserve">With regards to "A" incorporate </w:t>
            </w:r>
            <w:r w:rsidRPr="003E7567">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567" w:rsidP="003E7567">
            <w:pPr>
              <w:pStyle w:val="BodyText"/>
            </w:pPr>
            <w:r w:rsidRPr="003E7567">
              <w:t xml:space="preserve">Catenary, </w:t>
            </w:r>
          </w:p>
          <w:p w:rsidR="00000000" w:rsidRPr="003E7567" w:rsidP="003E7567">
            <w:pPr>
              <w:pStyle w:val="BodyText"/>
            </w:pPr>
            <w:r w:rsidRPr="003E7567">
              <w:t xml:space="preserve">Dropper, </w:t>
            </w:r>
          </w:p>
          <w:p w:rsidR="00000000" w:rsidRPr="003E7567" w:rsidP="003E7567">
            <w:pPr>
              <w:pStyle w:val="BodyText"/>
            </w:pPr>
            <w:r w:rsidRPr="003E7567">
              <w:t xml:space="preserve">Contact/trolley*, </w:t>
            </w:r>
          </w:p>
          <w:p w:rsidR="00000000" w:rsidRPr="003E7567" w:rsidP="003E7567">
            <w:pPr>
              <w:pStyle w:val="BodyText"/>
            </w:pPr>
            <w:r w:rsidRPr="003E7567">
              <w:t xml:space="preserve">Feeder, </w:t>
            </w:r>
          </w:p>
          <w:p w:rsidR="00000000" w:rsidRPr="003E7567" w:rsidP="003E7567">
            <w:pPr>
              <w:pStyle w:val="BodyText"/>
            </w:pPr>
            <w:r w:rsidRPr="003E7567">
              <w:t xml:space="preserve">Earth conductor, </w:t>
            </w:r>
          </w:p>
          <w:p w:rsidR="00000000" w:rsidRPr="003E7567" w:rsidP="003E7567">
            <w:pPr>
              <w:pStyle w:val="BodyText"/>
            </w:pPr>
            <w:r w:rsidRPr="003E7567">
              <w:t xml:space="preserve">Drape/potential jumper </w:t>
            </w:r>
          </w:p>
          <w:p w:rsidR="00000000" w:rsidP="003E7567">
            <w:pPr>
              <w:pStyle w:val="BodyText"/>
              <w:rPr>
                <w:lang w:val="en-NZ"/>
              </w:rPr>
            </w:pPr>
            <w:r w:rsidRPr="003E7567">
              <w:t>(*must do)</w:t>
            </w:r>
          </w:p>
        </w:tc>
      </w:tr>
      <w:tr w:rsidTr="00A10C2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567">
            <w:pPr>
              <w:pStyle w:val="BodyText"/>
              <w:rPr>
                <w:lang w:val="en-NZ"/>
              </w:rPr>
            </w:pPr>
            <w:r w:rsidRPr="003E7567">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567">
            <w:pPr>
              <w:pStyle w:val="BodyText"/>
              <w:rPr>
                <w:lang w:val="en-NZ"/>
              </w:rPr>
            </w:pPr>
            <w:r w:rsidRPr="003E7567">
              <w:t>With regards to "A" incorporate 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567" w:rsidP="003E7567">
            <w:pPr>
              <w:pStyle w:val="BodyText"/>
            </w:pPr>
            <w:r w:rsidRPr="003E7567">
              <w:t xml:space="preserve">Elevating work platform, </w:t>
            </w:r>
          </w:p>
          <w:p w:rsidR="00000000" w:rsidRPr="003E7567" w:rsidP="003E7567">
            <w:pPr>
              <w:pStyle w:val="BodyText"/>
            </w:pPr>
            <w:r w:rsidRPr="003E7567">
              <w:t xml:space="preserve">Ladder, </w:t>
            </w:r>
          </w:p>
          <w:p w:rsidR="00000000" w:rsidP="003E7567">
            <w:pPr>
              <w:pStyle w:val="BodyText"/>
              <w:rPr>
                <w:lang w:val="en-NZ"/>
              </w:rPr>
            </w:pPr>
            <w:r w:rsidRPr="003E7567">
              <w:t>Mobile platform</w:t>
            </w:r>
          </w:p>
        </w:tc>
      </w:tr>
      <w:tr w:rsidTr="00A10C2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567">
            <w:pPr>
              <w:pStyle w:val="BodyText"/>
              <w:rPr>
                <w:lang w:val="en-NZ"/>
              </w:rPr>
            </w:pPr>
            <w:r w:rsidRPr="003E7567">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567">
            <w:pPr>
              <w:pStyle w:val="BodyText"/>
              <w:rPr>
                <w:lang w:val="en-NZ"/>
              </w:rPr>
            </w:pPr>
            <w:r w:rsidRPr="003E7567">
              <w:t>With regards to "A" incorporate 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567" w:rsidP="003E7567">
            <w:pPr>
              <w:pStyle w:val="BodyText"/>
            </w:pPr>
            <w:r w:rsidRPr="003E7567">
              <w:t xml:space="preserve">Tensioning equipment*, </w:t>
            </w:r>
          </w:p>
          <w:p w:rsidR="00000000" w:rsidRPr="003E7567" w:rsidP="003E7567">
            <w:pPr>
              <w:pStyle w:val="BodyText"/>
            </w:pPr>
            <w:r w:rsidRPr="003E7567">
              <w:t>Specialised tools,</w:t>
            </w:r>
          </w:p>
          <w:p w:rsidR="00000000" w:rsidRPr="003E7567" w:rsidP="003E7567">
            <w:pPr>
              <w:pStyle w:val="BodyText"/>
            </w:pPr>
            <w:r w:rsidRPr="003E7567">
              <w:t xml:space="preserve">Ropes, </w:t>
            </w:r>
          </w:p>
          <w:p w:rsidR="00000000" w:rsidRPr="003E7567" w:rsidP="003E7567">
            <w:pPr>
              <w:pStyle w:val="BodyText"/>
            </w:pPr>
            <w:r w:rsidRPr="003E7567">
              <w:t xml:space="preserve">Geometry profiling equipment. </w:t>
            </w:r>
          </w:p>
          <w:p w:rsidR="00000000" w:rsidP="003E7567">
            <w:pPr>
              <w:pStyle w:val="BodyText"/>
              <w:rPr>
                <w:lang w:val="en-NZ"/>
              </w:rPr>
            </w:pPr>
            <w:r w:rsidRPr="003E7567">
              <w:t>(*must do)</w:t>
            </w:r>
          </w:p>
        </w:tc>
      </w:tr>
      <w:tr w:rsidTr="00A10C2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567">
            <w:pPr>
              <w:pStyle w:val="BodyText"/>
              <w:rPr>
                <w:lang w:val="en-NZ"/>
              </w:rPr>
            </w:pPr>
            <w:r w:rsidRPr="003E7567">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567">
            <w:pPr>
              <w:pStyle w:val="BodyText"/>
              <w:rPr>
                <w:lang w:val="en-NZ"/>
              </w:rPr>
            </w:pPr>
            <w:r w:rsidRPr="003E7567">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567" w:rsidP="003E7567">
            <w:pPr>
              <w:pStyle w:val="BodyText"/>
            </w:pPr>
            <w:r w:rsidRPr="003E7567">
              <w:t>Dealing with an unplanned event by drawing on essential knowledge and associated skills to provide appropriate solutions incorporated in the holistic assessment with the above listed items.</w:t>
            </w:r>
          </w:p>
        </w:tc>
      </w:tr>
    </w:tbl>
    <w:p w:rsidR="00000000" w:rsidRPr="003E7567" w:rsidP="003E7567">
      <w:pPr>
        <w:pStyle w:val="BodyText"/>
      </w:pPr>
    </w:p>
    <w:tbl>
      <w:tblPr>
        <w:tblW w:w="0" w:type="auto"/>
        <w:tblLayout w:type="fixed"/>
        <w:tblCellMar>
          <w:left w:w="62" w:type="dxa"/>
          <w:right w:w="62" w:type="dxa"/>
        </w:tblCellMar>
        <w:tblLook w:val="0000"/>
      </w:tblPr>
      <w:tblGrid>
        <w:gridCol w:w="1890"/>
        <w:gridCol w:w="6570"/>
      </w:tblGrid>
      <w:tr w:rsidTr="00A10C2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rPr>
                <w:rStyle w:val="SpecialBold"/>
              </w:rPr>
              <w:t>9.3)</w:t>
            </w:r>
          </w:p>
        </w:tc>
      </w:tr>
      <w:tr w:rsidTr="00A10C2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t>This unit should be assessed as it relates to normal work practice using procedures, information and resources typical of a workplace. This should include:</w:t>
            </w:r>
          </w:p>
          <w:p w:rsidR="00000000" w:rsidRPr="003E7567" w:rsidP="003E7567">
            <w:pPr>
              <w:pStyle w:val="ListBullet"/>
            </w:pPr>
            <w:r w:rsidRPr="003E7567">
              <w:t>OHS policy and work procedures and instructions.</w:t>
            </w:r>
          </w:p>
          <w:p w:rsidR="00000000" w:rsidRPr="003E7567" w:rsidP="003E7567">
            <w:pPr>
              <w:pStyle w:val="ListBullet"/>
            </w:pPr>
            <w:r w:rsidRPr="003E7567">
              <w:t>Suitable work environment, facilities, equipment a</w:t>
            </w:r>
            <w:r w:rsidRPr="003E7567">
              <w:t xml:space="preserve">nd materials to undertake actual installation and maintenance of traction network wiring systems. </w:t>
            </w:r>
          </w:p>
          <w:p w:rsidR="00000000" w:rsidRPr="003E7567" w:rsidP="003E7567">
            <w:pPr>
              <w:pStyle w:val="BodyText"/>
            </w:pPr>
            <w:r w:rsidRPr="003E7567">
              <w:t>In addition to the resources listed above, in context of and specific resources for assessment, evidence should show demonstrated competency working below gr</w:t>
            </w:r>
            <w:r w:rsidRPr="003E7567">
              <w:t xml:space="preserve">ound, in limited spaces, with different structural/construction types and method and in a variety of environments. </w:t>
            </w:r>
          </w:p>
        </w:tc>
      </w:tr>
    </w:tbl>
    <w:p w:rsidR="00000000" w:rsidRPr="003E7567" w:rsidP="003E7567">
      <w:pPr>
        <w:pStyle w:val="BodyText"/>
      </w:pPr>
    </w:p>
    <w:tbl>
      <w:tblPr>
        <w:tblW w:w="0" w:type="auto"/>
        <w:tblLayout w:type="fixed"/>
        <w:tblCellMar>
          <w:left w:w="62" w:type="dxa"/>
          <w:right w:w="62" w:type="dxa"/>
        </w:tblCellMar>
        <w:tblLook w:val="0000"/>
      </w:tblPr>
      <w:tblGrid>
        <w:gridCol w:w="1890"/>
        <w:gridCol w:w="6570"/>
      </w:tblGrid>
      <w:tr w:rsidTr="00A10C2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rPr>
                <w:rStyle w:val="SpecialBold"/>
              </w:rPr>
              <w:t>9.4)</w:t>
            </w:r>
          </w:p>
        </w:tc>
      </w:tr>
      <w:tr w:rsidTr="00A10C2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t>This Competency Standard Unit shall be assessed by methods given in Volume 1, Part 3 “Assessment Guidelines”.</w:t>
            </w:r>
          </w:p>
          <w:p w:rsidR="00000000" w:rsidRPr="003E7567" w:rsidP="003E7567">
            <w:pPr>
              <w:pStyle w:val="BodyText"/>
            </w:pPr>
            <w:r w:rsidRPr="003E7567">
              <w:t>Note:</w:t>
            </w:r>
          </w:p>
          <w:p w:rsidR="00000000" w:rsidRPr="003E7567" w:rsidP="003E7567">
            <w:pPr>
              <w:pStyle w:val="BodyText"/>
            </w:pPr>
            <w:r w:rsidRPr="003E7567">
              <w:t>Competent performance with inherent safe working practices is expected in the Transmission, Distribution and Rail Traction Industry. This requires that the specified essential knowledge and associated skills are assessed in a structured environment w</w:t>
            </w:r>
            <w:r w:rsidRPr="003E7567">
              <w:t>hich is primarily intended for learning/assessment and incorporates all necessary equipment and facilities for learners to develop and demonstrate the essential knowledge and associated skills described in this unit.</w:t>
            </w:r>
          </w:p>
        </w:tc>
      </w:tr>
    </w:tbl>
    <w:p w:rsidR="00000000" w:rsidRPr="003E7567" w:rsidP="003E7567">
      <w:pPr>
        <w:pStyle w:val="BodyText"/>
      </w:pPr>
    </w:p>
    <w:tbl>
      <w:tblPr>
        <w:tblW w:w="0" w:type="auto"/>
        <w:tblLayout w:type="fixed"/>
        <w:tblCellMar>
          <w:left w:w="62" w:type="dxa"/>
          <w:right w:w="62" w:type="dxa"/>
        </w:tblCellMar>
        <w:tblLook w:val="0000"/>
      </w:tblPr>
      <w:tblGrid>
        <w:gridCol w:w="1890"/>
        <w:gridCol w:w="6570"/>
      </w:tblGrid>
      <w:tr w:rsidTr="00A10C2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rPr>
                <w:rStyle w:val="SpecialBold"/>
              </w:rPr>
              <w:t>Concurrent assessment and relationshi</w:t>
            </w:r>
            <w:r w:rsidRPr="003E7567">
              <w:rPr>
                <w:rStyle w:val="SpecialBold"/>
              </w:rPr>
              <w:t>p with other units</w:t>
            </w:r>
          </w:p>
        </w:tc>
        <w:tc>
          <w:tcPr>
            <w:tcW w:w="657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rPr>
                <w:rStyle w:val="SpecialBold"/>
              </w:rPr>
              <w:t>9.5)</w:t>
            </w:r>
          </w:p>
        </w:tc>
      </w:tr>
      <w:tr w:rsidTr="00A10C2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t>There are no recommended concurrencies for this unit.</w:t>
            </w:r>
          </w:p>
        </w:tc>
      </w:tr>
    </w:tbl>
    <w:p w:rsidR="00000000" w:rsidRPr="003E7567" w:rsidP="003E7567">
      <w:pPr>
        <w:pStyle w:val="BodyText"/>
      </w:pPr>
    </w:p>
    <w:p w:rsidR="00000000" w:rsidRPr="003E7567" w:rsidP="003E7567">
      <w:pPr>
        <w:pStyle w:val="AllowPageBreak"/>
      </w:pPr>
    </w:p>
    <w:p w:rsidR="00000000" w:rsidRPr="003E7567" w:rsidP="003E7567">
      <w:pPr>
        <w:pStyle w:val="Heading1"/>
      </w:pPr>
      <w:bookmarkStart w:id="11" w:name="O_465421"/>
      <w:bookmarkEnd w:id="11"/>
      <w:r w:rsidRPr="003E7567">
        <w:t>Range Statement</w:t>
      </w:r>
    </w:p>
    <w:tbl>
      <w:tblPr>
        <w:tblW w:w="0" w:type="auto"/>
        <w:tblLayout w:type="fixed"/>
        <w:tblCellMar>
          <w:left w:w="62" w:type="dxa"/>
          <w:right w:w="62" w:type="dxa"/>
        </w:tblCellMar>
        <w:tblLook w:val="0000"/>
      </w:tblPr>
      <w:tblGrid>
        <w:gridCol w:w="8460"/>
      </w:tblGrid>
      <w:tr w:rsidTr="00A10C2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rPr>
                <w:rStyle w:val="SpecialBold"/>
              </w:rPr>
              <w:t>RANGE STATEMENT</w:t>
            </w:r>
          </w:p>
        </w:tc>
      </w:tr>
      <w:tr w:rsidTr="00A10C2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rPr>
                <w:rStyle w:val="SpecialBold"/>
              </w:rPr>
              <w:t>10)</w:t>
            </w:r>
            <w:r w:rsidRPr="003E7567">
              <w:t xml:space="preserve"> This relates to the competency standard unit as a whole providing the range of contexts and </w:t>
            </w:r>
            <w:r w:rsidRPr="003E7567">
              <w:t>conditions to which the Performance Criteria apply. It allows for different work environments and situations that will affect performance.</w:t>
            </w:r>
          </w:p>
          <w:p w:rsidR="00000000" w:rsidRPr="003E7567" w:rsidP="003E7567">
            <w:pPr>
              <w:pStyle w:val="BodyText"/>
            </w:pPr>
            <w:r w:rsidRPr="003E7567">
              <w:t>This Competency Standard Unit shall be demonstrated in relation to the installation and maintenance of traction netwo</w:t>
            </w:r>
            <w:r w:rsidRPr="003E7567">
              <w:t xml:space="preserve">rk wiring systems as it relates to the correct registration of the contact wire with respect to the current collectors </w:t>
            </w:r>
          </w:p>
          <w:p w:rsidR="00000000" w:rsidRPr="003E7567" w:rsidP="003E7567">
            <w:pPr>
              <w:pStyle w:val="BodyText"/>
            </w:pPr>
            <w:r w:rsidRPr="003E7567">
              <w:t>Types of conductor may include HD, CAD, tin bearing and magnesium copper, aluminium, steel, aluminium conductor steel reinforced (ACSR),</w:t>
            </w:r>
            <w:r w:rsidRPr="003E7567">
              <w:t xml:space="preserve"> insulated screened and unscreened cable and pilot and control cables.</w:t>
            </w:r>
          </w:p>
          <w:p w:rsidR="00000000" w:rsidRPr="003E7567" w:rsidP="003E7567">
            <w:pPr>
              <w:pStyle w:val="BodyText"/>
            </w:pPr>
            <w:r w:rsidRPr="003E7567">
              <w:t>Materials and equipment may include porcelain, glass, ceramic, fibre glass and composite insulators, steel, brass, stainless steel, neoprene, copper, cast and galvanized fittings, drums</w:t>
            </w:r>
            <w:r w:rsidRPr="003E7567">
              <w:t>, pulleys, hooks, yoke plate, line grips, tensioning devices, ropes, slings, hydraulic/manual crimping and cutting tools, specialized tools and dynamometers; Conductors and support wires include droppers wire, catenary wire, contact/trolley wire, earth wir</w:t>
            </w:r>
            <w:r w:rsidRPr="003E7567">
              <w:t>e, feeder wire, drape/potential jumper wire, stay wire, cross-span, networks and head span wire.</w:t>
            </w:r>
          </w:p>
          <w:p w:rsidR="00000000" w:rsidRPr="003E7567" w:rsidP="003E7567">
            <w:pPr>
              <w:pStyle w:val="BodyText"/>
            </w:pPr>
            <w:r w:rsidRPr="003E7567">
              <w:t xml:space="preserve">Associated equipment to conductors may include registration arms, midpoint anchors, section insulators, neutral sections, supports, cantilevers, portals, drop </w:t>
            </w:r>
            <w:r w:rsidRPr="003E7567">
              <w:t>verticals, surge diverters and tensioning devices.</w:t>
            </w:r>
          </w:p>
          <w:p w:rsidR="00000000" w:rsidRPr="003E7567" w:rsidP="003E7567">
            <w:pPr>
              <w:pStyle w:val="BodyText"/>
            </w:pPr>
            <w:r w:rsidRPr="003E7567">
              <w:t>Maintenance may include the removal, repair and replacement of cables, conductors and associated hardware.</w:t>
            </w:r>
          </w:p>
          <w:p w:rsidR="00000000" w:rsidRPr="003E7567" w:rsidP="003E7567">
            <w:pPr>
              <w:pStyle w:val="BodyText"/>
            </w:pPr>
            <w:r w:rsidRPr="003E7567">
              <w:t>Conductors and support wires include droppers wire, catenary wire, contact/trolley wire, earth wir</w:t>
            </w:r>
            <w:r w:rsidRPr="003E7567">
              <w:t>e, feeder wire, drape/potential jumper wire, stay wire, cross-span, networks and head span wire.</w:t>
            </w:r>
          </w:p>
          <w:p w:rsidR="00000000" w:rsidRPr="003E7567" w:rsidP="003E7567">
            <w:pPr>
              <w:pStyle w:val="BodyText"/>
            </w:pPr>
            <w:r w:rsidRPr="003E7567">
              <w:t xml:space="preserve">Associated equipment to conductors may include registration arms, midpoint anchors, section insulators, neutral sections, supports, cantilevers, portals, drop </w:t>
            </w:r>
            <w:r w:rsidRPr="003E7567">
              <w:t>verticals, surge diverters and tensioning devices.</w:t>
            </w:r>
          </w:p>
          <w:p w:rsidR="00000000" w:rsidRPr="003E7567" w:rsidP="003E7567">
            <w:pPr>
              <w:pStyle w:val="BodyText"/>
            </w:pPr>
            <w:r w:rsidRPr="003E7567">
              <w:t>Plant may include ladders, elevating work platform, winches and capstans, specialist tensioning stringing equipment, cable trailers and drum stands, rail and road rail mounted overhead wiring vehicles.</w:t>
            </w:r>
          </w:p>
          <w:p w:rsidR="00000000" w:rsidRPr="003E7567" w:rsidP="003E7567">
            <w:pPr>
              <w:pStyle w:val="BodyText"/>
            </w:pPr>
            <w:r w:rsidRPr="003E7567">
              <w:t>Ins</w:t>
            </w:r>
            <w:r w:rsidRPr="003E7567">
              <w:t>talling tension regulators encompasses fitting, positioning and securing weight chains and pulley systems.</w:t>
            </w:r>
          </w:p>
          <w:p w:rsidR="00000000" w:rsidRPr="003E7567" w:rsidP="003E7567">
            <w:pPr>
              <w:pStyle w:val="BodyText"/>
            </w:pPr>
            <w:r w:rsidRPr="003E7567">
              <w:t>Permits may include access permits, permits to work and or other relevant permits and documents by recognised bodies.</w:t>
            </w:r>
          </w:p>
          <w:p w:rsidR="00000000" w:rsidRPr="003E7567" w:rsidP="003E7567">
            <w:pPr>
              <w:pStyle w:val="BodyText"/>
            </w:pPr>
            <w:r w:rsidRPr="003E7567">
              <w:t>Profiling encompasses sag, tens</w:t>
            </w:r>
            <w:r w:rsidRPr="003E7567">
              <w:t>ion, encumbrances, offsets, cants and registration which involves horizontal and vertical calibration of the contact wire or trolley wire to a design height and stagger in reference to the running rail.</w:t>
            </w:r>
          </w:p>
          <w:p w:rsidR="00000000" w:rsidRPr="003E7567" w:rsidP="003E7567">
            <w:pPr>
              <w:pStyle w:val="BodyText"/>
            </w:pPr>
            <w:r w:rsidRPr="003E7567">
              <w:t>Current collectors may include pantographs and tram t</w:t>
            </w:r>
            <w:r w:rsidRPr="003E7567">
              <w:t>rolley poles.</w:t>
            </w:r>
          </w:p>
          <w:p w:rsidR="00000000" w:rsidRPr="003E7567" w:rsidP="003E7567">
            <w:pPr>
              <w:pStyle w:val="BodyText"/>
            </w:pPr>
            <w:r w:rsidRPr="003E7567">
              <w:t>The following constants and variables included in the element/Performance Criteria in this unit are fully described in the Definitions Section 1 of this volume and form an integral part of the Range Statement of this unit:</w:t>
            </w:r>
          </w:p>
          <w:p w:rsidR="00000000" w:rsidRPr="003E7567" w:rsidP="003E7567">
            <w:pPr>
              <w:pStyle w:val="ListBullet3"/>
            </w:pPr>
            <w:r w:rsidRPr="003E7567">
              <w:t>Appropriate and re</w:t>
            </w:r>
            <w:r w:rsidRPr="003E7567">
              <w:t>levant persons (see Personnel)</w:t>
            </w:r>
          </w:p>
          <w:p w:rsidR="00000000" w:rsidRPr="003E7567" w:rsidP="003E7567">
            <w:pPr>
              <w:pStyle w:val="ListBullet3"/>
            </w:pPr>
            <w:r w:rsidRPr="003E7567">
              <w:t>Appropriate authorities</w:t>
            </w:r>
          </w:p>
          <w:p w:rsidR="00000000" w:rsidRPr="003E7567" w:rsidP="003E7567">
            <w:pPr>
              <w:pStyle w:val="ListBullet3"/>
            </w:pPr>
            <w:r w:rsidRPr="003E7567">
              <w:t>Appropriate work platform</w:t>
            </w:r>
          </w:p>
          <w:p w:rsidR="00000000" w:rsidRPr="003E7567" w:rsidP="003E7567">
            <w:pPr>
              <w:pStyle w:val="ListBullet3"/>
            </w:pPr>
            <w:r w:rsidRPr="003E7567">
              <w:t>Assessing risk</w:t>
            </w:r>
          </w:p>
          <w:p w:rsidR="00000000" w:rsidRPr="003E7567" w:rsidP="003E7567">
            <w:pPr>
              <w:pStyle w:val="ListBullet3"/>
            </w:pPr>
            <w:r w:rsidRPr="003E7567">
              <w:t>Assessment</w:t>
            </w:r>
          </w:p>
          <w:p w:rsidR="00000000" w:rsidRPr="003E7567" w:rsidP="003E7567">
            <w:pPr>
              <w:pStyle w:val="ListBullet3"/>
            </w:pPr>
            <w:r w:rsidRPr="003E7567">
              <w:t>Authorisation</w:t>
            </w:r>
          </w:p>
          <w:p w:rsidR="00000000" w:rsidRPr="003E7567" w:rsidP="003E7567">
            <w:pPr>
              <w:pStyle w:val="ListBullet3"/>
            </w:pPr>
            <w:r w:rsidRPr="003E7567">
              <w:t>Confined space</w:t>
            </w:r>
          </w:p>
          <w:p w:rsidR="00000000" w:rsidRPr="003E7567" w:rsidP="003E7567">
            <w:pPr>
              <w:pStyle w:val="ListBullet3"/>
            </w:pPr>
            <w:r w:rsidRPr="003E7567">
              <w:t>Diagnostic, testing and restoration</w:t>
            </w:r>
          </w:p>
          <w:p w:rsidR="00000000" w:rsidRPr="003E7567" w:rsidP="003E7567">
            <w:pPr>
              <w:pStyle w:val="ListBullet3"/>
            </w:pPr>
            <w:r w:rsidRPr="003E7567">
              <w:t>Documenting detail of work events, record keeping and or storage of information</w:t>
            </w:r>
          </w:p>
          <w:p w:rsidR="00000000" w:rsidRPr="003E7567" w:rsidP="003E7567">
            <w:pPr>
              <w:pStyle w:val="ListBullet3"/>
            </w:pPr>
            <w:r w:rsidRPr="003E7567">
              <w:t xml:space="preserve">Drawings and specifications </w:t>
            </w:r>
          </w:p>
          <w:p w:rsidR="00000000" w:rsidRPr="003E7567" w:rsidP="003E7567">
            <w:pPr>
              <w:pStyle w:val="ListBullet3"/>
            </w:pPr>
            <w:r w:rsidRPr="003E7567">
              <w:t>Emergency</w:t>
            </w:r>
          </w:p>
          <w:p w:rsidR="00000000" w:rsidRPr="003E7567" w:rsidP="003E7567">
            <w:pPr>
              <w:pStyle w:val="ListBullet3"/>
            </w:pPr>
            <w:r w:rsidRPr="003E7567">
              <w:t>Environmental and sustainable energy procedures</w:t>
            </w:r>
          </w:p>
          <w:p w:rsidR="00000000" w:rsidRPr="003E7567" w:rsidP="003E7567">
            <w:pPr>
              <w:pStyle w:val="ListBullet3"/>
            </w:pPr>
            <w:r w:rsidRPr="003E7567">
              <w:t>Environmental legislation</w:t>
            </w:r>
          </w:p>
          <w:p w:rsidR="00000000" w:rsidRPr="003E7567" w:rsidP="003E7567">
            <w:pPr>
              <w:pStyle w:val="ListBullet3"/>
            </w:pPr>
            <w:r w:rsidRPr="003E7567">
              <w:t>Environmental management documentation</w:t>
            </w:r>
          </w:p>
          <w:p w:rsidR="00000000" w:rsidRPr="003E7567" w:rsidP="003E7567">
            <w:pPr>
              <w:pStyle w:val="ListBullet3"/>
            </w:pPr>
            <w:r w:rsidRPr="003E7567">
              <w:t>Established procedures</w:t>
            </w:r>
          </w:p>
          <w:p w:rsidR="00000000" w:rsidRPr="003E7567" w:rsidP="003E7567">
            <w:pPr>
              <w:pStyle w:val="ListBullet3"/>
            </w:pPr>
            <w:r w:rsidRPr="003E7567">
              <w:t>Fall prevention</w:t>
            </w:r>
          </w:p>
          <w:p w:rsidR="00000000" w:rsidRPr="003E7567" w:rsidP="003E7567">
            <w:pPr>
              <w:pStyle w:val="ListBullet3"/>
            </w:pPr>
            <w:r w:rsidRPr="003E7567">
              <w:t>Hazards</w:t>
            </w:r>
          </w:p>
          <w:p w:rsidR="00000000" w:rsidRPr="003E7567" w:rsidP="003E7567">
            <w:pPr>
              <w:pStyle w:val="ListBullet3"/>
            </w:pPr>
            <w:r w:rsidRPr="003E7567">
              <w:t>Identifying hazards</w:t>
            </w:r>
          </w:p>
          <w:p w:rsidR="00000000" w:rsidRPr="003E7567" w:rsidP="003E7567">
            <w:pPr>
              <w:pStyle w:val="ListBullet3"/>
            </w:pPr>
            <w:r w:rsidRPr="003E7567">
              <w:t>Inspect</w:t>
            </w:r>
          </w:p>
          <w:p w:rsidR="00000000" w:rsidRPr="003E7567" w:rsidP="003E7567">
            <w:pPr>
              <w:pStyle w:val="ListBullet3"/>
            </w:pPr>
            <w:r w:rsidRPr="003E7567">
              <w:t>Legislation</w:t>
            </w:r>
          </w:p>
          <w:p w:rsidR="00000000" w:rsidRPr="003E7567" w:rsidP="003E7567">
            <w:pPr>
              <w:pStyle w:val="ListBullet3"/>
            </w:pPr>
            <w:r w:rsidRPr="003E7567">
              <w:t>MSDS</w:t>
            </w:r>
          </w:p>
          <w:p w:rsidR="00000000" w:rsidRPr="003E7567" w:rsidP="003E7567">
            <w:pPr>
              <w:pStyle w:val="ListBullet3"/>
            </w:pPr>
            <w:r w:rsidRPr="003E7567">
              <w:t>Notification</w:t>
            </w:r>
          </w:p>
          <w:p w:rsidR="00000000" w:rsidRPr="003E7567" w:rsidP="003E7567">
            <w:pPr>
              <w:pStyle w:val="ListBullet3"/>
            </w:pPr>
            <w:r w:rsidRPr="003E7567">
              <w:t>OHS practices</w:t>
            </w:r>
          </w:p>
          <w:p w:rsidR="00000000" w:rsidRPr="003E7567" w:rsidP="003E7567">
            <w:pPr>
              <w:pStyle w:val="ListBullet3"/>
            </w:pPr>
            <w:r w:rsidRPr="003E7567">
              <w:t>OHS issues</w:t>
            </w:r>
          </w:p>
          <w:p w:rsidR="00000000" w:rsidRPr="003E7567" w:rsidP="003E7567">
            <w:pPr>
              <w:pStyle w:val="ListBullet3"/>
            </w:pPr>
            <w:r w:rsidRPr="003E7567">
              <w:t>Permits and/or permits to work</w:t>
            </w:r>
          </w:p>
          <w:p w:rsidR="00000000" w:rsidRPr="003E7567" w:rsidP="003E7567">
            <w:pPr>
              <w:pStyle w:val="ListBullet3"/>
            </w:pPr>
            <w:r w:rsidRPr="003E7567">
              <w:t>Personnel</w:t>
            </w:r>
          </w:p>
          <w:p w:rsidR="00000000" w:rsidRPr="003E7567" w:rsidP="003E7567">
            <w:pPr>
              <w:pStyle w:val="ListBullet3"/>
            </w:pPr>
            <w:r w:rsidRPr="003E7567">
              <w:t>Quality assurance systems</w:t>
            </w:r>
          </w:p>
          <w:p w:rsidR="00000000" w:rsidRPr="003E7567" w:rsidP="003E7567">
            <w:pPr>
              <w:pStyle w:val="ListBullet3"/>
            </w:pPr>
            <w:r w:rsidRPr="003E7567">
              <w:t>Requirements</w:t>
            </w:r>
          </w:p>
          <w:p w:rsidR="00000000" w:rsidRPr="003E7567" w:rsidP="003E7567">
            <w:pPr>
              <w:pStyle w:val="ListBullet3"/>
            </w:pPr>
            <w:r w:rsidRPr="003E7567">
              <w:t>Testing procedures</w:t>
            </w:r>
          </w:p>
          <w:p w:rsidR="00000000" w:rsidRPr="003E7567" w:rsidP="003E7567">
            <w:pPr>
              <w:pStyle w:val="ListBullet3"/>
            </w:pPr>
            <w:r w:rsidRPr="003E7567">
              <w:t>Work clearance systems</w:t>
            </w:r>
          </w:p>
        </w:tc>
      </w:tr>
    </w:tbl>
    <w:p w:rsidR="00000000" w:rsidRPr="003E7567" w:rsidP="003E7567">
      <w:pPr>
        <w:pStyle w:val="BodyText"/>
      </w:pPr>
    </w:p>
    <w:p w:rsidR="00000000" w:rsidRPr="003E7567" w:rsidP="003E7567">
      <w:pPr>
        <w:pStyle w:val="AllowPageBreak"/>
      </w:pPr>
    </w:p>
    <w:p w:rsidR="00000000" w:rsidRPr="003E7567" w:rsidP="003E7567">
      <w:pPr>
        <w:pStyle w:val="Heading1"/>
      </w:pPr>
      <w:bookmarkStart w:id="12" w:name="O_465424"/>
      <w:bookmarkEnd w:id="12"/>
      <w:r w:rsidRPr="003E7567">
        <w:t>Unit Sector(s)</w:t>
      </w:r>
    </w:p>
    <w:p w:rsidR="00000000" w:rsidRPr="003E7567" w:rsidP="003E7567">
      <w:pPr>
        <w:pStyle w:val="BodyText"/>
      </w:pPr>
      <w:r w:rsidRPr="003E7567">
        <w:t>Not applicable.</w:t>
      </w:r>
    </w:p>
    <w:p w:rsidR="00000000" w:rsidRPr="003E7567" w:rsidP="003E7567">
      <w:pPr>
        <w:pStyle w:val="AllowPageBreak"/>
      </w:pPr>
    </w:p>
    <w:p w:rsidR="00000000" w:rsidRPr="003E7567" w:rsidP="003E7567">
      <w:pPr>
        <w:pStyle w:val="Heading1"/>
      </w:pPr>
      <w:bookmarkStart w:id="13" w:name="O_465413"/>
      <w:bookmarkEnd w:id="13"/>
      <w:r w:rsidRPr="003E7567">
        <w:t>Competency Field</w:t>
      </w:r>
    </w:p>
    <w:tbl>
      <w:tblPr>
        <w:tblW w:w="0" w:type="auto"/>
        <w:tblLayout w:type="fixed"/>
        <w:tblCellMar>
          <w:left w:w="62" w:type="dxa"/>
          <w:right w:w="62" w:type="dxa"/>
        </w:tblCellMar>
        <w:tblLook w:val="0000"/>
      </w:tblPr>
      <w:tblGrid>
        <w:gridCol w:w="2700"/>
        <w:gridCol w:w="5760"/>
      </w:tblGrid>
      <w:tr w:rsidTr="00A10C2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E7567">
            <w:pPr>
              <w:pStyle w:val="BodyText"/>
              <w:rPr>
                <w:lang w:val="en-NZ"/>
              </w:rPr>
            </w:pPr>
            <w:r w:rsidRPr="003E7567">
              <w:rPr>
                <w:rStyle w:val="SpecialBold"/>
              </w:rPr>
              <w:t xml:space="preserve">11) </w:t>
            </w:r>
          </w:p>
        </w:tc>
      </w:tr>
      <w:tr w:rsidTr="00A10C2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7567" w:rsidP="003E7567">
            <w:pPr>
              <w:pStyle w:val="BodyText"/>
            </w:pPr>
            <w:r w:rsidRPr="003E7567">
              <w:t>Rail Traction Units</w:t>
            </w:r>
          </w:p>
        </w:tc>
      </w:tr>
    </w:tbl>
    <w:p w:rsidR="00000000" w:rsidRPr="003E7567" w:rsidP="003E7567">
      <w:pPr>
        <w:pStyle w:val="BodyText"/>
      </w:pPr>
    </w:p>
    <w:p w:rsidR="00000000" w:rsidRPr="003E7567" w:rsidP="003E7567"/>
    <w:sectPr w:rsidSect="003E75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5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0C24" w:rsidP="00A10C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5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C24" w:rsidP="003E75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A10C24" w:rsidP="003E75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10C24" w:rsidP="003E75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5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0C24" w:rsidP="00A10C2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5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C24" w:rsidP="003E7567">
    <w:pPr>
      <w:pStyle w:val="Header"/>
      <w:framePr w:wrap="around"/>
    </w:pPr>
    <w:r>
      <w:fldChar w:fldCharType="begin"/>
    </w:r>
    <w:r>
      <w:instrText xml:space="preserve"> TITLE   \* MERGEFORMAT </w:instrText>
    </w:r>
    <w:r>
      <w:fldChar w:fldCharType="separate"/>
    </w:r>
    <w:r>
      <w:t>UETTDRRT34A Install and maintain traction network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10C24" w:rsidP="003E75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F6A2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DA2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F488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5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7567"/>
    <w:pPr>
      <w:spacing w:before="360" w:after="60"/>
      <w:outlineLvl w:val="0"/>
    </w:pPr>
    <w:rPr>
      <w:sz w:val="32"/>
    </w:rPr>
  </w:style>
  <w:style w:type="paragraph" w:styleId="Heading2">
    <w:name w:val="heading 2"/>
    <w:basedOn w:val="HeadingBase"/>
    <w:next w:val="BodyText"/>
    <w:link w:val="Heading2Char"/>
    <w:qFormat/>
    <w:rsid w:val="003E7567"/>
    <w:pPr>
      <w:keepLines/>
      <w:spacing w:before="240" w:after="120"/>
      <w:outlineLvl w:val="1"/>
    </w:pPr>
    <w:rPr>
      <w:sz w:val="28"/>
      <w:szCs w:val="40"/>
    </w:rPr>
  </w:style>
  <w:style w:type="paragraph" w:styleId="Heading3">
    <w:name w:val="heading 3"/>
    <w:basedOn w:val="HeadingBase"/>
    <w:next w:val="BodyText"/>
    <w:link w:val="Heading3Char"/>
    <w:qFormat/>
    <w:rsid w:val="003E7567"/>
    <w:pPr>
      <w:spacing w:before="180" w:after="120"/>
      <w:outlineLvl w:val="2"/>
    </w:pPr>
    <w:rPr>
      <w:spacing w:val="-10"/>
      <w:kern w:val="32"/>
    </w:rPr>
  </w:style>
  <w:style w:type="paragraph" w:styleId="Heading4">
    <w:name w:val="heading 4"/>
    <w:basedOn w:val="HeadingBase"/>
    <w:next w:val="BodyText"/>
    <w:link w:val="Heading4Char"/>
    <w:qFormat/>
    <w:rsid w:val="003E7567"/>
    <w:pPr>
      <w:spacing w:before="160" w:after="120"/>
      <w:outlineLvl w:val="3"/>
    </w:pPr>
    <w:rPr>
      <w:sz w:val="22"/>
    </w:rPr>
  </w:style>
  <w:style w:type="paragraph" w:styleId="Heading5">
    <w:name w:val="heading 5"/>
    <w:basedOn w:val="HeadingBase"/>
    <w:next w:val="Normal"/>
    <w:link w:val="Heading5Char"/>
    <w:qFormat/>
    <w:rsid w:val="003E7567"/>
    <w:pPr>
      <w:spacing w:before="80"/>
      <w:outlineLvl w:val="4"/>
    </w:pPr>
    <w:rPr>
      <w:color w:val="918585"/>
      <w:sz w:val="20"/>
    </w:rPr>
  </w:style>
  <w:style w:type="paragraph" w:styleId="Heading6">
    <w:name w:val="heading 6"/>
    <w:basedOn w:val="HeadingBase"/>
    <w:next w:val="Normal"/>
    <w:link w:val="Heading6Char"/>
    <w:qFormat/>
    <w:rsid w:val="003E7567"/>
    <w:pPr>
      <w:spacing w:before="60"/>
      <w:outlineLvl w:val="5"/>
    </w:pPr>
    <w:rPr>
      <w:color w:val="918585"/>
      <w:sz w:val="20"/>
    </w:rPr>
  </w:style>
  <w:style w:type="paragraph" w:styleId="Heading7">
    <w:name w:val="heading 7"/>
    <w:basedOn w:val="Normal"/>
    <w:next w:val="Normal"/>
    <w:link w:val="Heading7Char"/>
    <w:qFormat/>
    <w:rsid w:val="003E7567"/>
    <w:pPr>
      <w:ind w:left="720"/>
      <w:outlineLvl w:val="6"/>
    </w:pPr>
    <w:rPr>
      <w:i/>
    </w:rPr>
  </w:style>
  <w:style w:type="paragraph" w:styleId="Heading8">
    <w:name w:val="heading 8"/>
    <w:basedOn w:val="Normal"/>
    <w:next w:val="Normal"/>
    <w:link w:val="Heading8Char"/>
    <w:qFormat/>
    <w:rsid w:val="003E7567"/>
    <w:pPr>
      <w:ind w:left="720"/>
      <w:outlineLvl w:val="7"/>
    </w:pPr>
    <w:rPr>
      <w:i/>
    </w:rPr>
  </w:style>
  <w:style w:type="paragraph" w:styleId="Heading9">
    <w:name w:val="heading 9"/>
    <w:basedOn w:val="Normal"/>
    <w:next w:val="Normal"/>
    <w:link w:val="Heading9Char"/>
    <w:qFormat/>
    <w:rsid w:val="003E7567"/>
    <w:pPr>
      <w:ind w:left="720"/>
      <w:outlineLvl w:val="8"/>
    </w:pPr>
    <w:rPr>
      <w:i/>
    </w:rPr>
  </w:style>
  <w:style w:type="character" w:default="1" w:styleId="DefaultParagraphFont">
    <w:name w:val="Default Paragraph Font"/>
    <w:uiPriority w:val="1"/>
    <w:unhideWhenUsed/>
    <w:rsid w:val="003E75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567"/>
  </w:style>
  <w:style w:type="character" w:customStyle="1" w:styleId="Heading1Char">
    <w:name w:val="Heading 1 Char"/>
    <w:link w:val="Heading1"/>
    <w:rsid w:val="003E7567"/>
    <w:rPr>
      <w:rFonts w:ascii="Times New Roman" w:eastAsia="Times New Roman" w:hAnsi="Times New Roman" w:cs="Times New Roman"/>
      <w:b/>
      <w:sz w:val="32"/>
      <w:szCs w:val="20"/>
      <w:lang w:eastAsia="en-US"/>
    </w:rPr>
  </w:style>
  <w:style w:type="paragraph" w:styleId="BodyText">
    <w:name w:val="Body Text"/>
    <w:basedOn w:val="Normal"/>
    <w:link w:val="BodyTextChar"/>
    <w:rsid w:val="003E7567"/>
    <w:pPr>
      <w:spacing w:before="120" w:after="120"/>
      <w:contextualSpacing/>
    </w:pPr>
    <w:rPr>
      <w:rFonts w:ascii="Times New Roman" w:hAnsi="Times New Roman"/>
      <w:sz w:val="24"/>
      <w:szCs w:val="22"/>
    </w:rPr>
  </w:style>
  <w:style w:type="character" w:customStyle="1" w:styleId="BodyTextChar">
    <w:name w:val="Body Text Char"/>
    <w:link w:val="BodyText"/>
    <w:rsid w:val="003E7567"/>
    <w:rPr>
      <w:rFonts w:ascii="Times New Roman" w:eastAsia="Times New Roman" w:hAnsi="Times New Roman" w:cs="Times New Roman"/>
      <w:sz w:val="24"/>
      <w:lang w:val="en-US" w:eastAsia="en-US"/>
    </w:rPr>
  </w:style>
  <w:style w:type="paragraph" w:styleId="Footer">
    <w:name w:val="footer"/>
    <w:basedOn w:val="Normal"/>
    <w:link w:val="FooterChar"/>
    <w:rsid w:val="003E75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E7567"/>
    <w:rPr>
      <w:rFonts w:ascii="Times New Roman" w:eastAsia="Times New Roman" w:hAnsi="Times New Roman" w:cs="Times New Roman"/>
      <w:sz w:val="16"/>
      <w:lang w:val="en-US" w:eastAsia="en-US"/>
    </w:rPr>
  </w:style>
  <w:style w:type="paragraph" w:styleId="ListBullet">
    <w:name w:val="List Bullet"/>
    <w:basedOn w:val="List"/>
    <w:rsid w:val="003E7567"/>
    <w:pPr>
      <w:numPr>
        <w:numId w:val="14"/>
      </w:numPr>
      <w:tabs>
        <w:tab w:val="clear" w:pos="340"/>
      </w:tabs>
      <w:spacing w:before="40" w:after="40"/>
    </w:pPr>
  </w:style>
  <w:style w:type="character" w:customStyle="1" w:styleId="SpecialBold">
    <w:name w:val="Special Bold"/>
    <w:rsid w:val="003E7567"/>
    <w:rPr>
      <w:b/>
      <w:spacing w:val="0"/>
    </w:rPr>
  </w:style>
  <w:style w:type="paragraph" w:styleId="ListBullet2">
    <w:name w:val="List Bullet 2"/>
    <w:basedOn w:val="List2"/>
    <w:rsid w:val="003E7567"/>
    <w:pPr>
      <w:numPr>
        <w:numId w:val="15"/>
      </w:numPr>
      <w:tabs>
        <w:tab w:val="clear" w:pos="680"/>
      </w:tabs>
    </w:pPr>
  </w:style>
  <w:style w:type="paragraph" w:styleId="Header">
    <w:name w:val="header"/>
    <w:basedOn w:val="Normal"/>
    <w:link w:val="HeaderChar"/>
    <w:rsid w:val="003E75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E75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7567"/>
    <w:pPr>
      <w:spacing w:before="240" w:after="120"/>
      <w:outlineLvl w:val="0"/>
    </w:pPr>
    <w:rPr>
      <w:rFonts w:ascii="Times New Roman" w:hAnsi="Times New Roman"/>
      <w:b/>
      <w:sz w:val="28"/>
    </w:rPr>
  </w:style>
  <w:style w:type="paragraph" w:customStyle="1" w:styleId="AllowPageBreak">
    <w:name w:val="AllowPageBreak"/>
    <w:rsid w:val="003E75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7567"/>
    <w:pPr>
      <w:numPr>
        <w:numId w:val="3"/>
      </w:numPr>
      <w:tabs>
        <w:tab w:val="clear" w:pos="1021"/>
      </w:tabs>
      <w:ind w:left="1037" w:hanging="357"/>
    </w:pPr>
  </w:style>
  <w:style w:type="character" w:customStyle="1" w:styleId="Heading2Char">
    <w:name w:val="Heading 2 Char"/>
    <w:link w:val="Heading2"/>
    <w:rsid w:val="003E7567"/>
    <w:rPr>
      <w:rFonts w:ascii="Times New Roman" w:eastAsia="Times New Roman" w:hAnsi="Times New Roman" w:cs="Times New Roman"/>
      <w:b/>
      <w:sz w:val="28"/>
      <w:szCs w:val="40"/>
      <w:lang w:eastAsia="en-US"/>
    </w:rPr>
  </w:style>
  <w:style w:type="character" w:customStyle="1" w:styleId="Heading3Char">
    <w:name w:val="Heading 3 Char"/>
    <w:link w:val="Heading3"/>
    <w:rsid w:val="003E756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E7567"/>
    <w:rPr>
      <w:rFonts w:ascii="Times New Roman" w:eastAsia="Times New Roman" w:hAnsi="Times New Roman" w:cs="Times New Roman"/>
      <w:b/>
      <w:szCs w:val="20"/>
      <w:lang w:eastAsia="en-US"/>
    </w:rPr>
  </w:style>
  <w:style w:type="character" w:customStyle="1" w:styleId="Heading5Char">
    <w:name w:val="Heading 5 Char"/>
    <w:link w:val="Heading5"/>
    <w:rsid w:val="003E756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E75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5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75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7567"/>
    <w:rPr>
      <w:rFonts w:ascii="Courier New" w:eastAsia="Times New Roman" w:hAnsi="Courier New" w:cs="Times New Roman"/>
      <w:i/>
      <w:szCs w:val="20"/>
      <w:lang w:val="en-US" w:eastAsia="en-US"/>
    </w:rPr>
  </w:style>
  <w:style w:type="paragraph" w:customStyle="1" w:styleId="HeadingBase">
    <w:name w:val="Heading Base"/>
    <w:rsid w:val="003E75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567"/>
    <w:pPr>
      <w:tabs>
        <w:tab w:val="right" w:leader="dot" w:pos="9072"/>
      </w:tabs>
      <w:ind w:left="567"/>
    </w:pPr>
    <w:rPr>
      <w:szCs w:val="22"/>
    </w:rPr>
  </w:style>
  <w:style w:type="paragraph" w:customStyle="1" w:styleId="TOCBase">
    <w:name w:val="TOC Base"/>
    <w:rsid w:val="003E75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567"/>
    <w:pPr>
      <w:tabs>
        <w:tab w:val="right" w:leader="dot" w:pos="9072"/>
      </w:tabs>
      <w:spacing w:before="40" w:after="40"/>
      <w:ind w:left="284"/>
    </w:pPr>
    <w:rPr>
      <w:rFonts w:ascii="Times New Roman" w:hAnsi="Times New Roman"/>
    </w:rPr>
  </w:style>
  <w:style w:type="paragraph" w:styleId="TOC1">
    <w:name w:val="toc 1"/>
    <w:basedOn w:val="TOCBase"/>
    <w:next w:val="Normal"/>
    <w:rsid w:val="003E75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7567"/>
    <w:pPr>
      <w:spacing w:before="5040"/>
      <w:jc w:val="center"/>
    </w:pPr>
    <w:rPr>
      <w:sz w:val="48"/>
      <w:szCs w:val="72"/>
      <w:lang w:val="en-US"/>
    </w:rPr>
  </w:style>
  <w:style w:type="character" w:customStyle="1" w:styleId="TitleChar">
    <w:name w:val="Title Char"/>
    <w:link w:val="Title"/>
    <w:rsid w:val="003E75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567"/>
    <w:pPr>
      <w:tabs>
        <w:tab w:val="left" w:pos="3600"/>
        <w:tab w:val="left" w:pos="3958"/>
      </w:tabs>
    </w:pPr>
  </w:style>
  <w:style w:type="paragraph" w:styleId="List">
    <w:name w:val="List"/>
    <w:basedOn w:val="BodyText"/>
    <w:next w:val="BodyText"/>
    <w:rsid w:val="003E7567"/>
    <w:pPr>
      <w:tabs>
        <w:tab w:val="left" w:pos="340"/>
      </w:tabs>
      <w:spacing w:before="60" w:after="60"/>
      <w:ind w:left="340" w:hanging="340"/>
    </w:pPr>
  </w:style>
  <w:style w:type="paragraph" w:customStyle="1" w:styleId="Note">
    <w:name w:val="Note"/>
    <w:basedOn w:val="BodyText"/>
    <w:rsid w:val="003E75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567"/>
    <w:pPr>
      <w:framePr w:wrap="auto" w:hAnchor="text" w:y="6049"/>
    </w:pPr>
    <w:rPr>
      <w:color w:val="000000"/>
      <w:sz w:val="40"/>
    </w:rPr>
  </w:style>
  <w:style w:type="paragraph" w:customStyle="1" w:styleId="TOCTitle">
    <w:name w:val="TOCTitle"/>
    <w:basedOn w:val="Heading1"/>
    <w:rsid w:val="003E7567"/>
    <w:pPr>
      <w:spacing w:after="240"/>
      <w:jc w:val="center"/>
      <w:outlineLvl w:val="9"/>
    </w:pPr>
    <w:rPr>
      <w:caps/>
    </w:rPr>
  </w:style>
  <w:style w:type="paragraph" w:customStyle="1" w:styleId="Version">
    <w:name w:val="Version"/>
    <w:rsid w:val="003E75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7567"/>
    <w:pPr>
      <w:keepNext w:val="0"/>
      <w:tabs>
        <w:tab w:val="right" w:pos="4176"/>
      </w:tabs>
      <w:ind w:left="198" w:hanging="198"/>
    </w:pPr>
    <w:rPr>
      <w:rFonts w:ascii="Garamond" w:hAnsi="Garamond"/>
    </w:rPr>
  </w:style>
  <w:style w:type="paragraph" w:styleId="IndexHeading">
    <w:name w:val="index heading"/>
    <w:basedOn w:val="Normal"/>
    <w:next w:val="Index1"/>
    <w:semiHidden/>
    <w:rsid w:val="003E7567"/>
    <w:pPr>
      <w:spacing w:before="120" w:after="120"/>
    </w:pPr>
    <w:rPr>
      <w:rFonts w:ascii="Arial" w:hAnsi="Arial"/>
      <w:b/>
      <w:color w:val="918585"/>
      <w:sz w:val="24"/>
    </w:rPr>
  </w:style>
  <w:style w:type="paragraph" w:customStyle="1" w:styleId="Chapter">
    <w:name w:val="Chapter"/>
    <w:basedOn w:val="Normal"/>
    <w:rsid w:val="003E7567"/>
    <w:pPr>
      <w:spacing w:before="240"/>
    </w:pPr>
    <w:rPr>
      <w:rFonts w:ascii="Times New Roman" w:hAnsi="Times New Roman"/>
      <w:smallCaps/>
      <w:spacing w:val="80"/>
      <w:sz w:val="28"/>
    </w:rPr>
  </w:style>
  <w:style w:type="paragraph" w:customStyle="1" w:styleId="InChapter">
    <w:name w:val="InChapter"/>
    <w:basedOn w:val="Heading3"/>
    <w:rsid w:val="003E7567"/>
    <w:pPr>
      <w:spacing w:after="240"/>
      <w:outlineLvl w:val="9"/>
    </w:pPr>
    <w:rPr>
      <w:noProof/>
    </w:rPr>
  </w:style>
  <w:style w:type="paragraph" w:styleId="Index2">
    <w:name w:val="index 2"/>
    <w:basedOn w:val="Normal"/>
    <w:next w:val="Normal"/>
    <w:semiHidden/>
    <w:rsid w:val="003E7567"/>
    <w:pPr>
      <w:tabs>
        <w:tab w:val="right" w:pos="4176"/>
      </w:tabs>
      <w:ind w:left="568" w:hanging="284"/>
    </w:pPr>
    <w:rPr>
      <w:rFonts w:ascii="Garamond" w:hAnsi="Garamond"/>
    </w:rPr>
  </w:style>
  <w:style w:type="paragraph" w:customStyle="1" w:styleId="Byline">
    <w:name w:val="Byline"/>
    <w:rsid w:val="003E75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567"/>
    <w:pPr>
      <w:tabs>
        <w:tab w:val="clear" w:pos="3600"/>
        <w:tab w:val="clear" w:pos="3958"/>
      </w:tabs>
      <w:jc w:val="right"/>
    </w:pPr>
  </w:style>
  <w:style w:type="character" w:styleId="Emphasis">
    <w:name w:val="Emphasis"/>
    <w:qFormat/>
    <w:rsid w:val="003E7567"/>
    <w:rPr>
      <w:i/>
    </w:rPr>
  </w:style>
  <w:style w:type="paragraph" w:styleId="Caption">
    <w:name w:val="caption"/>
    <w:basedOn w:val="BodyText"/>
    <w:next w:val="Normal"/>
    <w:qFormat/>
    <w:rsid w:val="003E7567"/>
    <w:pPr>
      <w:framePr w:w="2268" w:hSpace="181" w:vSpace="181" w:wrap="around" w:vAnchor="text" w:hAnchor="page" w:x="1135" w:y="285" w:anchorLock="1"/>
    </w:pPr>
    <w:rPr>
      <w:i/>
    </w:rPr>
  </w:style>
  <w:style w:type="paragraph" w:customStyle="1" w:styleId="MiniTOCTitle">
    <w:name w:val="MiniTOCTitle"/>
    <w:basedOn w:val="Heading4"/>
    <w:rsid w:val="003E7567"/>
    <w:pPr>
      <w:spacing w:before="240"/>
      <w:outlineLvl w:val="9"/>
    </w:pPr>
    <w:rPr>
      <w:noProof/>
      <w:sz w:val="24"/>
    </w:rPr>
  </w:style>
  <w:style w:type="paragraph" w:customStyle="1" w:styleId="MiniTOCItem">
    <w:name w:val="MiniTOCItem"/>
    <w:basedOn w:val="ListBullet"/>
    <w:rsid w:val="003E7567"/>
    <w:pPr>
      <w:numPr>
        <w:numId w:val="0"/>
      </w:numPr>
      <w:tabs>
        <w:tab w:val="right" w:leader="dot" w:pos="6521"/>
      </w:tabs>
      <w:spacing w:before="0" w:after="0"/>
    </w:pPr>
  </w:style>
  <w:style w:type="paragraph" w:customStyle="1" w:styleId="TOFTitle">
    <w:name w:val="TOFTitle"/>
    <w:basedOn w:val="TOCTitle"/>
    <w:rsid w:val="003E7567"/>
  </w:style>
  <w:style w:type="paragraph" w:styleId="TableofFigures">
    <w:name w:val="table of figures"/>
    <w:basedOn w:val="Normal"/>
    <w:next w:val="Normal"/>
    <w:semiHidden/>
    <w:rsid w:val="003E7567"/>
    <w:pPr>
      <w:tabs>
        <w:tab w:val="right" w:leader="dot" w:pos="9072"/>
      </w:tabs>
      <w:ind w:left="970" w:hanging="403"/>
    </w:pPr>
    <w:rPr>
      <w:rFonts w:ascii="Times New Roman" w:hAnsi="Times New Roman"/>
      <w:b/>
    </w:rPr>
  </w:style>
  <w:style w:type="paragraph" w:styleId="ListNumber">
    <w:name w:val="List Number"/>
    <w:basedOn w:val="List"/>
    <w:rsid w:val="003E7567"/>
    <w:pPr>
      <w:numPr>
        <w:numId w:val="12"/>
      </w:numPr>
    </w:pPr>
  </w:style>
  <w:style w:type="character" w:customStyle="1" w:styleId="WingdingSymbols">
    <w:name w:val="Wingding Symbols"/>
    <w:rsid w:val="003E7567"/>
    <w:rPr>
      <w:rFonts w:ascii="Wingdings" w:hAnsi="Wingdings"/>
    </w:rPr>
  </w:style>
  <w:style w:type="paragraph" w:customStyle="1" w:styleId="TableHeading">
    <w:name w:val="Table Heading"/>
    <w:basedOn w:val="HeadingBase"/>
    <w:rsid w:val="003E7567"/>
    <w:pPr>
      <w:keepLines/>
      <w:pBdr>
        <w:bottom w:val="single" w:sz="6" w:space="1" w:color="918585"/>
      </w:pBdr>
      <w:spacing w:before="240"/>
    </w:pPr>
  </w:style>
  <w:style w:type="character" w:customStyle="1" w:styleId="HotSpot">
    <w:name w:val="HotSpot"/>
    <w:rsid w:val="003E7567"/>
    <w:rPr>
      <w:color w:val="0033CC"/>
      <w:u w:val="none"/>
    </w:rPr>
  </w:style>
  <w:style w:type="paragraph" w:customStyle="1" w:styleId="BodyTextRight">
    <w:name w:val="Body Text Right"/>
    <w:basedOn w:val="BodyText"/>
    <w:rsid w:val="003E7567"/>
    <w:pPr>
      <w:spacing w:before="0" w:after="0"/>
      <w:jc w:val="right"/>
    </w:pPr>
  </w:style>
  <w:style w:type="paragraph" w:styleId="Index3">
    <w:name w:val="index 3"/>
    <w:basedOn w:val="ListNumber2"/>
    <w:next w:val="Normal"/>
    <w:semiHidden/>
    <w:rsid w:val="003E7567"/>
    <w:pPr>
      <w:numPr>
        <w:numId w:val="0"/>
      </w:numPr>
      <w:tabs>
        <w:tab w:val="right" w:leader="dot" w:pos="4176"/>
      </w:tabs>
    </w:pPr>
  </w:style>
  <w:style w:type="paragraph" w:styleId="ListNumber2">
    <w:name w:val="List Number 2"/>
    <w:basedOn w:val="List2"/>
    <w:rsid w:val="003E7567"/>
    <w:pPr>
      <w:numPr>
        <w:numId w:val="11"/>
      </w:numPr>
      <w:tabs>
        <w:tab w:val="clear" w:pos="1060"/>
      </w:tabs>
    </w:pPr>
  </w:style>
  <w:style w:type="paragraph" w:customStyle="1" w:styleId="MarginNote">
    <w:name w:val="Margin Note"/>
    <w:basedOn w:val="BodyText"/>
    <w:rsid w:val="003E75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5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E75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7567"/>
    <w:rPr>
      <w:sz w:val="32"/>
    </w:rPr>
  </w:style>
  <w:style w:type="paragraph" w:customStyle="1" w:styleId="HeadingProcedure">
    <w:name w:val="Heading Procedure"/>
    <w:basedOn w:val="HeadingBase"/>
    <w:next w:val="Normal"/>
    <w:rsid w:val="003E7567"/>
    <w:pPr>
      <w:tabs>
        <w:tab w:val="left" w:pos="0"/>
      </w:tabs>
      <w:spacing w:before="120" w:after="60"/>
    </w:pPr>
    <w:rPr>
      <w:i/>
      <w:color w:val="918585"/>
      <w:sz w:val="22"/>
    </w:rPr>
  </w:style>
  <w:style w:type="paragraph" w:customStyle="1" w:styleId="TableBodyText">
    <w:name w:val="Table Body Text"/>
    <w:basedOn w:val="BodyText"/>
    <w:rsid w:val="003E7567"/>
    <w:pPr>
      <w:spacing w:before="60" w:after="60"/>
    </w:pPr>
  </w:style>
  <w:style w:type="paragraph" w:styleId="ListContinue">
    <w:name w:val="List Continue"/>
    <w:basedOn w:val="List"/>
    <w:rsid w:val="003E7567"/>
    <w:pPr>
      <w:ind w:firstLine="0"/>
    </w:pPr>
  </w:style>
  <w:style w:type="paragraph" w:customStyle="1" w:styleId="ListNote">
    <w:name w:val="List Note"/>
    <w:basedOn w:val="List"/>
    <w:rsid w:val="003E7567"/>
    <w:pPr>
      <w:pBdr>
        <w:top w:val="single" w:sz="6" w:space="2" w:color="918585"/>
        <w:bottom w:val="single" w:sz="6" w:space="2" w:color="918585"/>
      </w:pBdr>
      <w:tabs>
        <w:tab w:val="left" w:pos="1021"/>
      </w:tabs>
      <w:ind w:firstLine="0"/>
    </w:pPr>
  </w:style>
  <w:style w:type="paragraph" w:customStyle="1" w:styleId="Warning">
    <w:name w:val="Warning"/>
    <w:basedOn w:val="BodyText"/>
    <w:rsid w:val="003E7567"/>
    <w:pPr>
      <w:shd w:val="clear" w:color="auto" w:fill="D9D9D9"/>
      <w:tabs>
        <w:tab w:val="left" w:pos="992"/>
      </w:tabs>
      <w:ind w:left="119" w:right="119"/>
    </w:pPr>
    <w:rPr>
      <w:sz w:val="20"/>
    </w:rPr>
  </w:style>
  <w:style w:type="paragraph" w:customStyle="1" w:styleId="MarginIcons">
    <w:name w:val="Margin Icons"/>
    <w:basedOn w:val="BodyText"/>
    <w:rsid w:val="003E756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E7567"/>
    <w:rPr>
      <w:rFonts w:ascii="Courier New" w:hAnsi="Courier New"/>
    </w:rPr>
  </w:style>
  <w:style w:type="paragraph" w:customStyle="1" w:styleId="NoteBullet">
    <w:name w:val="Note Bullet"/>
    <w:basedOn w:val="Note"/>
    <w:rsid w:val="003E7567"/>
    <w:pPr>
      <w:tabs>
        <w:tab w:val="clear" w:pos="680"/>
      </w:tabs>
      <w:spacing w:before="60" w:after="60"/>
    </w:pPr>
  </w:style>
  <w:style w:type="paragraph" w:customStyle="1" w:styleId="SubHeading2">
    <w:name w:val="SubHeading2"/>
    <w:basedOn w:val="HeadingBase"/>
    <w:rsid w:val="003E7567"/>
    <w:pPr>
      <w:spacing w:before="240" w:after="60"/>
    </w:pPr>
    <w:rPr>
      <w:sz w:val="20"/>
    </w:rPr>
  </w:style>
  <w:style w:type="paragraph" w:customStyle="1" w:styleId="SubHeading1">
    <w:name w:val="SubHeading1"/>
    <w:basedOn w:val="HeadingBase"/>
    <w:rsid w:val="003E7567"/>
    <w:pPr>
      <w:spacing w:before="240" w:after="60"/>
    </w:pPr>
    <w:rPr>
      <w:color w:val="918585"/>
      <w:sz w:val="22"/>
    </w:rPr>
  </w:style>
  <w:style w:type="paragraph" w:customStyle="1" w:styleId="SideHeading">
    <w:name w:val="Side Heading"/>
    <w:basedOn w:val="HeadingBase"/>
    <w:rsid w:val="003E75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567"/>
    <w:pPr>
      <w:numPr>
        <w:numId w:val="13"/>
      </w:numPr>
    </w:pPr>
  </w:style>
  <w:style w:type="paragraph" w:styleId="PlainText">
    <w:name w:val="Plain Text"/>
    <w:basedOn w:val="Normal"/>
    <w:link w:val="PlainTextChar"/>
    <w:rsid w:val="003E7567"/>
    <w:rPr>
      <w:sz w:val="20"/>
    </w:rPr>
  </w:style>
  <w:style w:type="character" w:customStyle="1" w:styleId="PlainTextChar">
    <w:name w:val="Plain Text Char"/>
    <w:basedOn w:val="DefaultParagraphFont"/>
    <w:link w:val="PlainText"/>
    <w:rsid w:val="003E7567"/>
    <w:rPr>
      <w:rFonts w:ascii="Courier New" w:eastAsia="Times New Roman" w:hAnsi="Courier New" w:cs="Times New Roman"/>
      <w:sz w:val="20"/>
      <w:szCs w:val="20"/>
      <w:lang w:val="en-US" w:eastAsia="en-US"/>
    </w:rPr>
  </w:style>
  <w:style w:type="character" w:customStyle="1" w:styleId="MenuOption">
    <w:name w:val="Menu Option"/>
    <w:rsid w:val="003E7567"/>
    <w:rPr>
      <w:b/>
      <w:smallCaps/>
    </w:rPr>
  </w:style>
  <w:style w:type="paragraph" w:customStyle="1" w:styleId="TableListNumber">
    <w:name w:val="Table List Number"/>
    <w:basedOn w:val="ListNumber"/>
    <w:rsid w:val="003E7567"/>
    <w:pPr>
      <w:numPr>
        <w:numId w:val="0"/>
      </w:numPr>
    </w:pPr>
  </w:style>
  <w:style w:type="paragraph" w:styleId="TOC4">
    <w:name w:val="toc 4"/>
    <w:basedOn w:val="TOCBase"/>
    <w:next w:val="Normal"/>
    <w:semiHidden/>
    <w:rsid w:val="003E7567"/>
    <w:pPr>
      <w:tabs>
        <w:tab w:val="right" w:leader="dot" w:pos="9071"/>
      </w:tabs>
      <w:ind w:left="1701"/>
    </w:pPr>
  </w:style>
  <w:style w:type="paragraph" w:customStyle="1" w:styleId="ListAlpha">
    <w:name w:val="List Alpha"/>
    <w:basedOn w:val="List"/>
    <w:rsid w:val="003E7567"/>
    <w:pPr>
      <w:numPr>
        <w:numId w:val="10"/>
      </w:numPr>
    </w:pPr>
  </w:style>
  <w:style w:type="paragraph" w:customStyle="1" w:styleId="ListAlpha2">
    <w:name w:val="List Alpha 2"/>
    <w:basedOn w:val="List2"/>
    <w:rsid w:val="003E7567"/>
    <w:pPr>
      <w:numPr>
        <w:numId w:val="9"/>
      </w:numPr>
    </w:pPr>
  </w:style>
  <w:style w:type="paragraph" w:styleId="List2">
    <w:name w:val="List 2"/>
    <w:basedOn w:val="BodyText"/>
    <w:rsid w:val="003E7567"/>
    <w:pPr>
      <w:tabs>
        <w:tab w:val="left" w:pos="680"/>
      </w:tabs>
      <w:spacing w:before="60" w:after="60"/>
      <w:ind w:left="680" w:hanging="340"/>
    </w:pPr>
  </w:style>
  <w:style w:type="paragraph" w:styleId="List3">
    <w:name w:val="List 3"/>
    <w:basedOn w:val="BodyText"/>
    <w:rsid w:val="003E7567"/>
    <w:pPr>
      <w:tabs>
        <w:tab w:val="left" w:pos="1021"/>
      </w:tabs>
      <w:spacing w:before="60" w:after="60"/>
      <w:ind w:left="1020" w:hanging="340"/>
    </w:pPr>
  </w:style>
  <w:style w:type="paragraph" w:styleId="List4">
    <w:name w:val="List 4"/>
    <w:basedOn w:val="BodyText"/>
    <w:rsid w:val="003E7567"/>
    <w:pPr>
      <w:tabs>
        <w:tab w:val="left" w:pos="1361"/>
      </w:tabs>
      <w:spacing w:before="60" w:after="60"/>
      <w:ind w:left="1361" w:hanging="340"/>
    </w:pPr>
  </w:style>
  <w:style w:type="paragraph" w:styleId="List5">
    <w:name w:val="List 5"/>
    <w:basedOn w:val="BodyText"/>
    <w:rsid w:val="003E7567"/>
    <w:pPr>
      <w:tabs>
        <w:tab w:val="left" w:pos="1701"/>
      </w:tabs>
      <w:spacing w:before="60" w:after="60"/>
      <w:ind w:left="1701" w:hanging="340"/>
    </w:pPr>
  </w:style>
  <w:style w:type="paragraph" w:styleId="ListBullet4">
    <w:name w:val="List Bullet 4"/>
    <w:basedOn w:val="List4"/>
    <w:rsid w:val="003E7567"/>
    <w:pPr>
      <w:numPr>
        <w:numId w:val="4"/>
      </w:numPr>
    </w:pPr>
  </w:style>
  <w:style w:type="paragraph" w:styleId="ListBullet5">
    <w:name w:val="List Bullet 5"/>
    <w:basedOn w:val="List5"/>
    <w:rsid w:val="003E7567"/>
    <w:pPr>
      <w:numPr>
        <w:numId w:val="5"/>
      </w:numPr>
    </w:pPr>
  </w:style>
  <w:style w:type="paragraph" w:styleId="ListContinue2">
    <w:name w:val="List Continue 2"/>
    <w:basedOn w:val="List2"/>
    <w:rsid w:val="003E7567"/>
    <w:pPr>
      <w:ind w:firstLine="0"/>
    </w:pPr>
  </w:style>
  <w:style w:type="paragraph" w:styleId="ListContinue3">
    <w:name w:val="List Continue 3"/>
    <w:basedOn w:val="List3"/>
    <w:rsid w:val="003E7567"/>
    <w:pPr>
      <w:ind w:left="1021" w:firstLine="0"/>
    </w:pPr>
  </w:style>
  <w:style w:type="paragraph" w:styleId="ListContinue4">
    <w:name w:val="List Continue 4"/>
    <w:basedOn w:val="List4"/>
    <w:rsid w:val="003E7567"/>
    <w:pPr>
      <w:ind w:firstLine="0"/>
    </w:pPr>
  </w:style>
  <w:style w:type="paragraph" w:styleId="ListContinue5">
    <w:name w:val="List Continue 5"/>
    <w:basedOn w:val="List5"/>
    <w:rsid w:val="003E7567"/>
    <w:pPr>
      <w:ind w:firstLine="0"/>
    </w:pPr>
  </w:style>
  <w:style w:type="paragraph" w:styleId="ListNumber3">
    <w:name w:val="List Number 3"/>
    <w:basedOn w:val="List3"/>
    <w:rsid w:val="003E7567"/>
    <w:pPr>
      <w:numPr>
        <w:numId w:val="6"/>
      </w:numPr>
    </w:pPr>
  </w:style>
  <w:style w:type="paragraph" w:styleId="ListNumber4">
    <w:name w:val="List Number 4"/>
    <w:basedOn w:val="List4"/>
    <w:rsid w:val="003E7567"/>
    <w:pPr>
      <w:numPr>
        <w:numId w:val="7"/>
      </w:numPr>
    </w:pPr>
  </w:style>
  <w:style w:type="paragraph" w:styleId="ListNumber5">
    <w:name w:val="List Number 5"/>
    <w:basedOn w:val="List5"/>
    <w:rsid w:val="003E7567"/>
    <w:pPr>
      <w:numPr>
        <w:numId w:val="8"/>
      </w:numPr>
    </w:pPr>
  </w:style>
  <w:style w:type="paragraph" w:styleId="BlockText">
    <w:name w:val="Block Text"/>
    <w:basedOn w:val="Normal"/>
    <w:rsid w:val="003E7567"/>
    <w:pPr>
      <w:spacing w:after="120"/>
      <w:ind w:left="1440" w:right="1440"/>
    </w:pPr>
  </w:style>
  <w:style w:type="character" w:customStyle="1" w:styleId="Subscript">
    <w:name w:val="Subscript"/>
    <w:rsid w:val="003E7567"/>
    <w:rPr>
      <w:sz w:val="16"/>
      <w:vertAlign w:val="subscript"/>
    </w:rPr>
  </w:style>
  <w:style w:type="character" w:customStyle="1" w:styleId="Superscript">
    <w:name w:val="Superscript"/>
    <w:rsid w:val="003E7567"/>
    <w:rPr>
      <w:sz w:val="16"/>
      <w:vertAlign w:val="superscript"/>
    </w:rPr>
  </w:style>
  <w:style w:type="character" w:customStyle="1" w:styleId="Symbols">
    <w:name w:val="Symbols"/>
    <w:rsid w:val="003E7567"/>
    <w:rPr>
      <w:rFonts w:ascii="Symbol" w:hAnsi="Symbol"/>
    </w:rPr>
  </w:style>
  <w:style w:type="character" w:customStyle="1" w:styleId="MenuOptions">
    <w:name w:val="Menu Options"/>
    <w:rsid w:val="003E7567"/>
    <w:rPr>
      <w:rFonts w:ascii="Arial Narrow" w:hAnsi="Arial Narrow"/>
      <w:smallCaps/>
    </w:rPr>
  </w:style>
  <w:style w:type="character" w:customStyle="1" w:styleId="Buttons">
    <w:name w:val="Buttons"/>
    <w:rsid w:val="003E7567"/>
    <w:rPr>
      <w:b/>
    </w:rPr>
  </w:style>
  <w:style w:type="character" w:customStyle="1" w:styleId="Underlined">
    <w:name w:val="Underlined"/>
    <w:rsid w:val="003E7567"/>
    <w:rPr>
      <w:u w:val="single"/>
    </w:rPr>
  </w:style>
  <w:style w:type="paragraph" w:customStyle="1" w:styleId="TableBodyTextRight">
    <w:name w:val="Table Body Text Right"/>
    <w:basedOn w:val="TableBodyText"/>
    <w:rsid w:val="003E7567"/>
    <w:pPr>
      <w:widowControl w:val="0"/>
      <w:autoSpaceDE w:val="0"/>
      <w:autoSpaceDN w:val="0"/>
      <w:adjustRightInd w:val="0"/>
      <w:jc w:val="right"/>
    </w:pPr>
    <w:rPr>
      <w:rFonts w:cs="Arial"/>
      <w:szCs w:val="18"/>
    </w:rPr>
  </w:style>
  <w:style w:type="paragraph" w:customStyle="1" w:styleId="CopyrightText">
    <w:name w:val="Copyright Text"/>
    <w:basedOn w:val="BodyText"/>
    <w:rsid w:val="003E7567"/>
    <w:rPr>
      <w:sz w:val="18"/>
    </w:rPr>
  </w:style>
  <w:style w:type="paragraph" w:customStyle="1" w:styleId="BodySmallRight">
    <w:name w:val="Body Small Right"/>
    <w:basedOn w:val="BodyTextRight"/>
    <w:rsid w:val="003E7567"/>
    <w:rPr>
      <w:sz w:val="18"/>
      <w:szCs w:val="18"/>
    </w:rPr>
  </w:style>
  <w:style w:type="paragraph" w:customStyle="1" w:styleId="MarginEdition">
    <w:name w:val="Margin Edition"/>
    <w:basedOn w:val="MarginNote"/>
    <w:rsid w:val="003E7567"/>
    <w:pPr>
      <w:spacing w:before="0" w:after="0"/>
    </w:pPr>
    <w:rPr>
      <w:rFonts w:ascii="Times New Roman" w:hAnsi="Times New Roman"/>
      <w:color w:val="999999"/>
    </w:rPr>
  </w:style>
  <w:style w:type="paragraph" w:customStyle="1" w:styleId="Spacer">
    <w:name w:val="Spacer"/>
    <w:basedOn w:val="Normal"/>
    <w:rsid w:val="003E7567"/>
    <w:rPr>
      <w:sz w:val="2"/>
      <w:szCs w:val="2"/>
    </w:rPr>
  </w:style>
  <w:style w:type="character" w:customStyle="1" w:styleId="Small">
    <w:name w:val="Small"/>
    <w:rsid w:val="003E7567"/>
    <w:rPr>
      <w:sz w:val="16"/>
    </w:rPr>
  </w:style>
  <w:style w:type="paragraph" w:customStyle="1" w:styleId="WideTable">
    <w:name w:val="Wide Table"/>
    <w:basedOn w:val="Normal"/>
    <w:rsid w:val="003E7567"/>
    <w:pPr>
      <w:ind w:left="-1418"/>
    </w:pPr>
    <w:rPr>
      <w:sz w:val="2"/>
      <w:szCs w:val="2"/>
    </w:rPr>
  </w:style>
  <w:style w:type="character" w:styleId="PageNumber">
    <w:name w:val="page number"/>
    <w:rsid w:val="003E7567"/>
  </w:style>
  <w:style w:type="paragraph" w:styleId="Quote">
    <w:name w:val="Quote"/>
    <w:basedOn w:val="Heading1"/>
    <w:link w:val="QuoteChar"/>
    <w:qFormat/>
    <w:rsid w:val="003E7567"/>
    <w:rPr>
      <w:b w:val="0"/>
      <w:sz w:val="72"/>
      <w:szCs w:val="72"/>
      <w:lang w:val="en-NZ"/>
    </w:rPr>
  </w:style>
  <w:style w:type="character" w:customStyle="1" w:styleId="QuoteChar">
    <w:name w:val="Quote Char"/>
    <w:link w:val="Quote"/>
    <w:rsid w:val="003E75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567"/>
    <w:pPr>
      <w:pageBreakBefore/>
    </w:pPr>
  </w:style>
  <w:style w:type="paragraph" w:customStyle="1" w:styleId="Border">
    <w:name w:val="Border"/>
    <w:basedOn w:val="Normal"/>
    <w:qFormat/>
    <w:rsid w:val="003E7567"/>
    <w:pPr>
      <w:pBdr>
        <w:top w:val="single" w:sz="18" w:space="1" w:color="auto"/>
      </w:pBdr>
    </w:pPr>
    <w:rPr>
      <w:rFonts w:ascii="Times New Roman" w:hAnsi="Times New Roman"/>
      <w:color w:val="FFFFFF"/>
      <w:sz w:val="2"/>
    </w:rPr>
  </w:style>
  <w:style w:type="character" w:styleId="IntenseEmphasis">
    <w:name w:val="Intense Emphasis"/>
    <w:uiPriority w:val="21"/>
    <w:qFormat/>
    <w:rsid w:val="003E7567"/>
    <w:rPr>
      <w:b/>
      <w:bCs/>
      <w:i/>
      <w:iCs/>
      <w:color w:val="auto"/>
    </w:rPr>
  </w:style>
  <w:style w:type="paragraph" w:styleId="IntenseQuote">
    <w:name w:val="Intense Quote"/>
    <w:basedOn w:val="Normal"/>
    <w:next w:val="Normal"/>
    <w:link w:val="IntenseQuoteChar"/>
    <w:uiPriority w:val="30"/>
    <w:qFormat/>
    <w:rsid w:val="003E756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E7567"/>
    <w:rPr>
      <w:rFonts w:ascii="Courier New" w:eastAsia="Times New Roman" w:hAnsi="Courier New" w:cs="Times New Roman"/>
      <w:b/>
      <w:bCs/>
      <w:i/>
      <w:iCs/>
      <w:szCs w:val="20"/>
      <w:lang w:val="en-US" w:eastAsia="en-US"/>
    </w:rPr>
  </w:style>
  <w:style w:type="character" w:styleId="SubtleReference">
    <w:name w:val="Subtle Reference"/>
    <w:uiPriority w:val="31"/>
    <w:qFormat/>
    <w:rsid w:val="003E7567"/>
    <w:rPr>
      <w:smallCaps/>
      <w:color w:val="auto"/>
      <w:u w:val="single"/>
    </w:rPr>
  </w:style>
  <w:style w:type="character" w:styleId="IntenseReference">
    <w:name w:val="Intense Reference"/>
    <w:uiPriority w:val="32"/>
    <w:qFormat/>
    <w:rsid w:val="003E7567"/>
    <w:rPr>
      <w:b/>
      <w:bCs/>
      <w:smallCaps/>
      <w:color w:val="auto"/>
      <w:spacing w:val="5"/>
      <w:u w:val="single"/>
    </w:rPr>
  </w:style>
  <w:style w:type="paragraph" w:customStyle="1" w:styleId="2ColumnHeading">
    <w:name w:val="2Column Heading"/>
    <w:basedOn w:val="BodyText"/>
    <w:qFormat/>
    <w:rsid w:val="003E7567"/>
    <w:pPr>
      <w:spacing w:after="60"/>
      <w:ind w:left="-2268"/>
    </w:pPr>
    <w:rPr>
      <w:b/>
    </w:rPr>
  </w:style>
  <w:style w:type="paragraph" w:customStyle="1" w:styleId="Heading1TOC">
    <w:name w:val="Heading1 TOC"/>
    <w:basedOn w:val="Normal"/>
    <w:qFormat/>
    <w:rsid w:val="003E7567"/>
    <w:pPr>
      <w:spacing w:before="240" w:after="120"/>
    </w:pPr>
    <w:rPr>
      <w:rFonts w:ascii="Times New Roman" w:hAnsi="Times New Roman"/>
      <w:b/>
      <w:sz w:val="32"/>
    </w:rPr>
  </w:style>
  <w:style w:type="paragraph" w:customStyle="1" w:styleId="Heading2TOC">
    <w:name w:val="Heading2 TOC"/>
    <w:basedOn w:val="Normal"/>
    <w:qFormat/>
    <w:rsid w:val="003E7567"/>
    <w:pPr>
      <w:spacing w:before="240" w:after="60"/>
    </w:pPr>
    <w:rPr>
      <w:rFonts w:ascii="Times New Roman" w:hAnsi="Times New Roman"/>
      <w:b/>
      <w:sz w:val="28"/>
    </w:rPr>
  </w:style>
  <w:style w:type="character" w:customStyle="1" w:styleId="Underline">
    <w:name w:val="Underline"/>
    <w:qFormat/>
    <w:rsid w:val="003E7567"/>
    <w:rPr>
      <w:u w:val="single"/>
    </w:rPr>
  </w:style>
  <w:style w:type="character" w:customStyle="1" w:styleId="BoldandItalics">
    <w:name w:val="Bold and Italics"/>
    <w:qFormat/>
    <w:rsid w:val="003E7567"/>
    <w:rPr>
      <w:b/>
      <w:i/>
      <w:u w:val="none"/>
    </w:rPr>
  </w:style>
  <w:style w:type="paragraph" w:styleId="BalloonText">
    <w:name w:val="Balloon Text"/>
    <w:basedOn w:val="Normal"/>
    <w:link w:val="BalloonTextChar"/>
    <w:rsid w:val="003E7567"/>
    <w:rPr>
      <w:rFonts w:ascii="Tahoma" w:hAnsi="Tahoma" w:cs="Tahoma"/>
      <w:sz w:val="16"/>
      <w:szCs w:val="16"/>
    </w:rPr>
  </w:style>
  <w:style w:type="character" w:customStyle="1" w:styleId="BalloonTextChar">
    <w:name w:val="Balloon Text Char"/>
    <w:link w:val="BalloonText"/>
    <w:rsid w:val="003E75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756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E756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3184</Words>
  <Characters>20260</Characters>
  <Application>Microsoft Office Word</Application>
  <DocSecurity>0</DocSecurity>
  <Lines>800</Lines>
  <Paragraphs>333</Paragraphs>
  <ScaleCrop>false</ScaleCrop>
  <Company>Author-it Software Corporation Ltd.</Company>
  <LinksUpToDate>false</LinksUpToDate>
  <CharactersWithSpaces>23211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UETTDRRT34A Install and maintain traction network wiring systems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2012-05-26T12:19:00Z</dcterms:created>
  <dcterms:modified xsi:type="dcterms:W3CDTF">2012-05-26T12:19:00Z</dcterms:modified>
</cp:coreProperties>
</file>