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28F9" w:rsidP="007328F9">
      <w:pPr>
        <w:pStyle w:val="Title"/>
      </w:pPr>
      <w:r>
        <w:fldChar w:fldCharType="begin"/>
      </w:r>
      <w:r>
        <w:instrText xml:space="preserve"> TITLE   \* MERGEFORMAT </w:instrText>
      </w:r>
      <w:r>
        <w:fldChar w:fldCharType="separate"/>
      </w:r>
      <w:r>
        <w:t>UETTDRRT30A Perform to a given schedule rail traction switching operations</w:t>
      </w:r>
      <w:r>
        <w:fldChar w:fldCharType="end"/>
      </w:r>
    </w:p>
    <w:p w:rsidR="007328F9" w:rsidP="007328F9">
      <w:pPr>
        <w:pStyle w:val="Version"/>
        <w:sectPr w:rsidSect="00160F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0F0D" w:rsidP="00160F0D">
      <w:pPr>
        <w:pStyle w:val="SuperHeading"/>
      </w:pPr>
      <w:r w:rsidRPr="00160F0D">
        <w:t>UETTDRRT30A Perform to a given schedule rail traction switching operations</w:t>
      </w:r>
    </w:p>
    <w:p w:rsidR="00000000" w:rsidRPr="00160F0D" w:rsidP="00160F0D">
      <w:pPr>
        <w:pStyle w:val="Heading1"/>
      </w:pPr>
      <w:bookmarkStart w:id="1" w:name="O_465365"/>
      <w:bookmarkEnd w:id="1"/>
      <w:r w:rsidRPr="00160F0D">
        <w:t>Modification History</w:t>
      </w:r>
    </w:p>
    <w:p w:rsidR="00000000" w:rsidRPr="00160F0D" w:rsidP="00160F0D">
      <w:pPr>
        <w:pStyle w:val="BodyText"/>
      </w:pPr>
      <w:r w:rsidRPr="00160F0D">
        <w:t>Not applicable.</w:t>
      </w:r>
    </w:p>
    <w:p w:rsidR="00000000" w:rsidRPr="00160F0D" w:rsidP="00160F0D">
      <w:pPr>
        <w:pStyle w:val="AllowPageBreak"/>
      </w:pPr>
    </w:p>
    <w:p w:rsidR="00000000" w:rsidRPr="00160F0D" w:rsidP="00160F0D">
      <w:pPr>
        <w:pStyle w:val="Heading1"/>
      </w:pPr>
      <w:bookmarkStart w:id="2" w:name="O_465363"/>
      <w:bookmarkEnd w:id="2"/>
      <w:r w:rsidRPr="00160F0D">
        <w:t>Unit Descriptor</w:t>
      </w:r>
    </w:p>
    <w:tbl>
      <w:tblPr>
        <w:tblW w:w="0" w:type="auto"/>
        <w:tblLayout w:type="fixed"/>
        <w:tblCellMar>
          <w:left w:w="62" w:type="dxa"/>
          <w:right w:w="62" w:type="dxa"/>
        </w:tblCellMar>
        <w:tblLook w:val="0000"/>
      </w:tblPr>
      <w:tblGrid>
        <w:gridCol w:w="2700"/>
        <w:gridCol w:w="5760"/>
      </w:tblGrid>
      <w:tr w:rsidTr="007328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rPr>
                <w:rStyle w:val="SpecialBold"/>
              </w:rPr>
              <w:t>1)</w:t>
            </w:r>
            <w:r w:rsidRPr="00160F0D">
              <w:t xml:space="preserve"> </w:t>
            </w:r>
            <w:r w:rsidRPr="00160F0D">
              <w:rPr>
                <w:rStyle w:val="SpecialBold"/>
              </w:rPr>
              <w:t>Scope:</w:t>
            </w:r>
          </w:p>
        </w:tc>
      </w:tr>
      <w:tr w:rsidTr="00732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60F0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rPr>
                <w:rStyle w:val="SpecialBold"/>
              </w:rPr>
              <w:t>1.1) Descriptor</w:t>
            </w:r>
          </w:p>
        </w:tc>
      </w:tr>
      <w:tr w:rsidTr="00732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t>This Competency Standard Unit covers the operation of circuit breaking and isolation devices associated with energy reticulation systems/networks, which applies to rail systems in field situations according to established procedures. It also encompasses th</w:t>
            </w:r>
            <w:r w:rsidRPr="00160F0D">
              <w:t>e procedure of; communicating with the Switching Control Officer or Electrical Control Officer, isolating the electrical equipment and the line or work site, as well as proving that the area is de-energised and earthed or rail-connected, the issuing/accept</w:t>
            </w:r>
            <w:r w:rsidRPr="00160F0D">
              <w:t>ing or holding of electrical permits and the returning of the affected circuits to service</w:t>
            </w:r>
          </w:p>
        </w:tc>
      </w:tr>
    </w:tbl>
    <w:p w:rsidR="00000000" w:rsidRPr="00160F0D" w:rsidP="00160F0D">
      <w:pPr>
        <w:pStyle w:val="BodyText"/>
      </w:pPr>
    </w:p>
    <w:p w:rsidR="00000000" w:rsidRPr="00160F0D" w:rsidP="00160F0D">
      <w:pPr>
        <w:pStyle w:val="AllowPageBreak"/>
      </w:pPr>
    </w:p>
    <w:p w:rsidR="00000000" w:rsidRPr="00160F0D" w:rsidP="00160F0D">
      <w:pPr>
        <w:pStyle w:val="Heading1"/>
      </w:pPr>
      <w:bookmarkStart w:id="3" w:name="O_465352"/>
      <w:bookmarkEnd w:id="3"/>
      <w:r w:rsidRPr="00160F0D">
        <w:t>Application of the Unit</w:t>
      </w:r>
    </w:p>
    <w:tbl>
      <w:tblPr>
        <w:tblW w:w="0" w:type="auto"/>
        <w:tblLayout w:type="fixed"/>
        <w:tblCellMar>
          <w:left w:w="62" w:type="dxa"/>
          <w:right w:w="62" w:type="dxa"/>
        </w:tblCellMar>
        <w:tblLook w:val="0000"/>
      </w:tblPr>
      <w:tblGrid>
        <w:gridCol w:w="2672"/>
        <w:gridCol w:w="5699"/>
      </w:tblGrid>
      <w:tr w:rsidTr="007328F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rPr>
                <w:rStyle w:val="SpecialBold"/>
              </w:rPr>
              <w:t>2)</w:t>
            </w:r>
          </w:p>
        </w:tc>
      </w:tr>
      <w:tr w:rsidTr="007328F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t>This Competency Standard Unit is intended to augment formally acquired competencies. It is suitable for employment-based programs under an approved contract of training.</w:t>
            </w:r>
          </w:p>
        </w:tc>
      </w:tr>
    </w:tbl>
    <w:p w:rsidR="00000000" w:rsidRPr="00160F0D" w:rsidP="00160F0D">
      <w:pPr>
        <w:pStyle w:val="BodyText"/>
      </w:pPr>
    </w:p>
    <w:p w:rsidR="00000000" w:rsidRPr="00160F0D" w:rsidP="00160F0D">
      <w:pPr>
        <w:pStyle w:val="AllowPageBreak"/>
      </w:pPr>
    </w:p>
    <w:p w:rsidR="00000000" w:rsidRPr="00160F0D" w:rsidP="00160F0D">
      <w:pPr>
        <w:pStyle w:val="Heading1"/>
      </w:pPr>
      <w:bookmarkStart w:id="4" w:name="O_465359"/>
      <w:bookmarkEnd w:id="4"/>
      <w:r w:rsidRPr="00160F0D">
        <w:t>Licensing/Regulatory Information</w:t>
      </w:r>
    </w:p>
    <w:tbl>
      <w:tblPr>
        <w:tblW w:w="0" w:type="auto"/>
        <w:tblLayout w:type="fixed"/>
        <w:tblCellMar>
          <w:left w:w="62" w:type="dxa"/>
          <w:right w:w="62" w:type="dxa"/>
        </w:tblCellMar>
        <w:tblLook w:val="0000"/>
      </w:tblPr>
      <w:tblGrid>
        <w:gridCol w:w="2700"/>
        <w:gridCol w:w="5760"/>
      </w:tblGrid>
      <w:tr w:rsidTr="007328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rPr>
                <w:rStyle w:val="SpecialBold"/>
              </w:rPr>
              <w:t xml:space="preserve">3) </w:t>
            </w:r>
          </w:p>
        </w:tc>
      </w:tr>
      <w:tr w:rsidTr="00732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t>The skil</w:t>
            </w:r>
            <w:r w:rsidRPr="00160F0D">
              <w:t xml:space="preserve">ls and knowledge described in this unit may require a licence/registration to practice in the work place subject to regulations for undertaking of electrical work. </w:t>
            </w:r>
            <w:r w:rsidRPr="00160F0D">
              <w:t>Practice in workplace and during training is also subject to regulations directly related to</w:t>
            </w:r>
            <w:r w:rsidRPr="00160F0D">
              <w:t xml:space="preserve"> Occupational Health and Safety, electricity/telecommunications/gas/water industry safety and compliance, industrial relations, environmental protection, anti discrimination and training. Commonwealth, State/Territory or Local Government legislation and re</w:t>
            </w:r>
            <w:r w:rsidRPr="00160F0D">
              <w:t>gulations may exist that limits the age of operating certain equipment.</w:t>
            </w:r>
          </w:p>
        </w:tc>
      </w:tr>
    </w:tbl>
    <w:p w:rsidR="00000000" w:rsidRPr="00160F0D" w:rsidP="00160F0D">
      <w:pPr>
        <w:pStyle w:val="BodyText"/>
      </w:pPr>
    </w:p>
    <w:p w:rsidR="00000000" w:rsidRPr="00160F0D" w:rsidP="00160F0D">
      <w:pPr>
        <w:pStyle w:val="AllowPageBreak"/>
      </w:pPr>
    </w:p>
    <w:p w:rsidR="00000000" w:rsidRPr="00160F0D" w:rsidP="00160F0D">
      <w:pPr>
        <w:pStyle w:val="Heading1"/>
      </w:pPr>
      <w:bookmarkStart w:id="5" w:name="O_465360"/>
      <w:bookmarkEnd w:id="5"/>
      <w:r w:rsidRPr="00160F0D">
        <w:t>Pre-Requisites</w:t>
      </w:r>
    </w:p>
    <w:tbl>
      <w:tblPr>
        <w:tblW w:w="0" w:type="auto"/>
        <w:tblLayout w:type="fixed"/>
        <w:tblCellMar>
          <w:left w:w="62" w:type="dxa"/>
          <w:right w:w="62" w:type="dxa"/>
        </w:tblCellMar>
        <w:tblLook w:val="0000"/>
      </w:tblPr>
      <w:tblGrid>
        <w:gridCol w:w="2700"/>
        <w:gridCol w:w="1800"/>
        <w:gridCol w:w="3960"/>
      </w:tblGrid>
      <w:tr w:rsidTr="007328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rPr>
                <w:rStyle w:val="SpecialBold"/>
              </w:rPr>
              <w:t xml:space="preserve">4) </w:t>
            </w:r>
          </w:p>
        </w:tc>
      </w:tr>
      <w:tr w:rsidTr="00732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rPr>
                <w:rStyle w:val="SpecialBold"/>
              </w:rPr>
              <w:t>4.1)</w:t>
            </w:r>
          </w:p>
        </w:tc>
      </w:tr>
      <w:tr w:rsidTr="00732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t>Granting of competency in this unit shall be made only after competency in the following unit(s) has/have been confirmed.</w:t>
            </w:r>
          </w:p>
          <w:p w:rsidR="00000000" w:rsidRPr="00160F0D" w:rsidP="00160F0D">
            <w:pPr>
              <w:pStyle w:val="BodyText"/>
            </w:pPr>
            <w:r w:rsidRPr="00160F0D">
              <w:t>Where pre-requisite pathways have been identified. All competencies in the Common Unit Group must be have been completed.</w:t>
            </w:r>
          </w:p>
          <w:p w:rsidR="00000000" w:rsidP="00160F0D">
            <w:pPr>
              <w:pStyle w:val="BodyText"/>
              <w:rPr>
                <w:lang w:val="en-NZ"/>
              </w:rPr>
            </w:pPr>
            <w:r w:rsidRPr="00160F0D">
              <w:t xml:space="preserve">Common Unit </w:t>
            </w:r>
            <w:r w:rsidRPr="00160F0D">
              <w:t>Group</w:t>
            </w:r>
          </w:p>
        </w:tc>
      </w:tr>
      <w:tr w:rsidTr="00732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Unit Code</w:t>
            </w:r>
            <w:r w:rsidRPr="00160F0D">
              <w:tab/>
            </w:r>
          </w:p>
        </w:tc>
        <w:tc>
          <w:tcPr>
            <w:tcW w:w="3960" w:type="dxa"/>
            <w:tcBorders>
              <w:top w:val="nil"/>
              <w:left w:val="nil"/>
              <w:bottom w:val="nil"/>
              <w:right w:val="nil"/>
            </w:tcBorders>
            <w:tcMar>
              <w:top w:w="0" w:type="dxa"/>
              <w:left w:w="62" w:type="dxa"/>
              <w:bottom w:w="0" w:type="dxa"/>
              <w:right w:w="62" w:type="dxa"/>
            </w:tcMar>
            <w:vAlign w:val="bottom"/>
          </w:tcPr>
          <w:p w:rsidR="00000000" w:rsidP="00160F0D">
            <w:pPr>
              <w:pStyle w:val="BodyText"/>
              <w:rPr>
                <w:lang w:val="en-NZ"/>
              </w:rPr>
            </w:pPr>
            <w:r w:rsidRPr="00160F0D">
              <w:t>Unit Title</w:t>
            </w:r>
          </w:p>
        </w:tc>
      </w:tr>
      <w:tr w:rsidTr="00732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160F0D">
            <w:pPr>
              <w:pStyle w:val="BodyText"/>
              <w:rPr>
                <w:lang w:val="en-NZ"/>
              </w:rPr>
            </w:pPr>
            <w:r w:rsidRPr="00160F0D">
              <w:t>Apply Occupational Health and Safety regulations, codes and practices in the workplace</w:t>
            </w:r>
          </w:p>
        </w:tc>
      </w:tr>
      <w:tr w:rsidTr="00732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UEENEEE102A</w:t>
            </w:r>
          </w:p>
        </w:tc>
        <w:tc>
          <w:tcPr>
            <w:tcW w:w="3960" w:type="dxa"/>
            <w:tcBorders>
              <w:top w:val="nil"/>
              <w:left w:val="nil"/>
              <w:bottom w:val="nil"/>
              <w:right w:val="nil"/>
            </w:tcBorders>
            <w:tcMar>
              <w:top w:w="0" w:type="dxa"/>
              <w:left w:w="62" w:type="dxa"/>
              <w:bottom w:w="0" w:type="dxa"/>
              <w:right w:w="62" w:type="dxa"/>
            </w:tcMar>
            <w:vAlign w:val="bottom"/>
          </w:tcPr>
          <w:p w:rsidR="00000000" w:rsidP="00160F0D">
            <w:pPr>
              <w:pStyle w:val="BodyText"/>
              <w:rPr>
                <w:lang w:val="en-NZ"/>
              </w:rPr>
            </w:pPr>
            <w:r w:rsidRPr="00160F0D">
              <w:t>Fabricate, assemble and dismantle utilities industry components</w:t>
            </w:r>
          </w:p>
        </w:tc>
      </w:tr>
      <w:tr w:rsidTr="00732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UEENEEE104A</w:t>
            </w:r>
          </w:p>
        </w:tc>
        <w:tc>
          <w:tcPr>
            <w:tcW w:w="3960" w:type="dxa"/>
            <w:tcBorders>
              <w:top w:val="nil"/>
              <w:left w:val="nil"/>
              <w:bottom w:val="nil"/>
              <w:right w:val="nil"/>
            </w:tcBorders>
            <w:tcMar>
              <w:top w:w="0" w:type="dxa"/>
              <w:left w:w="62" w:type="dxa"/>
              <w:bottom w:w="0" w:type="dxa"/>
              <w:right w:w="62" w:type="dxa"/>
            </w:tcMar>
            <w:vAlign w:val="bottom"/>
          </w:tcPr>
          <w:p w:rsidR="00000000" w:rsidP="00160F0D">
            <w:pPr>
              <w:pStyle w:val="BodyText"/>
              <w:rPr>
                <w:lang w:val="en-NZ"/>
              </w:rPr>
            </w:pPr>
            <w:r w:rsidRPr="00160F0D">
              <w:t>Solve problems in d.c. Circuits</w:t>
            </w:r>
          </w:p>
        </w:tc>
      </w:tr>
      <w:tr w:rsidTr="00732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UEENEEE105A</w:t>
            </w:r>
          </w:p>
        </w:tc>
        <w:tc>
          <w:tcPr>
            <w:tcW w:w="3960" w:type="dxa"/>
            <w:tcBorders>
              <w:top w:val="nil"/>
              <w:left w:val="nil"/>
              <w:bottom w:val="nil"/>
              <w:right w:val="nil"/>
            </w:tcBorders>
            <w:tcMar>
              <w:top w:w="0" w:type="dxa"/>
              <w:left w:w="62" w:type="dxa"/>
              <w:bottom w:w="0" w:type="dxa"/>
              <w:right w:w="62" w:type="dxa"/>
            </w:tcMar>
            <w:vAlign w:val="bottom"/>
          </w:tcPr>
          <w:p w:rsidR="00000000" w:rsidP="00160F0D">
            <w:pPr>
              <w:pStyle w:val="BodyText"/>
              <w:rPr>
                <w:lang w:val="en-NZ"/>
              </w:rPr>
            </w:pPr>
            <w:r w:rsidRPr="00160F0D">
              <w:t>Fix and secure electrotechnology equipment</w:t>
            </w:r>
          </w:p>
        </w:tc>
      </w:tr>
      <w:tr w:rsidTr="00732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UEENEEE107A</w:t>
            </w:r>
          </w:p>
        </w:tc>
        <w:tc>
          <w:tcPr>
            <w:tcW w:w="3960" w:type="dxa"/>
            <w:tcBorders>
              <w:top w:val="nil"/>
              <w:left w:val="nil"/>
              <w:bottom w:val="nil"/>
              <w:right w:val="nil"/>
            </w:tcBorders>
            <w:tcMar>
              <w:top w:w="0" w:type="dxa"/>
              <w:left w:w="62" w:type="dxa"/>
              <w:bottom w:w="0" w:type="dxa"/>
              <w:right w:w="62" w:type="dxa"/>
            </w:tcMar>
            <w:vAlign w:val="bottom"/>
          </w:tcPr>
          <w:p w:rsidR="00000000" w:rsidP="00160F0D">
            <w:pPr>
              <w:pStyle w:val="BodyText"/>
              <w:rPr>
                <w:lang w:val="en-NZ"/>
              </w:rPr>
            </w:pPr>
            <w:r w:rsidRPr="00160F0D">
              <w:t>Use drawings, diagrams, schedules, standards, codes and specifications</w:t>
            </w:r>
          </w:p>
        </w:tc>
      </w:tr>
      <w:tr w:rsidTr="00732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UEENEEG101A</w:t>
            </w:r>
          </w:p>
        </w:tc>
        <w:tc>
          <w:tcPr>
            <w:tcW w:w="3960" w:type="dxa"/>
            <w:tcBorders>
              <w:top w:val="nil"/>
              <w:left w:val="nil"/>
              <w:bottom w:val="nil"/>
              <w:right w:val="nil"/>
            </w:tcBorders>
            <w:tcMar>
              <w:top w:w="0" w:type="dxa"/>
              <w:left w:w="62" w:type="dxa"/>
              <w:bottom w:w="0" w:type="dxa"/>
              <w:right w:w="62" w:type="dxa"/>
            </w:tcMar>
            <w:vAlign w:val="bottom"/>
          </w:tcPr>
          <w:p w:rsidR="00000000" w:rsidP="00160F0D">
            <w:pPr>
              <w:pStyle w:val="BodyText"/>
              <w:rPr>
                <w:lang w:val="en-NZ"/>
              </w:rPr>
            </w:pPr>
            <w:r w:rsidRPr="00160F0D">
              <w:t>Solve problems in electromagnetic devices and related circuits</w:t>
            </w:r>
          </w:p>
        </w:tc>
      </w:tr>
      <w:tr w:rsidTr="00732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UEENEEG102A</w:t>
            </w:r>
          </w:p>
        </w:tc>
        <w:tc>
          <w:tcPr>
            <w:tcW w:w="3960" w:type="dxa"/>
            <w:tcBorders>
              <w:top w:val="nil"/>
              <w:left w:val="nil"/>
              <w:bottom w:val="nil"/>
              <w:right w:val="nil"/>
            </w:tcBorders>
            <w:tcMar>
              <w:top w:w="0" w:type="dxa"/>
              <w:left w:w="62" w:type="dxa"/>
              <w:bottom w:w="0" w:type="dxa"/>
              <w:right w:w="62" w:type="dxa"/>
            </w:tcMar>
            <w:vAlign w:val="bottom"/>
          </w:tcPr>
          <w:p w:rsidR="00000000" w:rsidP="00160F0D">
            <w:pPr>
              <w:pStyle w:val="BodyText"/>
              <w:rPr>
                <w:lang w:val="en-NZ"/>
              </w:rPr>
            </w:pPr>
            <w:r w:rsidRPr="00160F0D">
              <w:t>Solve problems in low voltage a.c. Circuits</w:t>
            </w:r>
          </w:p>
        </w:tc>
      </w:tr>
      <w:tr w:rsidTr="00732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UETTDREL11A</w:t>
            </w:r>
          </w:p>
        </w:tc>
        <w:tc>
          <w:tcPr>
            <w:tcW w:w="3960" w:type="dxa"/>
            <w:tcBorders>
              <w:top w:val="nil"/>
              <w:left w:val="nil"/>
              <w:bottom w:val="nil"/>
              <w:right w:val="nil"/>
            </w:tcBorders>
            <w:tcMar>
              <w:top w:w="0" w:type="dxa"/>
              <w:left w:w="62" w:type="dxa"/>
              <w:bottom w:w="0" w:type="dxa"/>
              <w:right w:w="62" w:type="dxa"/>
            </w:tcMar>
            <w:vAlign w:val="bottom"/>
          </w:tcPr>
          <w:p w:rsidR="00000000" w:rsidP="00160F0D">
            <w:pPr>
              <w:pStyle w:val="BodyText"/>
              <w:rPr>
                <w:lang w:val="en-NZ"/>
              </w:rPr>
            </w:pPr>
            <w:r w:rsidRPr="00160F0D">
              <w:t xml:space="preserve">Apply sustainable energy and environmental procedures </w:t>
            </w:r>
          </w:p>
        </w:tc>
      </w:tr>
      <w:tr w:rsidTr="00732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UETTDREL12A</w:t>
            </w:r>
          </w:p>
        </w:tc>
        <w:tc>
          <w:tcPr>
            <w:tcW w:w="3960" w:type="dxa"/>
            <w:tcBorders>
              <w:top w:val="nil"/>
              <w:left w:val="nil"/>
              <w:bottom w:val="nil"/>
              <w:right w:val="nil"/>
            </w:tcBorders>
            <w:tcMar>
              <w:top w:w="0" w:type="dxa"/>
              <w:left w:w="62" w:type="dxa"/>
              <w:bottom w:w="0" w:type="dxa"/>
              <w:right w:w="62" w:type="dxa"/>
            </w:tcMar>
            <w:vAlign w:val="bottom"/>
          </w:tcPr>
          <w:p w:rsidR="00000000" w:rsidP="00160F0D">
            <w:pPr>
              <w:pStyle w:val="BodyText"/>
              <w:rPr>
                <w:lang w:val="en-NZ"/>
              </w:rPr>
            </w:pPr>
            <w:r w:rsidRPr="00160F0D">
              <w:t xml:space="preserve">Operate plant and equipment near live electrical conductors and apparatus </w:t>
            </w:r>
          </w:p>
        </w:tc>
      </w:tr>
      <w:tr w:rsidTr="00732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UETTDREL16A</w:t>
            </w:r>
          </w:p>
        </w:tc>
        <w:tc>
          <w:tcPr>
            <w:tcW w:w="3960" w:type="dxa"/>
            <w:tcBorders>
              <w:top w:val="nil"/>
              <w:left w:val="nil"/>
              <w:bottom w:val="nil"/>
              <w:right w:val="nil"/>
            </w:tcBorders>
            <w:tcMar>
              <w:top w:w="0" w:type="dxa"/>
              <w:left w:w="62" w:type="dxa"/>
              <w:bottom w:w="0" w:type="dxa"/>
              <w:right w:w="62" w:type="dxa"/>
            </w:tcMar>
            <w:vAlign w:val="bottom"/>
          </w:tcPr>
          <w:p w:rsidR="00000000" w:rsidP="00160F0D">
            <w:pPr>
              <w:pStyle w:val="BodyText"/>
              <w:rPr>
                <w:lang w:val="en-NZ"/>
              </w:rPr>
            </w:pPr>
            <w:r w:rsidRPr="00160F0D">
              <w:t>Working safely near live electrical appa</w:t>
            </w:r>
            <w:r w:rsidRPr="00160F0D">
              <w:t xml:space="preserve">ratus </w:t>
            </w:r>
          </w:p>
        </w:tc>
      </w:tr>
      <w:tr w:rsidTr="00732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UETTDRIS52A</w:t>
            </w:r>
          </w:p>
        </w:tc>
        <w:tc>
          <w:tcPr>
            <w:tcW w:w="3960" w:type="dxa"/>
            <w:tcBorders>
              <w:top w:val="nil"/>
              <w:left w:val="nil"/>
              <w:bottom w:val="nil"/>
              <w:right w:val="nil"/>
            </w:tcBorders>
            <w:tcMar>
              <w:top w:w="0" w:type="dxa"/>
              <w:left w:w="62" w:type="dxa"/>
              <w:bottom w:w="0" w:type="dxa"/>
              <w:right w:w="62" w:type="dxa"/>
            </w:tcMar>
            <w:vAlign w:val="bottom"/>
          </w:tcPr>
          <w:p w:rsidR="00000000" w:rsidP="00160F0D">
            <w:pPr>
              <w:pStyle w:val="BodyText"/>
              <w:rPr>
                <w:lang w:val="en-NZ"/>
              </w:rPr>
            </w:pPr>
            <w:r w:rsidRPr="00160F0D">
              <w:t>Install and maintain poles, structures and associated hardware</w:t>
            </w:r>
          </w:p>
        </w:tc>
      </w:tr>
      <w:tr w:rsidTr="00732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UETTDRIS54A</w:t>
            </w:r>
          </w:p>
        </w:tc>
        <w:tc>
          <w:tcPr>
            <w:tcW w:w="3960" w:type="dxa"/>
            <w:tcBorders>
              <w:top w:val="nil"/>
              <w:left w:val="nil"/>
              <w:bottom w:val="nil"/>
              <w:right w:val="nil"/>
            </w:tcBorders>
            <w:tcMar>
              <w:top w:w="0" w:type="dxa"/>
              <w:left w:w="62" w:type="dxa"/>
              <w:bottom w:w="0" w:type="dxa"/>
              <w:right w:w="62" w:type="dxa"/>
            </w:tcMar>
            <w:vAlign w:val="bottom"/>
          </w:tcPr>
          <w:p w:rsidR="00000000" w:rsidP="00160F0D">
            <w:pPr>
              <w:pStyle w:val="BodyText"/>
              <w:rPr>
                <w:lang w:val="en-NZ"/>
              </w:rPr>
            </w:pPr>
            <w:r w:rsidRPr="00160F0D">
              <w:t xml:space="preserve">Install and maintain poles, structures, overhead conductors and cables </w:t>
            </w:r>
          </w:p>
        </w:tc>
      </w:tr>
      <w:tr w:rsidTr="00732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UETTDRRT21A</w:t>
            </w:r>
          </w:p>
        </w:tc>
        <w:tc>
          <w:tcPr>
            <w:tcW w:w="3960" w:type="dxa"/>
            <w:tcBorders>
              <w:top w:val="nil"/>
              <w:left w:val="nil"/>
              <w:bottom w:val="nil"/>
              <w:right w:val="nil"/>
            </w:tcBorders>
            <w:tcMar>
              <w:top w:w="0" w:type="dxa"/>
              <w:left w:w="62" w:type="dxa"/>
              <w:bottom w:w="0" w:type="dxa"/>
              <w:right w:w="62" w:type="dxa"/>
            </w:tcMar>
            <w:vAlign w:val="bottom"/>
          </w:tcPr>
          <w:p w:rsidR="00000000" w:rsidP="00160F0D">
            <w:pPr>
              <w:pStyle w:val="BodyText"/>
              <w:rPr>
                <w:lang w:val="en-NZ"/>
              </w:rPr>
            </w:pPr>
            <w:r w:rsidRPr="00160F0D">
              <w:t xml:space="preserve">Install traction overhead wiring systems </w:t>
            </w:r>
          </w:p>
        </w:tc>
      </w:tr>
      <w:tr w:rsidTr="00732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UETTDRRT22A</w:t>
            </w:r>
          </w:p>
        </w:tc>
        <w:tc>
          <w:tcPr>
            <w:tcW w:w="3960" w:type="dxa"/>
            <w:tcBorders>
              <w:top w:val="nil"/>
              <w:left w:val="nil"/>
              <w:bottom w:val="nil"/>
              <w:right w:val="nil"/>
            </w:tcBorders>
            <w:tcMar>
              <w:top w:w="0" w:type="dxa"/>
              <w:left w:w="62" w:type="dxa"/>
              <w:bottom w:w="0" w:type="dxa"/>
              <w:right w:w="62" w:type="dxa"/>
            </w:tcMar>
            <w:vAlign w:val="bottom"/>
          </w:tcPr>
          <w:p w:rsidR="00000000" w:rsidP="00160F0D">
            <w:pPr>
              <w:pStyle w:val="BodyText"/>
              <w:rPr>
                <w:lang w:val="en-NZ"/>
              </w:rPr>
            </w:pPr>
            <w:r w:rsidRPr="00160F0D">
              <w:t xml:space="preserve">Maintain traction overhead wiring systems </w:t>
            </w:r>
          </w:p>
        </w:tc>
      </w:tr>
      <w:tr w:rsidTr="00732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UETTDRRT27A</w:t>
            </w:r>
          </w:p>
        </w:tc>
        <w:tc>
          <w:tcPr>
            <w:tcW w:w="3960" w:type="dxa"/>
            <w:tcBorders>
              <w:top w:val="nil"/>
              <w:left w:val="nil"/>
              <w:bottom w:val="nil"/>
              <w:right w:val="nil"/>
            </w:tcBorders>
            <w:tcMar>
              <w:top w:w="0" w:type="dxa"/>
              <w:left w:w="62" w:type="dxa"/>
              <w:bottom w:w="0" w:type="dxa"/>
              <w:right w:w="62" w:type="dxa"/>
            </w:tcMar>
            <w:vAlign w:val="bottom"/>
          </w:tcPr>
          <w:p w:rsidR="00000000" w:rsidP="00160F0D">
            <w:pPr>
              <w:pStyle w:val="BodyText"/>
              <w:rPr>
                <w:lang w:val="en-NZ"/>
              </w:rPr>
            </w:pPr>
            <w:r w:rsidRPr="00160F0D">
              <w:t xml:space="preserve">Install overhead traction components and equipment </w:t>
            </w:r>
          </w:p>
        </w:tc>
      </w:tr>
      <w:tr w:rsidTr="00732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UETTDRRT28A</w:t>
            </w:r>
          </w:p>
        </w:tc>
        <w:tc>
          <w:tcPr>
            <w:tcW w:w="3960" w:type="dxa"/>
            <w:tcBorders>
              <w:top w:val="nil"/>
              <w:left w:val="nil"/>
              <w:bottom w:val="nil"/>
              <w:right w:val="nil"/>
            </w:tcBorders>
            <w:tcMar>
              <w:top w:w="0" w:type="dxa"/>
              <w:left w:w="62" w:type="dxa"/>
              <w:bottom w:w="0" w:type="dxa"/>
              <w:right w:w="62" w:type="dxa"/>
            </w:tcMar>
            <w:vAlign w:val="bottom"/>
          </w:tcPr>
          <w:p w:rsidR="00000000" w:rsidRPr="00160F0D" w:rsidP="00160F0D">
            <w:pPr>
              <w:pStyle w:val="BodyText"/>
            </w:pPr>
            <w:r w:rsidRPr="00160F0D">
              <w:t xml:space="preserve">Maintain overhead traction components and equipment </w:t>
            </w:r>
          </w:p>
        </w:tc>
      </w:tr>
    </w:tbl>
    <w:p w:rsidR="00000000" w:rsidRPr="00160F0D" w:rsidP="00160F0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328F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rPr>
                <w:rStyle w:val="SpecialBold"/>
              </w:rPr>
              <w:t xml:space="preserve">4.2) </w:t>
            </w:r>
          </w:p>
        </w:tc>
      </w:tr>
      <w:tr w:rsidTr="00732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Participants are best equipped to achieve this unit if they have reading, writing and numeracy skills indicated by the following scales. Description of each scale is given in Volume 2, Part 3 “Literacy and Numeracy”.</w:t>
            </w:r>
          </w:p>
        </w:tc>
      </w:tr>
      <w:tr w:rsidTr="00732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Reading</w:t>
            </w:r>
          </w:p>
        </w:tc>
        <w:tc>
          <w:tcPr>
            <w:tcW w:w="81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3</w:t>
            </w:r>
          </w:p>
        </w:tc>
        <w:tc>
          <w:tcPr>
            <w:tcW w:w="99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Writing</w:t>
            </w:r>
          </w:p>
        </w:tc>
        <w:tc>
          <w:tcPr>
            <w:tcW w:w="90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3</w:t>
            </w:r>
          </w:p>
        </w:tc>
        <w:tc>
          <w:tcPr>
            <w:tcW w:w="126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Numeracy</w:t>
            </w:r>
          </w:p>
        </w:tc>
        <w:tc>
          <w:tcPr>
            <w:tcW w:w="720" w:type="dxa"/>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t>3</w:t>
            </w:r>
          </w:p>
        </w:tc>
      </w:tr>
    </w:tbl>
    <w:p w:rsidR="00000000" w:rsidRPr="00160F0D" w:rsidP="00160F0D">
      <w:pPr>
        <w:pStyle w:val="BodyText"/>
      </w:pPr>
    </w:p>
    <w:p w:rsidR="00000000" w:rsidRPr="00160F0D" w:rsidP="00160F0D">
      <w:pPr>
        <w:pStyle w:val="AllowPageBreak"/>
      </w:pPr>
    </w:p>
    <w:p w:rsidR="00000000" w:rsidRPr="00160F0D" w:rsidP="00160F0D">
      <w:pPr>
        <w:pStyle w:val="Heading1"/>
      </w:pPr>
      <w:bookmarkStart w:id="6" w:name="O_465356"/>
      <w:bookmarkEnd w:id="6"/>
      <w:r w:rsidRPr="00160F0D">
        <w:t>Employability Skills Information</w:t>
      </w:r>
    </w:p>
    <w:tbl>
      <w:tblPr>
        <w:tblW w:w="0" w:type="auto"/>
        <w:tblLayout w:type="fixed"/>
        <w:tblCellMar>
          <w:left w:w="62" w:type="dxa"/>
          <w:right w:w="62" w:type="dxa"/>
        </w:tblCellMar>
        <w:tblLook w:val="0000"/>
      </w:tblPr>
      <w:tblGrid>
        <w:gridCol w:w="2700"/>
        <w:gridCol w:w="5760"/>
      </w:tblGrid>
      <w:tr w:rsidTr="007328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rPr>
                <w:rStyle w:val="SpecialBold"/>
              </w:rPr>
              <w:t xml:space="preserve">5) </w:t>
            </w:r>
          </w:p>
        </w:tc>
      </w:tr>
      <w:tr w:rsidTr="00732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t xml:space="preserve">The required outcomes described in this unit of competency contain applicable facets of Employability Skills. The Employability Skills Summary </w:t>
            </w:r>
            <w:r w:rsidRPr="00160F0D">
              <w:t>of the qualification in which this unit of competency is packaged will assist in identifying Employability Skill requirements.</w:t>
            </w:r>
          </w:p>
        </w:tc>
      </w:tr>
    </w:tbl>
    <w:p w:rsidR="00000000" w:rsidRPr="00160F0D" w:rsidP="00160F0D">
      <w:pPr>
        <w:pStyle w:val="BodyText"/>
      </w:pPr>
    </w:p>
    <w:p w:rsidR="00000000" w:rsidRPr="00160F0D" w:rsidP="00160F0D">
      <w:pPr>
        <w:pStyle w:val="AllowPageBreak"/>
      </w:pPr>
    </w:p>
    <w:p w:rsidR="00000000" w:rsidRPr="00160F0D" w:rsidP="00160F0D">
      <w:pPr>
        <w:pStyle w:val="Heading1"/>
      </w:pPr>
      <w:bookmarkStart w:id="7" w:name="O_465355"/>
      <w:bookmarkEnd w:id="7"/>
      <w:r w:rsidRPr="00160F0D">
        <w:t>Elements and Performance Criteria Pre-Content</w:t>
      </w:r>
    </w:p>
    <w:tbl>
      <w:tblPr>
        <w:tblW w:w="0" w:type="auto"/>
        <w:tblLayout w:type="fixed"/>
        <w:tblCellMar>
          <w:left w:w="62" w:type="dxa"/>
          <w:right w:w="62" w:type="dxa"/>
        </w:tblCellMar>
        <w:tblLook w:val="0000"/>
      </w:tblPr>
      <w:tblGrid>
        <w:gridCol w:w="2700"/>
        <w:gridCol w:w="5760"/>
      </w:tblGrid>
      <w:tr w:rsidTr="00732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rPr>
                <w:rStyle w:val="SpecialBold"/>
              </w:rPr>
              <w:t>6)</w:t>
            </w:r>
            <w:r w:rsidRPr="00160F0D">
              <w:t xml:space="preserve"> Elements describe the essential outcomes of a competency stan</w:t>
            </w:r>
            <w:r w:rsidRPr="00160F0D">
              <w:t>dard unit</w:t>
            </w:r>
          </w:p>
        </w:tc>
        <w:tc>
          <w:tcPr>
            <w:tcW w:w="5760" w:type="dxa"/>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t>Performance Criteria describe the required performance needed to demonstrate achievement of the element. Assessment of performance is to be consistent with the Evidence Guide.</w:t>
            </w:r>
          </w:p>
        </w:tc>
      </w:tr>
    </w:tbl>
    <w:p w:rsidR="00000000" w:rsidRPr="00160F0D" w:rsidP="00160F0D">
      <w:pPr>
        <w:pStyle w:val="BodyText"/>
      </w:pPr>
    </w:p>
    <w:p w:rsidR="00000000" w:rsidRPr="00160F0D" w:rsidP="00160F0D">
      <w:pPr>
        <w:pStyle w:val="AllowPageBreak"/>
      </w:pPr>
    </w:p>
    <w:p w:rsidR="00000000" w:rsidRPr="00160F0D" w:rsidP="00160F0D">
      <w:pPr>
        <w:pStyle w:val="Heading1"/>
      </w:pPr>
      <w:bookmarkStart w:id="8" w:name="O_465354"/>
      <w:bookmarkEnd w:id="8"/>
      <w:r w:rsidRPr="00160F0D">
        <w:t>Elements and Performance Criteria</w:t>
      </w:r>
    </w:p>
    <w:tbl>
      <w:tblPr>
        <w:tblW w:w="0" w:type="auto"/>
        <w:tblLayout w:type="fixed"/>
        <w:tblCellMar>
          <w:left w:w="62" w:type="dxa"/>
          <w:right w:w="62" w:type="dxa"/>
        </w:tblCellMar>
        <w:tblLook w:val="0000"/>
      </w:tblPr>
      <w:tblGrid>
        <w:gridCol w:w="404"/>
        <w:gridCol w:w="2296"/>
        <w:gridCol w:w="819"/>
        <w:gridCol w:w="4941"/>
      </w:tblGrid>
      <w:tr w:rsidTr="007328F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rPr>
                <w:rStyle w:val="SpecialBold"/>
              </w:rPr>
              <w:t>PERFORMANCE CRITERIA</w:t>
            </w:r>
          </w:p>
        </w:tc>
      </w:tr>
      <w:tr w:rsidTr="007328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1</w:t>
            </w:r>
          </w:p>
        </w:tc>
        <w:tc>
          <w:tcPr>
            <w:tcW w:w="2296"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Prepare for rail traction switching operations to a given schedule</w:t>
            </w:r>
          </w:p>
        </w:tc>
        <w:tc>
          <w:tcPr>
            <w:tcW w:w="819"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1.1</w:t>
            </w:r>
          </w:p>
        </w:tc>
        <w:tc>
          <w:tcPr>
            <w:tcW w:w="4941"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Works schedule(s), including drawings, plans, requirements, established procedures, and material lists, are received, analysed and confirmed, if necessary, by s</w:t>
            </w:r>
            <w:r w:rsidRPr="00160F0D">
              <w:t>ite inspection.</w:t>
            </w:r>
          </w:p>
        </w:tc>
      </w:tr>
      <w:tr w:rsidTr="007328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1.2</w:t>
            </w:r>
          </w:p>
        </w:tc>
        <w:tc>
          <w:tcPr>
            <w:tcW w:w="4941"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Relevant requirements and established procedures for the work are communicated to all personnel and identified for all work sites.</w:t>
            </w:r>
          </w:p>
        </w:tc>
      </w:tr>
      <w:tr w:rsidTr="007328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1.3</w:t>
            </w:r>
          </w:p>
        </w:tc>
        <w:tc>
          <w:tcPr>
            <w:tcW w:w="4941"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OHS policies and procedures related to requirements and established procedures for rail traction switching operations to a given schedule are obtained and confirmed for the purposes of the work to be performed and communicated.</w:t>
            </w:r>
          </w:p>
        </w:tc>
      </w:tr>
      <w:tr w:rsidTr="007328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1.4</w:t>
            </w:r>
          </w:p>
        </w:tc>
        <w:tc>
          <w:tcPr>
            <w:tcW w:w="4941"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Work is prioritised a</w:t>
            </w:r>
            <w:r w:rsidRPr="00160F0D">
              <w:t>nd sequenced following consultation with others for completion within acceptable timeframes and in accordance with established procedures.</w:t>
            </w:r>
          </w:p>
        </w:tc>
      </w:tr>
      <w:tr w:rsidTr="007328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1.5</w:t>
            </w:r>
          </w:p>
        </w:tc>
        <w:tc>
          <w:tcPr>
            <w:tcW w:w="4941"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Hazards are identified; OHS risks assessed and control measures are prioritised, implemented and monitored inc</w:t>
            </w:r>
            <w:r w:rsidRPr="00160F0D">
              <w:t>luding emergency exits kept clear according to established procedures.</w:t>
            </w:r>
          </w:p>
        </w:tc>
      </w:tr>
      <w:tr w:rsidTr="007328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1.6</w:t>
            </w:r>
          </w:p>
        </w:tc>
        <w:tc>
          <w:tcPr>
            <w:tcW w:w="4941"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Relevant work permits are obtained to access and perform work according to requirements and/or established procedures.</w:t>
            </w:r>
          </w:p>
        </w:tc>
      </w:tr>
      <w:tr w:rsidTr="007328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1.7</w:t>
            </w:r>
          </w:p>
        </w:tc>
        <w:tc>
          <w:tcPr>
            <w:tcW w:w="4941"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Resources including personnel, equipment, tools and personal protective equipment required for the job are obtained and confirmed in working order.</w:t>
            </w:r>
          </w:p>
        </w:tc>
      </w:tr>
      <w:tr w:rsidTr="007328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1.8</w:t>
            </w:r>
          </w:p>
        </w:tc>
        <w:tc>
          <w:tcPr>
            <w:tcW w:w="4941"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Relevant personnel at worksite are confirmed current in CPR, First Aid, and other rescue procedures a</w:t>
            </w:r>
            <w:r w:rsidRPr="00160F0D">
              <w:t>nd related work procedures according to requirements.</w:t>
            </w:r>
          </w:p>
        </w:tc>
      </w:tr>
      <w:tr w:rsidTr="007328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1.9</w:t>
            </w:r>
          </w:p>
        </w:tc>
        <w:tc>
          <w:tcPr>
            <w:tcW w:w="4941"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Liaison and communication issues with other authorised personnel, authorities, clients and land owners are resolved to carry out work where necessary.</w:t>
            </w:r>
          </w:p>
        </w:tc>
      </w:tr>
      <w:tr w:rsidTr="007328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1.10</w:t>
            </w:r>
          </w:p>
        </w:tc>
        <w:tc>
          <w:tcPr>
            <w:tcW w:w="4941"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Modifications to the scheduled which</w:t>
            </w:r>
            <w:r w:rsidRPr="00160F0D">
              <w:t xml:space="preserve"> may be required after assessing the worksite is communicated to appropriate personnel for formal approval.</w:t>
            </w:r>
          </w:p>
        </w:tc>
      </w:tr>
      <w:tr w:rsidTr="007328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1.11</w:t>
            </w:r>
          </w:p>
        </w:tc>
        <w:tc>
          <w:tcPr>
            <w:tcW w:w="4941"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Site is prepared according to the work schedule and to minimise risk and damage to property, commerce, and individuals in accordance with es</w:t>
            </w:r>
            <w:r w:rsidRPr="00160F0D">
              <w:t>tablished procedures.</w:t>
            </w:r>
          </w:p>
        </w:tc>
      </w:tr>
      <w:tr w:rsidTr="007328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1.12</w:t>
            </w:r>
          </w:p>
        </w:tc>
        <w:tc>
          <w:tcPr>
            <w:tcW w:w="4941"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Personnel participating in the work, including plant operators and contractors, are fully briefed and respective responsibilities confirmed where applicable in accordance with established procedures.</w:t>
            </w:r>
          </w:p>
        </w:tc>
      </w:tr>
      <w:tr w:rsidTr="007328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1.13</w:t>
            </w:r>
          </w:p>
        </w:tc>
        <w:tc>
          <w:tcPr>
            <w:tcW w:w="4941"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Safe working, road signs, barriers and warning devices are in place in accordance with requirements.</w:t>
            </w:r>
          </w:p>
        </w:tc>
      </w:tr>
      <w:tr w:rsidTr="007328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2</w:t>
            </w:r>
          </w:p>
        </w:tc>
        <w:tc>
          <w:tcPr>
            <w:tcW w:w="2296"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Carry out rail traction switching operations to a given schedule</w:t>
            </w:r>
          </w:p>
        </w:tc>
        <w:tc>
          <w:tcPr>
            <w:tcW w:w="819"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2.1</w:t>
            </w:r>
          </w:p>
        </w:tc>
        <w:tc>
          <w:tcPr>
            <w:tcW w:w="4941"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OHS principles and practices to reduce incidents and accidents are followed in acco</w:t>
            </w:r>
            <w:r w:rsidRPr="00160F0D">
              <w:t>rdance with requirements and/or established procedures.</w:t>
            </w:r>
          </w:p>
        </w:tc>
      </w:tr>
      <w:tr w:rsidTr="007328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2.2</w:t>
            </w:r>
          </w:p>
        </w:tc>
        <w:tc>
          <w:tcPr>
            <w:tcW w:w="4941"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Lifting, climbing, working aloft, and use of power tools/equipment, techniques and practices are safely followed and, currency according to requirements confirmed.</w:t>
            </w:r>
          </w:p>
        </w:tc>
      </w:tr>
      <w:tr w:rsidTr="007328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2.3</w:t>
            </w:r>
          </w:p>
        </w:tc>
        <w:tc>
          <w:tcPr>
            <w:tcW w:w="4941"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Essential knowledge and associated skills are applied in the safe switching of rail traction operations to ensure completion in an agreed timeframe and, to quality standards.</w:t>
            </w:r>
          </w:p>
        </w:tc>
      </w:tr>
      <w:tr w:rsidTr="007328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2.4</w:t>
            </w:r>
          </w:p>
        </w:tc>
        <w:tc>
          <w:tcPr>
            <w:tcW w:w="4941"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Communications with Switching Control Officer are established and maintain</w:t>
            </w:r>
            <w:r w:rsidRPr="00160F0D">
              <w:t>ed throughout the isolation operation according to established procedures.</w:t>
            </w:r>
          </w:p>
        </w:tc>
      </w:tr>
      <w:tr w:rsidTr="007328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2.5</w:t>
            </w:r>
          </w:p>
        </w:tc>
        <w:tc>
          <w:tcPr>
            <w:tcW w:w="4941"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Electrical equipment and associated circuits line/network or work site to be switched is isolated and proved de-energised using appropriate devices and earthed or rail connec</w:t>
            </w:r>
            <w:r w:rsidRPr="00160F0D">
              <w:t>ted where required according to requirements and established procedures.</w:t>
            </w:r>
          </w:p>
        </w:tc>
      </w:tr>
      <w:tr w:rsidTr="007328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2.6</w:t>
            </w:r>
          </w:p>
        </w:tc>
        <w:tc>
          <w:tcPr>
            <w:tcW w:w="4941"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Rail traction switching to a schedule is carried out, in accordance with requirements/established procedures.</w:t>
            </w:r>
          </w:p>
        </w:tc>
      </w:tr>
      <w:tr w:rsidTr="007328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2.7</w:t>
            </w:r>
          </w:p>
        </w:tc>
        <w:tc>
          <w:tcPr>
            <w:tcW w:w="4941"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Hazard warnings and safety signs are recognised and hazards</w:t>
            </w:r>
            <w:r w:rsidRPr="00160F0D">
              <w:t xml:space="preserve"> and assessed OHS risks are reported to the immediate authorised persons for directions according to established procedures.</w:t>
            </w:r>
          </w:p>
        </w:tc>
      </w:tr>
      <w:tr w:rsidTr="007328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2.8</w:t>
            </w:r>
          </w:p>
        </w:tc>
        <w:tc>
          <w:tcPr>
            <w:tcW w:w="4941"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Known solutions to a variety of problems are applied using acquired essential knowledge and associated skills.</w:t>
            </w:r>
          </w:p>
        </w:tc>
      </w:tr>
      <w:tr w:rsidTr="007328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2.9</w:t>
            </w:r>
          </w:p>
        </w:tc>
        <w:tc>
          <w:tcPr>
            <w:tcW w:w="4941"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Ongoing checks of quality of the work are undertaken in accordance with instructions and established procedures.</w:t>
            </w:r>
          </w:p>
        </w:tc>
      </w:tr>
      <w:tr w:rsidTr="007328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3</w:t>
            </w:r>
          </w:p>
        </w:tc>
        <w:tc>
          <w:tcPr>
            <w:tcW w:w="2296" w:type="dxa"/>
            <w:vMerge w:val="restart"/>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Complete the rail traction switching operations to a given schedule</w:t>
            </w:r>
          </w:p>
        </w:tc>
        <w:tc>
          <w:tcPr>
            <w:tcW w:w="819"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3.1</w:t>
            </w:r>
          </w:p>
        </w:tc>
        <w:tc>
          <w:tcPr>
            <w:tcW w:w="4941"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Work undertaken is checked against works schedule for conformance wi</w:t>
            </w:r>
            <w:r w:rsidRPr="00160F0D">
              <w:t>th requirements and anomalies reported in accordance with established procedures.</w:t>
            </w:r>
          </w:p>
        </w:tc>
      </w:tr>
      <w:tr w:rsidTr="007328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3.2</w:t>
            </w:r>
          </w:p>
        </w:tc>
        <w:tc>
          <w:tcPr>
            <w:tcW w:w="4941"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Accidents and/or injuries are reported in accordance with requirements/established procedures, where applicable.</w:t>
            </w:r>
          </w:p>
        </w:tc>
      </w:tr>
      <w:tr w:rsidTr="007328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3.3</w:t>
            </w:r>
          </w:p>
        </w:tc>
        <w:tc>
          <w:tcPr>
            <w:tcW w:w="4941"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Work site is rehabilitated, cleaned up and made safe in accordance with established procedures.</w:t>
            </w:r>
          </w:p>
        </w:tc>
      </w:tr>
      <w:tr w:rsidTr="007328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3.4</w:t>
            </w:r>
          </w:p>
        </w:tc>
        <w:tc>
          <w:tcPr>
            <w:tcW w:w="4941"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 xml:space="preserve">Tools, equipment and any surplus resources and materials are, where appropriate, cleaned, checked and returned to storage in accordance with </w:t>
            </w:r>
            <w:r w:rsidRPr="00160F0D">
              <w:t>established procedures.</w:t>
            </w:r>
          </w:p>
        </w:tc>
      </w:tr>
      <w:tr w:rsidTr="007328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3.5</w:t>
            </w:r>
          </w:p>
        </w:tc>
        <w:tc>
          <w:tcPr>
            <w:tcW w:w="4941"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Relevant work permit(s) are signed off, safety devices are removed, and the system is made ready to be re-energised and returned to service in accordance with requirements/established procedures.</w:t>
            </w:r>
          </w:p>
        </w:tc>
      </w:tr>
      <w:tr w:rsidTr="007328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t>3.6</w:t>
            </w:r>
          </w:p>
        </w:tc>
        <w:tc>
          <w:tcPr>
            <w:tcW w:w="4941" w:type="dxa"/>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t>Works completion recor</w:t>
            </w:r>
            <w:r w:rsidRPr="00160F0D">
              <w:t>ds, reports, as installed /modified drawing and/or documentation and information are finalised and processed and appropriate personnel and authority notified.</w:t>
            </w:r>
          </w:p>
        </w:tc>
      </w:tr>
    </w:tbl>
    <w:p w:rsidR="00000000" w:rsidRPr="00160F0D" w:rsidP="00160F0D">
      <w:pPr>
        <w:pStyle w:val="BodyText"/>
      </w:pPr>
    </w:p>
    <w:p w:rsidR="00000000" w:rsidRPr="00160F0D" w:rsidP="00160F0D">
      <w:pPr>
        <w:pStyle w:val="AllowPageBreak"/>
      </w:pPr>
    </w:p>
    <w:p w:rsidR="00000000" w:rsidRPr="00160F0D" w:rsidP="00160F0D">
      <w:pPr>
        <w:pStyle w:val="Heading1"/>
      </w:pPr>
      <w:bookmarkStart w:id="9" w:name="O_465362"/>
      <w:bookmarkEnd w:id="9"/>
      <w:r w:rsidRPr="00160F0D">
        <w:t>Required Skills and Knowledge</w:t>
      </w:r>
    </w:p>
    <w:tbl>
      <w:tblPr>
        <w:tblW w:w="0" w:type="auto"/>
        <w:tblLayout w:type="fixed"/>
        <w:tblCellMar>
          <w:left w:w="62" w:type="dxa"/>
          <w:right w:w="62" w:type="dxa"/>
        </w:tblCellMar>
        <w:tblLook w:val="0000"/>
      </w:tblPr>
      <w:tblGrid>
        <w:gridCol w:w="8460"/>
      </w:tblGrid>
      <w:tr w:rsidTr="007328F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rPr>
                <w:rStyle w:val="SpecialBold"/>
              </w:rPr>
              <w:t>REQUIRED SKILLS AND KNOWLEDGE</w:t>
            </w:r>
          </w:p>
        </w:tc>
      </w:tr>
      <w:tr w:rsidTr="007328F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rPr>
                <w:rStyle w:val="SpecialBold"/>
              </w:rPr>
              <w:t>8)</w:t>
            </w:r>
            <w:r w:rsidRPr="00160F0D">
              <w:t xml:space="preserve"> Essential Knowledge and Associated Skills (EKAS): This describes the essential skills and knowledge and their level, required for this unit.</w:t>
            </w:r>
          </w:p>
          <w:p w:rsidR="00000000" w:rsidRPr="00160F0D" w:rsidP="00160F0D">
            <w:pPr>
              <w:pStyle w:val="BodyText"/>
            </w:pPr>
            <w:r w:rsidRPr="00160F0D">
              <w:t>Evidence shall show that knowledge of performing rail traction switching operations to a given schedule has been a</w:t>
            </w:r>
            <w:r w:rsidRPr="00160F0D">
              <w:t>cquired.</w:t>
            </w:r>
          </w:p>
          <w:p w:rsidR="00000000" w:rsidRPr="00160F0D" w:rsidP="00160F0D">
            <w:pPr>
              <w:pStyle w:val="BodyText"/>
            </w:pPr>
            <w:r w:rsidRPr="00160F0D">
              <w:t>All knowledge and skills detailed in this unit should be contextualised to current industry practices and technologies.</w:t>
            </w:r>
          </w:p>
          <w:p w:rsidR="00000000" w:rsidRPr="00160F0D" w:rsidP="00160F0D">
            <w:pPr>
              <w:pStyle w:val="BodyText"/>
            </w:pPr>
            <w:r w:rsidRPr="00160F0D">
              <w:t xml:space="preserve">KS01-TRT30A </w:t>
            </w:r>
            <w:r w:rsidRPr="00160F0D">
              <w:tab/>
              <w:t>Rail traction switching</w:t>
            </w:r>
          </w:p>
          <w:p w:rsidR="00000000" w:rsidRPr="00160F0D" w:rsidP="00160F0D">
            <w:pPr>
              <w:pStyle w:val="BodyText"/>
            </w:pPr>
            <w:r w:rsidRPr="00160F0D">
              <w:t>Evidence shall show an understanding of rail traction switching operations to an extent in</w:t>
            </w:r>
            <w:r w:rsidRPr="00160F0D">
              <w:t>dicated by the following aspects:</w:t>
            </w:r>
          </w:p>
          <w:p w:rsidR="00000000" w:rsidRPr="00160F0D" w:rsidP="00160F0D">
            <w:pPr>
              <w:pStyle w:val="BodyText"/>
            </w:pPr>
            <w:r w:rsidRPr="00160F0D">
              <w:t>T1</w:t>
            </w:r>
            <w:r w:rsidRPr="00160F0D">
              <w:tab/>
              <w:t>Installation of overhead distribution conductors encompassing:</w:t>
            </w:r>
          </w:p>
          <w:p w:rsidR="00000000" w:rsidRPr="00160F0D" w:rsidP="00160F0D">
            <w:pPr>
              <w:pStyle w:val="ListBullet"/>
            </w:pPr>
            <w:r w:rsidRPr="00160F0D">
              <w:t>Standards, codes, legislation, supply authority regulations and or enterprise requirements applicable to installing conductors and associated equipment</w:t>
            </w:r>
          </w:p>
          <w:p w:rsidR="00000000" w:rsidRPr="00160F0D" w:rsidP="00160F0D">
            <w:pPr>
              <w:pStyle w:val="ListBullet"/>
            </w:pPr>
            <w:r w:rsidRPr="00160F0D">
              <w:t>Req</w:t>
            </w:r>
            <w:r w:rsidRPr="00160F0D">
              <w:t>uirements for the use of overhead line construction manuals, system diagrams/plans and drawings - material lists, conductor size, type and route length.</w:t>
            </w:r>
          </w:p>
          <w:p w:rsidR="00000000" w:rsidRPr="00160F0D" w:rsidP="00160F0D">
            <w:pPr>
              <w:pStyle w:val="ListBullet"/>
            </w:pPr>
            <w:r w:rsidRPr="00160F0D">
              <w:t>Constructions types and structures for distribution and sub transmission lines</w:t>
            </w:r>
          </w:p>
          <w:p w:rsidR="00000000" w:rsidRPr="00160F0D" w:rsidP="00160F0D">
            <w:pPr>
              <w:pStyle w:val="ListBullet"/>
            </w:pPr>
            <w:r w:rsidRPr="00160F0D">
              <w:t>Types, sizes and charact</w:t>
            </w:r>
            <w:r w:rsidRPr="00160F0D">
              <w:t>erises of overhead conductors</w:t>
            </w:r>
          </w:p>
          <w:p w:rsidR="00000000" w:rsidRPr="00160F0D" w:rsidP="00160F0D">
            <w:pPr>
              <w:pStyle w:val="ListBullet"/>
            </w:pPr>
            <w:r w:rsidRPr="00160F0D">
              <w:t>Resources for the stringing and maintenance of conductors - types of low and high voltage overhead electrical conductor connections, causes and effects of poor electrical connections, reasons for and methods used to maintain s</w:t>
            </w:r>
            <w:r w:rsidRPr="00160F0D">
              <w:t>tandard phase sequencing, removing, repairing and replacing of damage conductors, minimum clearances between overhead conductors and low and high voltage structures.</w:t>
            </w:r>
          </w:p>
          <w:p w:rsidR="00000000" w:rsidRPr="00160F0D" w:rsidP="00160F0D">
            <w:pPr>
              <w:pStyle w:val="ListBullet"/>
            </w:pPr>
            <w:r w:rsidRPr="00160F0D">
              <w:t>Techniques for conductor installation - types and application of tools, equipment and hard</w:t>
            </w:r>
            <w:r w:rsidRPr="00160F0D">
              <w:t>ware</w:t>
            </w:r>
          </w:p>
          <w:p w:rsidR="00000000" w:rsidRPr="00160F0D" w:rsidP="00160F0D">
            <w:pPr>
              <w:pStyle w:val="ListBullet"/>
            </w:pPr>
            <w:r w:rsidRPr="00160F0D">
              <w:t>Methods of stringing, tensioning and termination of low and high voltage conductors</w:t>
            </w:r>
          </w:p>
          <w:p w:rsidR="00000000" w:rsidRPr="00160F0D" w:rsidP="00160F0D">
            <w:pPr>
              <w:pStyle w:val="BodyText"/>
            </w:pPr>
            <w:r w:rsidRPr="00160F0D">
              <w:t>T2</w:t>
            </w:r>
            <w:r w:rsidRPr="00160F0D">
              <w:tab/>
              <w:t>Safe working practices and procedures for the installation of overhead distribution conductors encompassing:</w:t>
            </w:r>
          </w:p>
          <w:p w:rsidR="00000000" w:rsidRPr="00160F0D" w:rsidP="00160F0D">
            <w:pPr>
              <w:pStyle w:val="ListBullet"/>
            </w:pPr>
            <w:r w:rsidRPr="00160F0D">
              <w:t>Limits of approach for personnel, vehicles, mobile pla</w:t>
            </w:r>
            <w:r w:rsidRPr="00160F0D">
              <w:t>nt and elevating work platforms (EWP)</w:t>
            </w:r>
          </w:p>
          <w:p w:rsidR="00000000" w:rsidRPr="00160F0D" w:rsidP="00160F0D">
            <w:pPr>
              <w:pStyle w:val="ListBullet"/>
            </w:pPr>
            <w:r w:rsidRPr="00160F0D">
              <w:t>Requirements of persons prior to making bare hand contact with dead low voltage mains and apparatus</w:t>
            </w:r>
          </w:p>
          <w:p w:rsidR="00000000" w:rsidRPr="00160F0D" w:rsidP="00160F0D">
            <w:pPr>
              <w:pStyle w:val="ListBullet"/>
            </w:pPr>
            <w:r w:rsidRPr="00160F0D">
              <w:t>Requirements of relevant electrical access permits necessary to allow work to be performed on low and high voltage apparatus</w:t>
            </w:r>
          </w:p>
          <w:p w:rsidR="00000000" w:rsidRPr="00160F0D" w:rsidP="00160F0D">
            <w:pPr>
              <w:pStyle w:val="ListBullet"/>
            </w:pPr>
            <w:r w:rsidRPr="00160F0D">
              <w:t xml:space="preserve">Safe working practices - requirements to enable safe working on conductive poles, procedure to attach an “on-site” earthing device </w:t>
            </w:r>
            <w:r w:rsidRPr="00160F0D">
              <w:t>to de-energised low and high voltage overhead circuit</w:t>
            </w:r>
          </w:p>
          <w:p w:rsidR="00000000" w:rsidRPr="00160F0D" w:rsidP="00160F0D">
            <w:pPr>
              <w:pStyle w:val="BodyText"/>
            </w:pPr>
            <w:r w:rsidRPr="00160F0D">
              <w:t>T3</w:t>
            </w:r>
            <w:r w:rsidRPr="00160F0D">
              <w:tab/>
              <w:t>Installation of switchgear and associated equipment encompassing:</w:t>
            </w:r>
          </w:p>
          <w:p w:rsidR="00000000" w:rsidRPr="00160F0D" w:rsidP="00160F0D">
            <w:pPr>
              <w:pStyle w:val="ListBullet"/>
            </w:pPr>
            <w:r w:rsidRPr="00160F0D">
              <w:t>Types and function of various switchgear - isolators, air-break switches, gas-filled switches, vacuum type, links, fuses, oil discon</w:t>
            </w:r>
            <w:r w:rsidRPr="00160F0D">
              <w:t>nectors, fuse switches, circuit breakers, operating characteristics, advantages and disadvantages of different types switchgear, installation procedures, earthing, requirements and techniques</w:t>
            </w:r>
          </w:p>
          <w:p w:rsidR="00000000" w:rsidRPr="00160F0D" w:rsidP="00160F0D">
            <w:pPr>
              <w:pStyle w:val="ListBullet"/>
            </w:pPr>
            <w:r w:rsidRPr="00160F0D">
              <w:t>Types of equipment - transformers, reactors, regulators, capacit</w:t>
            </w:r>
            <w:r w:rsidRPr="00160F0D">
              <w:t>ors, relays, surge arrestors, fault indicators and mobile generators</w:t>
            </w:r>
          </w:p>
          <w:p w:rsidR="00000000" w:rsidRPr="00160F0D" w:rsidP="00160F0D">
            <w:pPr>
              <w:pStyle w:val="ListBullet"/>
            </w:pPr>
            <w:r w:rsidRPr="00160F0D">
              <w:t>Installation procedures for switchgear and equipment - standards, codes, legislation, supply authority regulations and or enterprise requirements, assembly and erecting procedures, earthi</w:t>
            </w:r>
            <w:r w:rsidRPr="00160F0D">
              <w:t>ng requirements and techniques, pole mounted locations</w:t>
            </w:r>
          </w:p>
          <w:p w:rsidR="00000000" w:rsidRPr="00160F0D" w:rsidP="00160F0D">
            <w:pPr>
              <w:pStyle w:val="ListBullet"/>
            </w:pPr>
            <w:r w:rsidRPr="00160F0D">
              <w:t xml:space="preserve">Maintenance procedures for switchgear and equipment - diagnosing and rectifying faults according to electricity supply industry standards and procedures, </w:t>
            </w:r>
          </w:p>
          <w:p w:rsidR="00000000" w:rsidRPr="00160F0D" w:rsidP="00160F0D">
            <w:pPr>
              <w:pStyle w:val="ListBullet"/>
            </w:pPr>
            <w:r w:rsidRPr="00160F0D">
              <w:t>Testing and commissioning - electricity supply</w:t>
            </w:r>
            <w:r w:rsidRPr="00160F0D">
              <w:t xml:space="preserve"> industry standards and procedures.</w:t>
            </w:r>
          </w:p>
          <w:p w:rsidR="00000000" w:rsidRPr="00160F0D" w:rsidP="00160F0D">
            <w:pPr>
              <w:pStyle w:val="BodyText"/>
            </w:pPr>
            <w:r w:rsidRPr="00160F0D">
              <w:t>T4</w:t>
            </w:r>
            <w:r w:rsidRPr="00160F0D">
              <w:tab/>
              <w:t>Low voltage switching principles encompassing:</w:t>
            </w:r>
          </w:p>
          <w:p w:rsidR="00000000" w:rsidRPr="00160F0D" w:rsidP="00160F0D">
            <w:pPr>
              <w:pStyle w:val="ListBullet"/>
            </w:pPr>
            <w:r w:rsidRPr="00160F0D">
              <w:t>Standards, codes, legislation, supply authority regulations and or enterprise requirements applicable to switching of low voltage to a given schedule</w:t>
            </w:r>
          </w:p>
          <w:p w:rsidR="00000000" w:rsidRPr="00160F0D" w:rsidP="00160F0D">
            <w:pPr>
              <w:pStyle w:val="ListBullet"/>
            </w:pPr>
            <w:r w:rsidRPr="00160F0D">
              <w:t>Requirements for th</w:t>
            </w:r>
            <w:r w:rsidRPr="00160F0D">
              <w:t>e use of manuals, system diagrams/plans and drawings - types, characteristics and capabilities of electrical apparatus, use, characteristics and capabilities of specialised tools and testing equipment, LV network interconnectors source of possible backfeed</w:t>
            </w:r>
          </w:p>
          <w:p w:rsidR="00000000" w:rsidRPr="00160F0D" w:rsidP="00160F0D">
            <w:pPr>
              <w:pStyle w:val="ListBullet"/>
            </w:pPr>
            <w:r w:rsidRPr="00160F0D">
              <w:t>Low voltage switching techniques - identifying hazards, assessing and controlling risks associated with LV switching operations, electrical access permit(s), operational procedures, earthing procedures</w:t>
            </w:r>
          </w:p>
          <w:p w:rsidR="00000000" w:rsidRPr="00160F0D" w:rsidP="00160F0D">
            <w:pPr>
              <w:pStyle w:val="ListBullet"/>
            </w:pPr>
            <w:r w:rsidRPr="00160F0D">
              <w:t>Personnel protective equipment (PPE) for LV switching</w:t>
            </w:r>
          </w:p>
        </w:tc>
      </w:tr>
    </w:tbl>
    <w:p w:rsidR="00000000" w:rsidRPr="00160F0D" w:rsidP="00160F0D">
      <w:pPr>
        <w:pStyle w:val="BodyText"/>
      </w:pPr>
    </w:p>
    <w:p w:rsidR="00000000" w:rsidRPr="00160F0D" w:rsidP="00160F0D">
      <w:pPr>
        <w:pStyle w:val="AllowPageBreak"/>
      </w:pPr>
    </w:p>
    <w:p w:rsidR="00000000" w:rsidRPr="00160F0D" w:rsidP="00160F0D">
      <w:pPr>
        <w:pStyle w:val="Heading1"/>
      </w:pPr>
      <w:bookmarkStart w:id="10" w:name="O_465357"/>
      <w:bookmarkEnd w:id="10"/>
      <w:r w:rsidRPr="00160F0D">
        <w:t>Evidence Guide</w:t>
      </w:r>
    </w:p>
    <w:tbl>
      <w:tblPr>
        <w:tblW w:w="0" w:type="auto"/>
        <w:tblLayout w:type="fixed"/>
        <w:tblCellMar>
          <w:left w:w="62" w:type="dxa"/>
          <w:right w:w="62" w:type="dxa"/>
        </w:tblCellMar>
        <w:tblLook w:val="0000"/>
      </w:tblPr>
      <w:tblGrid>
        <w:gridCol w:w="8460"/>
      </w:tblGrid>
      <w:tr w:rsidTr="007328F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rPr>
                <w:rStyle w:val="SpecialBold"/>
              </w:rPr>
              <w:t>EVIDENCE GUIDE</w:t>
            </w:r>
          </w:p>
        </w:tc>
      </w:tr>
      <w:tr w:rsidTr="007328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rPr>
                <w:rStyle w:val="SpecialBold"/>
              </w:rPr>
              <w:t>9)</w:t>
            </w:r>
            <w:r w:rsidRPr="00160F0D">
              <w:t xml:space="preserve"> This provides essential advice for assessment of the competency standard unit and must be read </w:t>
            </w:r>
            <w:r w:rsidRPr="00160F0D">
              <w:t>in conjunction with the Performance Criteria and the range statement of the competency standard unit and the Training Package Assessment Guidelines.</w:t>
            </w:r>
          </w:p>
          <w:p w:rsidR="00000000" w:rsidRPr="00160F0D" w:rsidP="00160F0D">
            <w:pPr>
              <w:pStyle w:val="BodyText"/>
            </w:pPr>
            <w:r w:rsidRPr="00160F0D">
              <w:t>The Evidence Guide forms an integral part of this Competency Standard Unit and shall be used in conjunction</w:t>
            </w:r>
            <w:r w:rsidRPr="00160F0D">
              <w:t xml:space="preserve"> with all component parts of this unit and, performed in accordance with the Assessment Guidelines of this Training Package.</w:t>
            </w:r>
          </w:p>
        </w:tc>
      </w:tr>
    </w:tbl>
    <w:p w:rsidR="00000000" w:rsidRPr="00160F0D" w:rsidP="00160F0D">
      <w:pPr>
        <w:pStyle w:val="BodyText"/>
      </w:pPr>
    </w:p>
    <w:tbl>
      <w:tblPr>
        <w:tblW w:w="0" w:type="auto"/>
        <w:tblLayout w:type="fixed"/>
        <w:tblCellMar>
          <w:left w:w="62" w:type="dxa"/>
          <w:right w:w="62" w:type="dxa"/>
        </w:tblCellMar>
        <w:tblLook w:val="0000"/>
      </w:tblPr>
      <w:tblGrid>
        <w:gridCol w:w="1890"/>
        <w:gridCol w:w="6570"/>
      </w:tblGrid>
      <w:tr w:rsidTr="007328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rPr>
                <w:rStyle w:val="SpecialBold"/>
              </w:rPr>
              <w:t>9.1)</w:t>
            </w:r>
          </w:p>
        </w:tc>
      </w:tr>
      <w:tr w:rsidTr="007328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t>Longitudinal competency development approa</w:t>
            </w:r>
            <w:r w:rsidRPr="00160F0D">
              <w:t>ches to assessment, such as Profiling, require data to be reliably gathered in a form that can be consistently interpreted over time. This approach is best utilised in Apprenticeship programs and reduces assessment intervention. It is the Industry’s prefer</w:t>
            </w:r>
            <w:r w:rsidRPr="00160F0D">
              <w:t>red model for apprenticeships. However, where summative (or final) assessment is used it is to include the application of the competency in the normal work environment or, at a minimum, the application of the competency in a realistically simulated work en</w:t>
            </w:r>
            <w:r w:rsidRPr="00160F0D">
              <w:t>vironment. It is recognised that, in some circumstances, assessment in part or full can occur outside the workplace. However, it must be in accord with Industry and, Regulatory policy in this regard.</w:t>
            </w:r>
          </w:p>
          <w:p w:rsidR="00000000" w:rsidRPr="00160F0D" w:rsidP="00160F0D">
            <w:pPr>
              <w:pStyle w:val="BodyText"/>
            </w:pPr>
            <w:r w:rsidRPr="00160F0D">
              <w:t>Methods chosen for a particular assessment will be influ</w:t>
            </w:r>
            <w:r w:rsidRPr="00160F0D">
              <w:t>enced by various factors. These include the extent of the assessment, the most effective locations for the assessment activities to take place, access to physical resources, additional safety measures that may be required and the critical nature of the com</w:t>
            </w:r>
            <w:r w:rsidRPr="00160F0D">
              <w:t>petencies being assessed.</w:t>
            </w:r>
          </w:p>
          <w:p w:rsidR="00000000" w:rsidRPr="00160F0D" w:rsidP="00160F0D">
            <w:pPr>
              <w:pStyle w:val="BodyText"/>
            </w:pPr>
            <w:r w:rsidRPr="00160F0D">
              <w:t>The critical safety nature of working with electricity, electrical equipment, gas or any other hazardous substance/material carries risk in deeming a person competent. Hence, sources of evidence need to be ‘rich’ in nature so as t</w:t>
            </w:r>
            <w:r w:rsidRPr="00160F0D">
              <w:t>o minimise error in judgment.</w:t>
            </w:r>
          </w:p>
          <w:p w:rsidR="00000000" w:rsidRPr="00160F0D" w:rsidP="00160F0D">
            <w:pPr>
              <w:pStyle w:val="BodyText"/>
            </w:pPr>
            <w:r w:rsidRPr="00160F0D">
              <w:t>Activities associated with normal every day work have a bearing on the decision as to how much and how detailed the data gathered will contribute to its ‘richness’. Some skills are more critical to safety and operational requi</w:t>
            </w:r>
            <w:r w:rsidRPr="00160F0D">
              <w:t>rements while the same skills may be more or less frequently practiced. These points are raised for the assessors to consider when choosing an assessment method and developing assessment instruments. Sample assessment instruments are included for Assessors</w:t>
            </w:r>
            <w:r w:rsidRPr="00160F0D">
              <w:t xml:space="preserve"> in the Assessment Guidelines of this Training Package.</w:t>
            </w:r>
          </w:p>
        </w:tc>
      </w:tr>
    </w:tbl>
    <w:p w:rsidR="00000000" w:rsidRPr="00160F0D" w:rsidP="00160F0D">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7328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rPr>
                <w:rStyle w:val="SpecialBold"/>
              </w:rPr>
              <w:t>9.2)</w:t>
            </w:r>
          </w:p>
        </w:tc>
      </w:tr>
      <w:tr w:rsidTr="007328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t>Before the critical aspects of evidence are considered all prerequisites shall be met.</w:t>
            </w:r>
          </w:p>
          <w:p w:rsidR="00000000" w:rsidRPr="00160F0D" w:rsidP="00160F0D">
            <w:pPr>
              <w:pStyle w:val="BodyText"/>
            </w:pPr>
            <w:r w:rsidRPr="00160F0D">
              <w:t>Evidence for competence in this unit shall be considered holistically. Each element and associated Performance Criteria shall be demonstrated on at least two occasions in accordance with the “Assessment Guidelines – UET12”. Evidence shall also comprise:</w:t>
            </w:r>
          </w:p>
          <w:p w:rsidR="00000000" w:rsidRPr="00160F0D" w:rsidP="00160F0D">
            <w:pPr>
              <w:pStyle w:val="ListBullet"/>
            </w:pPr>
            <w:r w:rsidRPr="00160F0D">
              <w:t>A</w:t>
            </w:r>
            <w:r w:rsidRPr="00160F0D">
              <w:t xml:space="preserve"> representative body of Performance Criteria demonstrated within the timeframes typically expected of the discipline, work function and industrial environment. In particular this shall incorporate evidence that shows a candidate is able to:</w:t>
            </w:r>
          </w:p>
          <w:p w:rsidR="00000000" w:rsidRPr="00160F0D" w:rsidP="00160F0D">
            <w:pPr>
              <w:pStyle w:val="ListBullet2"/>
            </w:pPr>
            <w:r w:rsidRPr="00160F0D">
              <w:t>Implement Occu</w:t>
            </w:r>
            <w:r w:rsidRPr="00160F0D">
              <w:t>pational Health and Safety workplace procedures and practices including the use of risk control measures as specified in the Performance Criteria and range; and</w:t>
            </w:r>
          </w:p>
          <w:p w:rsidR="00000000" w:rsidRPr="00160F0D" w:rsidP="00160F0D">
            <w:pPr>
              <w:pStyle w:val="ListBullet2"/>
            </w:pPr>
            <w:r w:rsidRPr="00160F0D">
              <w:t xml:space="preserve">Apply sustainable energy principles and practices as specified in the Performance Criteria and </w:t>
            </w:r>
            <w:r w:rsidRPr="00160F0D">
              <w:t>range; and</w:t>
            </w:r>
          </w:p>
          <w:p w:rsidR="00000000" w:rsidRPr="00160F0D" w:rsidP="00160F0D">
            <w:pPr>
              <w:pStyle w:val="ListBullet2"/>
            </w:pPr>
            <w:r w:rsidRPr="00160F0D">
              <w:t>Demonstrate an understanding of the essential knowledge and associated skills as described in this unit to such an extent that the learner’s performance outcome is reported in accordance with the preferred approach; namely a percentile graded re</w:t>
            </w:r>
            <w:r w:rsidRPr="00160F0D">
              <w:t>sult, where required by the regulated environment; and</w:t>
            </w:r>
          </w:p>
          <w:p w:rsidR="00000000" w:rsidRPr="00160F0D" w:rsidP="00160F0D">
            <w:pPr>
              <w:pStyle w:val="ListBullet2"/>
            </w:pPr>
            <w:r w:rsidRPr="00160F0D">
              <w:t>Demonstrate an appropriate level of employability skills; and</w:t>
            </w:r>
          </w:p>
          <w:p w:rsidR="00000000" w:rsidRPr="00160F0D" w:rsidP="00160F0D">
            <w:pPr>
              <w:pStyle w:val="ListBullet"/>
            </w:pPr>
            <w:r w:rsidRPr="00160F0D">
              <w:t>Conduct work observing the relevant Anti Discrimination legislation, regulations, policies and workplace procedures; and</w:t>
            </w:r>
          </w:p>
          <w:p w:rsidR="00000000" w:rsidP="00160F0D">
            <w:pPr>
              <w:pStyle w:val="ListBullet2"/>
              <w:rPr>
                <w:lang w:val="en-NZ"/>
              </w:rPr>
            </w:pPr>
            <w:r w:rsidRPr="00160F0D">
              <w:t>Demonstrated per</w:t>
            </w:r>
            <w:r w:rsidRPr="00160F0D">
              <w:t>formance across a representative range of contexts from the prescribed items below:</w:t>
            </w:r>
          </w:p>
        </w:tc>
      </w:tr>
      <w:tr w:rsidTr="007328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60F0D">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F0D">
            <w:pPr>
              <w:pStyle w:val="BodyText"/>
              <w:rPr>
                <w:lang w:val="en-NZ"/>
              </w:rPr>
            </w:pPr>
            <w:r w:rsidRPr="00160F0D">
              <w:rPr>
                <w:rStyle w:val="SpecialBold"/>
              </w:rPr>
              <w:t>Range of tools/equipment/materials/procedures/workplaces/other variables</w:t>
            </w:r>
          </w:p>
        </w:tc>
      </w:tr>
      <w:tr w:rsidTr="007328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60F0D">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F0D" w:rsidP="00160F0D">
            <w:pPr>
              <w:pStyle w:val="BodyText"/>
            </w:pPr>
            <w:r w:rsidRPr="00160F0D">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F0D" w:rsidP="00160F0D">
            <w:pPr>
              <w:pStyle w:val="BodyText"/>
            </w:pPr>
            <w:r w:rsidRPr="00160F0D">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F0D">
            <w:pPr>
              <w:pStyle w:val="BodyText"/>
              <w:rPr>
                <w:lang w:val="en-NZ"/>
              </w:rPr>
            </w:pPr>
            <w:r w:rsidRPr="00160F0D">
              <w:rPr>
                <w:rStyle w:val="SpecialBold"/>
              </w:rPr>
              <w:t>Item List</w:t>
            </w:r>
          </w:p>
        </w:tc>
      </w:tr>
      <w:tr w:rsidTr="007328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F0D">
            <w:pPr>
              <w:pStyle w:val="BodyText"/>
              <w:rPr>
                <w:lang w:val="en-NZ"/>
              </w:rPr>
            </w:pPr>
            <w:r w:rsidRPr="00160F0D">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F0D">
            <w:pPr>
              <w:pStyle w:val="BodyText"/>
              <w:rPr>
                <w:lang w:val="en-NZ"/>
              </w:rPr>
            </w:pPr>
            <w:r w:rsidRPr="00160F0D">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F0D" w:rsidP="00160F0D">
            <w:pPr>
              <w:pStyle w:val="BodyText"/>
            </w:pPr>
            <w:r w:rsidRPr="00160F0D">
              <w:t xml:space="preserve">Approvals/clearances, </w:t>
            </w:r>
          </w:p>
          <w:p w:rsidR="00000000" w:rsidP="00160F0D">
            <w:pPr>
              <w:pStyle w:val="BodyText"/>
              <w:rPr>
                <w:lang w:val="en-NZ"/>
              </w:rPr>
            </w:pPr>
            <w:r w:rsidRPr="00160F0D">
              <w:t>Electrical/access permits</w:t>
            </w:r>
          </w:p>
        </w:tc>
      </w:tr>
      <w:tr w:rsidTr="007328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F0D">
            <w:pPr>
              <w:pStyle w:val="BodyText"/>
              <w:rPr>
                <w:lang w:val="en-NZ"/>
              </w:rPr>
            </w:pPr>
            <w:r w:rsidRPr="00160F0D">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F0D">
            <w:pPr>
              <w:pStyle w:val="BodyText"/>
              <w:rPr>
                <w:lang w:val="en-NZ"/>
              </w:rPr>
            </w:pPr>
            <w:r w:rsidRPr="00160F0D">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F0D" w:rsidP="00160F0D">
            <w:pPr>
              <w:pStyle w:val="BodyText"/>
            </w:pPr>
            <w:r w:rsidRPr="00160F0D">
              <w:t xml:space="preserve">Voltage detectors, </w:t>
            </w:r>
          </w:p>
          <w:p w:rsidR="00000000" w:rsidRPr="00160F0D" w:rsidP="00160F0D">
            <w:pPr>
              <w:pStyle w:val="BodyText"/>
            </w:pPr>
            <w:r w:rsidRPr="00160F0D">
              <w:t xml:space="preserve">Field intensity meter, </w:t>
            </w:r>
          </w:p>
          <w:p w:rsidR="00000000" w:rsidRPr="00160F0D" w:rsidP="00160F0D">
            <w:pPr>
              <w:pStyle w:val="BodyText"/>
            </w:pPr>
            <w:r w:rsidRPr="00160F0D">
              <w:t xml:space="preserve">Polarity testers, </w:t>
            </w:r>
          </w:p>
          <w:p w:rsidR="00000000" w:rsidP="00160F0D">
            <w:pPr>
              <w:pStyle w:val="BodyText"/>
              <w:rPr>
                <w:lang w:val="en-NZ"/>
              </w:rPr>
            </w:pPr>
            <w:r w:rsidRPr="00160F0D">
              <w:t>Phase rotation indicators</w:t>
            </w:r>
          </w:p>
        </w:tc>
      </w:tr>
      <w:tr w:rsidTr="007328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F0D">
            <w:pPr>
              <w:pStyle w:val="BodyText"/>
              <w:rPr>
                <w:lang w:val="en-NZ"/>
              </w:rPr>
            </w:pPr>
            <w:r w:rsidRPr="00160F0D">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F0D">
            <w:pPr>
              <w:pStyle w:val="BodyText"/>
              <w:rPr>
                <w:lang w:val="en-NZ"/>
              </w:rPr>
            </w:pPr>
            <w:r w:rsidRPr="00160F0D">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F0D" w:rsidP="00160F0D">
            <w:pPr>
              <w:pStyle w:val="BodyText"/>
            </w:pPr>
            <w:r w:rsidRPr="00160F0D">
              <w:t>HV/LV circuit breakers,</w:t>
            </w:r>
          </w:p>
          <w:p w:rsidR="00000000" w:rsidRPr="00160F0D" w:rsidP="00160F0D">
            <w:pPr>
              <w:pStyle w:val="BodyText"/>
            </w:pPr>
            <w:r w:rsidRPr="00160F0D">
              <w:t xml:space="preserve">HV/LV switches, </w:t>
            </w:r>
          </w:p>
          <w:p w:rsidR="00000000" w:rsidRPr="00160F0D" w:rsidP="00160F0D">
            <w:pPr>
              <w:pStyle w:val="BodyText"/>
            </w:pPr>
            <w:r w:rsidRPr="00160F0D">
              <w:t>HV/LV isolators,</w:t>
            </w:r>
          </w:p>
          <w:p w:rsidR="00000000" w:rsidRPr="00160F0D" w:rsidP="00160F0D">
            <w:pPr>
              <w:pStyle w:val="BodyText"/>
            </w:pPr>
            <w:r w:rsidRPr="00160F0D">
              <w:t xml:space="preserve">HV/LV links, </w:t>
            </w:r>
          </w:p>
          <w:p w:rsidR="00000000" w:rsidRPr="00160F0D" w:rsidP="00160F0D">
            <w:pPr>
              <w:pStyle w:val="BodyText"/>
            </w:pPr>
            <w:r w:rsidRPr="00160F0D">
              <w:t xml:space="preserve">HV/LV bridges, </w:t>
            </w:r>
          </w:p>
          <w:p w:rsidR="00000000" w:rsidP="00160F0D">
            <w:pPr>
              <w:pStyle w:val="BodyText"/>
              <w:rPr>
                <w:lang w:val="en-NZ"/>
              </w:rPr>
            </w:pPr>
            <w:r w:rsidRPr="00160F0D">
              <w:t>HV/LV fuses</w:t>
            </w:r>
          </w:p>
        </w:tc>
      </w:tr>
      <w:tr w:rsidTr="007328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F0D">
            <w:pPr>
              <w:pStyle w:val="BodyText"/>
              <w:rPr>
                <w:lang w:val="en-NZ"/>
              </w:rPr>
            </w:pPr>
            <w:r w:rsidRPr="00160F0D">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F0D">
            <w:pPr>
              <w:pStyle w:val="BodyText"/>
              <w:rPr>
                <w:lang w:val="en-NZ"/>
              </w:rPr>
            </w:pPr>
            <w:r w:rsidRPr="00160F0D">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F0D" w:rsidP="00160F0D">
            <w:pPr>
              <w:pStyle w:val="BodyText"/>
            </w:pPr>
            <w:r w:rsidRPr="00160F0D">
              <w:t>Portable earthing/rail-connecting equipment,</w:t>
            </w:r>
          </w:p>
          <w:p w:rsidR="00000000" w:rsidP="00160F0D">
            <w:pPr>
              <w:pStyle w:val="BodyText"/>
              <w:rPr>
                <w:lang w:val="en-NZ"/>
              </w:rPr>
            </w:pPr>
            <w:r w:rsidRPr="00160F0D">
              <w:t>Operating rods/sticks</w:t>
            </w:r>
          </w:p>
        </w:tc>
      </w:tr>
      <w:tr w:rsidTr="007328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F0D">
            <w:pPr>
              <w:pStyle w:val="BodyText"/>
              <w:rPr>
                <w:lang w:val="en-NZ"/>
              </w:rPr>
            </w:pPr>
            <w:r w:rsidRPr="00160F0D">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F0D">
            <w:pPr>
              <w:pStyle w:val="BodyText"/>
              <w:rPr>
                <w:lang w:val="en-NZ"/>
              </w:rPr>
            </w:pPr>
            <w:r w:rsidRPr="00160F0D">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F0D" w:rsidP="00160F0D">
            <w:pPr>
              <w:pStyle w:val="BodyText"/>
            </w:pPr>
            <w:r w:rsidRPr="00160F0D">
              <w:t>Dealing with an unplanned event by drawing on essential knowledge and associated skills to provide appropriate solutions incorporated in the holistic assessment with the above listed items.</w:t>
            </w:r>
          </w:p>
        </w:tc>
      </w:tr>
    </w:tbl>
    <w:p w:rsidR="00000000" w:rsidRPr="00160F0D" w:rsidP="00160F0D">
      <w:pPr>
        <w:pStyle w:val="BodyText"/>
      </w:pPr>
    </w:p>
    <w:tbl>
      <w:tblPr>
        <w:tblW w:w="0" w:type="auto"/>
        <w:tblLayout w:type="fixed"/>
        <w:tblCellMar>
          <w:left w:w="62" w:type="dxa"/>
          <w:right w:w="62" w:type="dxa"/>
        </w:tblCellMar>
        <w:tblLook w:val="0000"/>
      </w:tblPr>
      <w:tblGrid>
        <w:gridCol w:w="1890"/>
        <w:gridCol w:w="6570"/>
      </w:tblGrid>
      <w:tr w:rsidTr="007328F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rPr>
                <w:rStyle w:val="SpecialBold"/>
              </w:rPr>
              <w:t>9.3)</w:t>
            </w:r>
          </w:p>
        </w:tc>
      </w:tr>
      <w:tr w:rsidTr="007328F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t>This uni</w:t>
            </w:r>
            <w:r w:rsidRPr="00160F0D">
              <w:t>t should be assessed as it relates to normal work practice using procedures, information and resources typical of a workplace. This should include:</w:t>
            </w:r>
          </w:p>
          <w:p w:rsidR="00000000" w:rsidRPr="00160F0D" w:rsidP="00160F0D">
            <w:pPr>
              <w:pStyle w:val="ListBullet"/>
            </w:pPr>
            <w:r w:rsidRPr="00160F0D">
              <w:t>OHS policy and work procedures and instructions.</w:t>
            </w:r>
          </w:p>
          <w:p w:rsidR="00000000" w:rsidRPr="00160F0D" w:rsidP="00160F0D">
            <w:pPr>
              <w:pStyle w:val="ListBullet"/>
            </w:pPr>
            <w:r w:rsidRPr="00160F0D">
              <w:t>Suitable work environment, facilities, equipment and materials to undertake actual performance of rail traction switching operations.</w:t>
            </w:r>
          </w:p>
          <w:p w:rsidR="00000000" w:rsidRPr="00160F0D" w:rsidP="00160F0D">
            <w:pPr>
              <w:pStyle w:val="BodyText"/>
            </w:pPr>
            <w:r w:rsidRPr="00160F0D">
              <w:t>In addition to the resources listed above, in context of and specific resources for assessment, evidence should show demon</w:t>
            </w:r>
            <w:r w:rsidRPr="00160F0D">
              <w:t xml:space="preserve">strated competency working below ground, in limited spaces, with different structural/construction types and method and in a variety of environments. </w:t>
            </w:r>
          </w:p>
        </w:tc>
      </w:tr>
    </w:tbl>
    <w:p w:rsidR="00000000" w:rsidRPr="00160F0D" w:rsidP="00160F0D">
      <w:pPr>
        <w:pStyle w:val="BodyText"/>
      </w:pPr>
    </w:p>
    <w:tbl>
      <w:tblPr>
        <w:tblW w:w="0" w:type="auto"/>
        <w:tblLayout w:type="fixed"/>
        <w:tblCellMar>
          <w:left w:w="62" w:type="dxa"/>
          <w:right w:w="62" w:type="dxa"/>
        </w:tblCellMar>
        <w:tblLook w:val="0000"/>
      </w:tblPr>
      <w:tblGrid>
        <w:gridCol w:w="1890"/>
        <w:gridCol w:w="6570"/>
      </w:tblGrid>
      <w:tr w:rsidTr="007328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rPr>
                <w:rStyle w:val="SpecialBold"/>
              </w:rPr>
              <w:t>9.4)</w:t>
            </w:r>
          </w:p>
        </w:tc>
      </w:tr>
      <w:tr w:rsidTr="007328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t>This Competency Standard Unit shall be assessed by methods given in Volume 1, Part 3 “Assessment Guidelines”.</w:t>
            </w:r>
          </w:p>
          <w:p w:rsidR="00000000" w:rsidRPr="00160F0D" w:rsidP="00160F0D">
            <w:pPr>
              <w:pStyle w:val="BodyText"/>
            </w:pPr>
            <w:r w:rsidRPr="00160F0D">
              <w:t>Note:</w:t>
            </w:r>
          </w:p>
          <w:p w:rsidR="00000000" w:rsidRPr="00160F0D" w:rsidP="00160F0D">
            <w:pPr>
              <w:pStyle w:val="BodyText"/>
            </w:pPr>
            <w:r w:rsidRPr="00160F0D">
              <w:t>Competent performance with inherent safe working practices is expected in the Transmission, Distribution and Rail Traction Industry. This re</w:t>
            </w:r>
            <w:r w:rsidRPr="00160F0D">
              <w:t>quires that the specified essential knowledge and associated skills are assessed in a structured environment which is primarily intended for learning/assessment and incorporates all necessary equipment and facilities for learners to develop and demonstrate</w:t>
            </w:r>
            <w:r w:rsidRPr="00160F0D">
              <w:t xml:space="preserve"> the essential knowledge and associated skills described in this unit.</w:t>
            </w:r>
          </w:p>
        </w:tc>
      </w:tr>
    </w:tbl>
    <w:p w:rsidR="00000000" w:rsidRPr="00160F0D" w:rsidP="00160F0D">
      <w:pPr>
        <w:pStyle w:val="BodyText"/>
      </w:pPr>
    </w:p>
    <w:tbl>
      <w:tblPr>
        <w:tblW w:w="0" w:type="auto"/>
        <w:tblLayout w:type="fixed"/>
        <w:tblCellMar>
          <w:left w:w="62" w:type="dxa"/>
          <w:right w:w="62" w:type="dxa"/>
        </w:tblCellMar>
        <w:tblLook w:val="0000"/>
      </w:tblPr>
      <w:tblGrid>
        <w:gridCol w:w="1890"/>
        <w:gridCol w:w="6570"/>
      </w:tblGrid>
      <w:tr w:rsidTr="007328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rPr>
                <w:rStyle w:val="SpecialBold"/>
              </w:rPr>
              <w:t>9.5)</w:t>
            </w:r>
          </w:p>
        </w:tc>
      </w:tr>
      <w:tr w:rsidTr="007328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t>For optimisation of training and assessment effort, competence in this unit may be assessed concurrently with the follow</w:t>
            </w:r>
            <w:r w:rsidRPr="00160F0D">
              <w:t xml:space="preserve">ing units: </w:t>
            </w:r>
          </w:p>
          <w:p w:rsidR="00000000" w:rsidRPr="00160F0D" w:rsidP="00160F0D">
            <w:pPr>
              <w:pStyle w:val="BodyText"/>
            </w:pPr>
            <w:r w:rsidRPr="00160F0D">
              <w:t>UETTDRRT29A</w:t>
            </w:r>
            <w:r w:rsidRPr="00160F0D">
              <w:tab/>
              <w:t>Operate rail road traction height access equipment</w:t>
            </w:r>
          </w:p>
        </w:tc>
      </w:tr>
    </w:tbl>
    <w:p w:rsidR="00000000" w:rsidRPr="00160F0D" w:rsidP="00160F0D">
      <w:pPr>
        <w:pStyle w:val="BodyText"/>
      </w:pPr>
    </w:p>
    <w:p w:rsidR="00000000" w:rsidRPr="00160F0D" w:rsidP="00160F0D">
      <w:pPr>
        <w:pStyle w:val="AllowPageBreak"/>
      </w:pPr>
    </w:p>
    <w:p w:rsidR="00000000" w:rsidRPr="00160F0D" w:rsidP="00160F0D">
      <w:pPr>
        <w:pStyle w:val="Heading1"/>
      </w:pPr>
      <w:bookmarkStart w:id="11" w:name="O_465361"/>
      <w:bookmarkEnd w:id="11"/>
      <w:r w:rsidRPr="00160F0D">
        <w:t>Range Statement</w:t>
      </w:r>
    </w:p>
    <w:tbl>
      <w:tblPr>
        <w:tblW w:w="0" w:type="auto"/>
        <w:tblLayout w:type="fixed"/>
        <w:tblCellMar>
          <w:left w:w="62" w:type="dxa"/>
          <w:right w:w="62" w:type="dxa"/>
        </w:tblCellMar>
        <w:tblLook w:val="0000"/>
      </w:tblPr>
      <w:tblGrid>
        <w:gridCol w:w="8460"/>
      </w:tblGrid>
      <w:tr w:rsidTr="007328F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rPr>
                <w:rStyle w:val="SpecialBold"/>
              </w:rPr>
              <w:t>RANGE STATEMENT</w:t>
            </w:r>
          </w:p>
        </w:tc>
      </w:tr>
      <w:tr w:rsidTr="007328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rPr>
                <w:rStyle w:val="SpecialBold"/>
              </w:rPr>
              <w:t>10)</w:t>
            </w:r>
            <w:r w:rsidRPr="00160F0D">
              <w:t xml:space="preserve"> This relates to the competency standard unit as a whole providing the range of contexts and </w:t>
            </w:r>
            <w:r w:rsidRPr="00160F0D">
              <w:t>conditions to which the Performance Criteria apply. It allows for different work environments and situations that will affect performance.</w:t>
            </w:r>
          </w:p>
          <w:p w:rsidR="00000000" w:rsidRPr="00160F0D" w:rsidP="00160F0D">
            <w:pPr>
              <w:pStyle w:val="BodyText"/>
            </w:pPr>
            <w:r w:rsidRPr="00160F0D">
              <w:t>This Competency Standard Unit shall be demonstrated in relation to the switching of circuit breaking and isolation de</w:t>
            </w:r>
            <w:r w:rsidRPr="00160F0D">
              <w:t>vices associated with energy reticulation systems/networks, which applies to rail systems in field situations.</w:t>
            </w:r>
          </w:p>
          <w:p w:rsidR="00000000" w:rsidRPr="00160F0D" w:rsidP="00160F0D">
            <w:pPr>
              <w:pStyle w:val="BodyText"/>
            </w:pPr>
            <w:r w:rsidRPr="00160F0D">
              <w:t>Equipment may include; circuit breakers, isolators, links, fuses, field switches, air-break switches, gas switches, Low Voltage switches, combine</w:t>
            </w:r>
            <w:r w:rsidRPr="00160F0D">
              <w:t>d rail isolating switches, siding switches, earthing/ rail connect equipment, test equipment, High Voltage gloves, High Voltage mats, operating rods/sticks, aerial switches and motor driven switches, voltage detectors</w:t>
            </w:r>
          </w:p>
          <w:p w:rsidR="00000000" w:rsidRPr="00160F0D" w:rsidP="00160F0D">
            <w:pPr>
              <w:pStyle w:val="BodyText"/>
            </w:pPr>
            <w:r w:rsidRPr="00160F0D">
              <w:t xml:space="preserve">The following constants and variables </w:t>
            </w:r>
            <w:r w:rsidRPr="00160F0D">
              <w:t>included in the element/Performance Criteria in this unit are fully described in the Definitions Section 1 of this volume and form an integral part of the Range Statement of this unit:</w:t>
            </w:r>
          </w:p>
          <w:p w:rsidR="00000000" w:rsidRPr="00160F0D" w:rsidP="00160F0D">
            <w:pPr>
              <w:pStyle w:val="ListBullet3"/>
            </w:pPr>
            <w:r w:rsidRPr="00160F0D">
              <w:t>Appropriate and relevant persons (see Personnel)</w:t>
            </w:r>
          </w:p>
          <w:p w:rsidR="00000000" w:rsidRPr="00160F0D" w:rsidP="00160F0D">
            <w:pPr>
              <w:pStyle w:val="ListBullet3"/>
            </w:pPr>
            <w:r w:rsidRPr="00160F0D">
              <w:t>Appropriate authoriti</w:t>
            </w:r>
            <w:r w:rsidRPr="00160F0D">
              <w:t>es</w:t>
            </w:r>
          </w:p>
          <w:p w:rsidR="00000000" w:rsidRPr="00160F0D" w:rsidP="00160F0D">
            <w:pPr>
              <w:pStyle w:val="ListBullet3"/>
            </w:pPr>
            <w:r w:rsidRPr="00160F0D">
              <w:t>Appropriate work platform</w:t>
            </w:r>
          </w:p>
          <w:p w:rsidR="00000000" w:rsidRPr="00160F0D" w:rsidP="00160F0D">
            <w:pPr>
              <w:pStyle w:val="ListBullet3"/>
            </w:pPr>
            <w:r w:rsidRPr="00160F0D">
              <w:t>Assessing risk</w:t>
            </w:r>
          </w:p>
          <w:p w:rsidR="00000000" w:rsidRPr="00160F0D" w:rsidP="00160F0D">
            <w:pPr>
              <w:pStyle w:val="ListBullet3"/>
            </w:pPr>
            <w:r w:rsidRPr="00160F0D">
              <w:t>Assessment</w:t>
            </w:r>
          </w:p>
          <w:p w:rsidR="00000000" w:rsidRPr="00160F0D" w:rsidP="00160F0D">
            <w:pPr>
              <w:pStyle w:val="ListBullet3"/>
            </w:pPr>
            <w:r w:rsidRPr="00160F0D">
              <w:t>Authorisation</w:t>
            </w:r>
          </w:p>
          <w:p w:rsidR="00000000" w:rsidRPr="00160F0D" w:rsidP="00160F0D">
            <w:pPr>
              <w:pStyle w:val="ListBullet3"/>
            </w:pPr>
            <w:r w:rsidRPr="00160F0D">
              <w:t>Confined space</w:t>
            </w:r>
          </w:p>
          <w:p w:rsidR="00000000" w:rsidRPr="00160F0D" w:rsidP="00160F0D">
            <w:pPr>
              <w:pStyle w:val="ListBullet3"/>
            </w:pPr>
            <w:r w:rsidRPr="00160F0D">
              <w:t>Diagnostic, testing and restoration</w:t>
            </w:r>
          </w:p>
          <w:p w:rsidR="00000000" w:rsidRPr="00160F0D" w:rsidP="00160F0D">
            <w:pPr>
              <w:pStyle w:val="ListBullet3"/>
            </w:pPr>
            <w:r w:rsidRPr="00160F0D">
              <w:t>Documenting detail of work events, record keeping and or storage of information</w:t>
            </w:r>
          </w:p>
          <w:p w:rsidR="00000000" w:rsidRPr="00160F0D" w:rsidP="00160F0D">
            <w:pPr>
              <w:pStyle w:val="ListBullet3"/>
            </w:pPr>
            <w:r w:rsidRPr="00160F0D">
              <w:t>Drawings and specifications</w:t>
            </w:r>
          </w:p>
          <w:p w:rsidR="00000000" w:rsidRPr="00160F0D" w:rsidP="00160F0D">
            <w:pPr>
              <w:pStyle w:val="ListBullet3"/>
            </w:pPr>
            <w:r w:rsidRPr="00160F0D">
              <w:t>Emergency</w:t>
            </w:r>
          </w:p>
          <w:p w:rsidR="00000000" w:rsidRPr="00160F0D" w:rsidP="00160F0D">
            <w:pPr>
              <w:pStyle w:val="ListBullet3"/>
            </w:pPr>
            <w:r w:rsidRPr="00160F0D">
              <w:t>Environmental and sustainable energy procedures</w:t>
            </w:r>
          </w:p>
          <w:p w:rsidR="00000000" w:rsidRPr="00160F0D" w:rsidP="00160F0D">
            <w:pPr>
              <w:pStyle w:val="ListBullet3"/>
            </w:pPr>
            <w:r w:rsidRPr="00160F0D">
              <w:t>Environmental legislation</w:t>
            </w:r>
          </w:p>
          <w:p w:rsidR="00000000" w:rsidRPr="00160F0D" w:rsidP="00160F0D">
            <w:pPr>
              <w:pStyle w:val="ListBullet3"/>
            </w:pPr>
            <w:r w:rsidRPr="00160F0D">
              <w:t>Environmental management documentation</w:t>
            </w:r>
          </w:p>
          <w:p w:rsidR="00000000" w:rsidRPr="00160F0D" w:rsidP="00160F0D">
            <w:pPr>
              <w:pStyle w:val="ListBullet3"/>
            </w:pPr>
            <w:r w:rsidRPr="00160F0D">
              <w:t>Established procedures</w:t>
            </w:r>
          </w:p>
          <w:p w:rsidR="00000000" w:rsidRPr="00160F0D" w:rsidP="00160F0D">
            <w:pPr>
              <w:pStyle w:val="ListBullet3"/>
            </w:pPr>
            <w:r w:rsidRPr="00160F0D">
              <w:t>Fall prevention</w:t>
            </w:r>
          </w:p>
          <w:p w:rsidR="00000000" w:rsidRPr="00160F0D" w:rsidP="00160F0D">
            <w:pPr>
              <w:pStyle w:val="ListBullet3"/>
            </w:pPr>
            <w:r w:rsidRPr="00160F0D">
              <w:t>Hazards</w:t>
            </w:r>
          </w:p>
          <w:p w:rsidR="00000000" w:rsidRPr="00160F0D" w:rsidP="00160F0D">
            <w:pPr>
              <w:pStyle w:val="ListBullet3"/>
            </w:pPr>
            <w:r w:rsidRPr="00160F0D">
              <w:t>Identifying hazards</w:t>
            </w:r>
          </w:p>
          <w:p w:rsidR="00000000" w:rsidRPr="00160F0D" w:rsidP="00160F0D">
            <w:pPr>
              <w:pStyle w:val="ListBullet3"/>
            </w:pPr>
            <w:r w:rsidRPr="00160F0D">
              <w:t>Inspect</w:t>
            </w:r>
          </w:p>
          <w:p w:rsidR="00000000" w:rsidRPr="00160F0D" w:rsidP="00160F0D">
            <w:pPr>
              <w:pStyle w:val="ListBullet3"/>
            </w:pPr>
            <w:r w:rsidRPr="00160F0D">
              <w:t>Legislation</w:t>
            </w:r>
          </w:p>
          <w:p w:rsidR="00000000" w:rsidRPr="00160F0D" w:rsidP="00160F0D">
            <w:pPr>
              <w:pStyle w:val="ListBullet3"/>
            </w:pPr>
            <w:r w:rsidRPr="00160F0D">
              <w:t>MSDS</w:t>
            </w:r>
          </w:p>
          <w:p w:rsidR="00000000" w:rsidRPr="00160F0D" w:rsidP="00160F0D">
            <w:pPr>
              <w:pStyle w:val="ListBullet3"/>
            </w:pPr>
            <w:r w:rsidRPr="00160F0D">
              <w:t>Notification</w:t>
            </w:r>
          </w:p>
          <w:p w:rsidR="00000000" w:rsidRPr="00160F0D" w:rsidP="00160F0D">
            <w:pPr>
              <w:pStyle w:val="ListBullet3"/>
            </w:pPr>
            <w:r w:rsidRPr="00160F0D">
              <w:t>OHS practices</w:t>
            </w:r>
          </w:p>
          <w:p w:rsidR="00000000" w:rsidRPr="00160F0D" w:rsidP="00160F0D">
            <w:pPr>
              <w:pStyle w:val="ListBullet3"/>
            </w:pPr>
            <w:r w:rsidRPr="00160F0D">
              <w:t>OHS issues</w:t>
            </w:r>
          </w:p>
          <w:p w:rsidR="00000000" w:rsidRPr="00160F0D" w:rsidP="00160F0D">
            <w:pPr>
              <w:pStyle w:val="ListBullet3"/>
            </w:pPr>
            <w:r w:rsidRPr="00160F0D">
              <w:t>Permits and/o</w:t>
            </w:r>
            <w:r w:rsidRPr="00160F0D">
              <w:t>r permits to work</w:t>
            </w:r>
          </w:p>
          <w:p w:rsidR="00000000" w:rsidRPr="00160F0D" w:rsidP="00160F0D">
            <w:pPr>
              <w:pStyle w:val="ListBullet3"/>
            </w:pPr>
            <w:r w:rsidRPr="00160F0D">
              <w:t>Personnel</w:t>
            </w:r>
          </w:p>
          <w:p w:rsidR="00000000" w:rsidRPr="00160F0D" w:rsidP="00160F0D">
            <w:pPr>
              <w:pStyle w:val="ListBullet3"/>
            </w:pPr>
            <w:r w:rsidRPr="00160F0D">
              <w:t>Quality assurance systems</w:t>
            </w:r>
          </w:p>
          <w:p w:rsidR="00000000" w:rsidRPr="00160F0D" w:rsidP="00160F0D">
            <w:pPr>
              <w:pStyle w:val="ListBullet3"/>
            </w:pPr>
            <w:r w:rsidRPr="00160F0D">
              <w:t>Requirements</w:t>
            </w:r>
          </w:p>
          <w:p w:rsidR="00000000" w:rsidRPr="00160F0D" w:rsidP="00160F0D">
            <w:pPr>
              <w:pStyle w:val="ListBullet3"/>
            </w:pPr>
            <w:r w:rsidRPr="00160F0D">
              <w:t>Testing procedures</w:t>
            </w:r>
          </w:p>
          <w:p w:rsidR="00000000" w:rsidRPr="00160F0D" w:rsidP="00160F0D">
            <w:pPr>
              <w:pStyle w:val="ListBullet3"/>
            </w:pPr>
            <w:r w:rsidRPr="00160F0D">
              <w:t>Work clearance systems</w:t>
            </w:r>
          </w:p>
        </w:tc>
      </w:tr>
    </w:tbl>
    <w:p w:rsidR="00000000" w:rsidRPr="00160F0D" w:rsidP="00160F0D">
      <w:pPr>
        <w:pStyle w:val="BodyText"/>
      </w:pPr>
    </w:p>
    <w:p w:rsidR="00000000" w:rsidRPr="00160F0D" w:rsidP="00160F0D">
      <w:pPr>
        <w:pStyle w:val="AllowPageBreak"/>
      </w:pPr>
    </w:p>
    <w:p w:rsidR="00000000" w:rsidRPr="00160F0D" w:rsidP="00160F0D">
      <w:pPr>
        <w:pStyle w:val="Heading1"/>
      </w:pPr>
      <w:bookmarkStart w:id="12" w:name="O_465364"/>
      <w:bookmarkEnd w:id="12"/>
      <w:r w:rsidRPr="00160F0D">
        <w:t>Unit Sector(s)</w:t>
      </w:r>
    </w:p>
    <w:p w:rsidR="00000000" w:rsidRPr="00160F0D" w:rsidP="00160F0D">
      <w:pPr>
        <w:pStyle w:val="BodyText"/>
      </w:pPr>
      <w:r w:rsidRPr="00160F0D">
        <w:t>Not applicable.</w:t>
      </w:r>
    </w:p>
    <w:p w:rsidR="00000000" w:rsidRPr="00160F0D" w:rsidP="00160F0D">
      <w:pPr>
        <w:pStyle w:val="AllowPageBreak"/>
      </w:pPr>
    </w:p>
    <w:p w:rsidR="00000000" w:rsidRPr="00160F0D" w:rsidP="00160F0D">
      <w:pPr>
        <w:pStyle w:val="Heading1"/>
      </w:pPr>
      <w:bookmarkStart w:id="13" w:name="O_465353"/>
      <w:bookmarkEnd w:id="13"/>
      <w:r w:rsidRPr="00160F0D">
        <w:t>Competency Field</w:t>
      </w:r>
    </w:p>
    <w:tbl>
      <w:tblPr>
        <w:tblW w:w="0" w:type="auto"/>
        <w:tblLayout w:type="fixed"/>
        <w:tblCellMar>
          <w:left w:w="62" w:type="dxa"/>
          <w:right w:w="62" w:type="dxa"/>
        </w:tblCellMar>
        <w:tblLook w:val="0000"/>
      </w:tblPr>
      <w:tblGrid>
        <w:gridCol w:w="2700"/>
        <w:gridCol w:w="5760"/>
      </w:tblGrid>
      <w:tr w:rsidTr="007328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60F0D">
            <w:pPr>
              <w:pStyle w:val="BodyText"/>
              <w:rPr>
                <w:lang w:val="en-NZ"/>
              </w:rPr>
            </w:pPr>
            <w:r w:rsidRPr="00160F0D">
              <w:rPr>
                <w:rStyle w:val="SpecialBold"/>
              </w:rPr>
              <w:t xml:space="preserve">11) </w:t>
            </w:r>
          </w:p>
        </w:tc>
      </w:tr>
      <w:tr w:rsidTr="007328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0F0D" w:rsidP="00160F0D">
            <w:pPr>
              <w:pStyle w:val="BodyText"/>
            </w:pPr>
            <w:r w:rsidRPr="00160F0D">
              <w:t>Rail Traction Units</w:t>
            </w:r>
          </w:p>
        </w:tc>
      </w:tr>
    </w:tbl>
    <w:p w:rsidR="00000000" w:rsidRPr="00160F0D" w:rsidP="00160F0D">
      <w:pPr>
        <w:pStyle w:val="BodyText"/>
      </w:pPr>
    </w:p>
    <w:p w:rsidR="00000000" w:rsidRPr="00160F0D" w:rsidP="00160F0D"/>
    <w:sectPr w:rsidSect="00160F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F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28F9" w:rsidP="007328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F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8F9" w:rsidP="00160F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328F9" w:rsidP="00160F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328F9" w:rsidP="00160F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F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28F9" w:rsidP="007328F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F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8F9" w:rsidP="00160F0D">
    <w:pPr>
      <w:pStyle w:val="Header"/>
      <w:framePr w:wrap="around"/>
    </w:pPr>
    <w:r>
      <w:fldChar w:fldCharType="begin"/>
    </w:r>
    <w:r>
      <w:instrText xml:space="preserve"> TITLE   \* MERGEFORMAT </w:instrText>
    </w:r>
    <w:r>
      <w:fldChar w:fldCharType="separate"/>
    </w:r>
    <w:r>
      <w:t>UETTDRRT30A Perform to a given schedule rail traction switching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328F9" w:rsidP="00160F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EAC8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14D9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167F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F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0F0D"/>
    <w:pPr>
      <w:spacing w:before="360" w:after="60"/>
      <w:outlineLvl w:val="0"/>
    </w:pPr>
    <w:rPr>
      <w:sz w:val="32"/>
    </w:rPr>
  </w:style>
  <w:style w:type="paragraph" w:styleId="Heading2">
    <w:name w:val="heading 2"/>
    <w:basedOn w:val="HeadingBase"/>
    <w:next w:val="BodyText"/>
    <w:link w:val="Heading2Char"/>
    <w:qFormat/>
    <w:rsid w:val="00160F0D"/>
    <w:pPr>
      <w:keepLines/>
      <w:spacing w:before="240" w:after="120"/>
      <w:outlineLvl w:val="1"/>
    </w:pPr>
    <w:rPr>
      <w:sz w:val="28"/>
      <w:szCs w:val="40"/>
    </w:rPr>
  </w:style>
  <w:style w:type="paragraph" w:styleId="Heading3">
    <w:name w:val="heading 3"/>
    <w:basedOn w:val="HeadingBase"/>
    <w:next w:val="BodyText"/>
    <w:link w:val="Heading3Char"/>
    <w:qFormat/>
    <w:rsid w:val="00160F0D"/>
    <w:pPr>
      <w:spacing w:before="180" w:after="120"/>
      <w:outlineLvl w:val="2"/>
    </w:pPr>
    <w:rPr>
      <w:spacing w:val="-10"/>
      <w:kern w:val="32"/>
    </w:rPr>
  </w:style>
  <w:style w:type="paragraph" w:styleId="Heading4">
    <w:name w:val="heading 4"/>
    <w:basedOn w:val="HeadingBase"/>
    <w:next w:val="BodyText"/>
    <w:link w:val="Heading4Char"/>
    <w:qFormat/>
    <w:rsid w:val="00160F0D"/>
    <w:pPr>
      <w:spacing w:before="160" w:after="120"/>
      <w:outlineLvl w:val="3"/>
    </w:pPr>
    <w:rPr>
      <w:sz w:val="22"/>
    </w:rPr>
  </w:style>
  <w:style w:type="paragraph" w:styleId="Heading5">
    <w:name w:val="heading 5"/>
    <w:basedOn w:val="HeadingBase"/>
    <w:next w:val="Normal"/>
    <w:link w:val="Heading5Char"/>
    <w:qFormat/>
    <w:rsid w:val="00160F0D"/>
    <w:pPr>
      <w:spacing w:before="80"/>
      <w:outlineLvl w:val="4"/>
    </w:pPr>
    <w:rPr>
      <w:color w:val="918585"/>
      <w:sz w:val="20"/>
    </w:rPr>
  </w:style>
  <w:style w:type="paragraph" w:styleId="Heading6">
    <w:name w:val="heading 6"/>
    <w:basedOn w:val="HeadingBase"/>
    <w:next w:val="Normal"/>
    <w:link w:val="Heading6Char"/>
    <w:qFormat/>
    <w:rsid w:val="00160F0D"/>
    <w:pPr>
      <w:spacing w:before="60"/>
      <w:outlineLvl w:val="5"/>
    </w:pPr>
    <w:rPr>
      <w:color w:val="918585"/>
      <w:sz w:val="20"/>
    </w:rPr>
  </w:style>
  <w:style w:type="paragraph" w:styleId="Heading7">
    <w:name w:val="heading 7"/>
    <w:basedOn w:val="Normal"/>
    <w:next w:val="Normal"/>
    <w:link w:val="Heading7Char"/>
    <w:qFormat/>
    <w:rsid w:val="00160F0D"/>
    <w:pPr>
      <w:ind w:left="720"/>
      <w:outlineLvl w:val="6"/>
    </w:pPr>
    <w:rPr>
      <w:i/>
    </w:rPr>
  </w:style>
  <w:style w:type="paragraph" w:styleId="Heading8">
    <w:name w:val="heading 8"/>
    <w:basedOn w:val="Normal"/>
    <w:next w:val="Normal"/>
    <w:link w:val="Heading8Char"/>
    <w:qFormat/>
    <w:rsid w:val="00160F0D"/>
    <w:pPr>
      <w:ind w:left="720"/>
      <w:outlineLvl w:val="7"/>
    </w:pPr>
    <w:rPr>
      <w:i/>
    </w:rPr>
  </w:style>
  <w:style w:type="paragraph" w:styleId="Heading9">
    <w:name w:val="heading 9"/>
    <w:basedOn w:val="Normal"/>
    <w:next w:val="Normal"/>
    <w:link w:val="Heading9Char"/>
    <w:qFormat/>
    <w:rsid w:val="00160F0D"/>
    <w:pPr>
      <w:ind w:left="720"/>
      <w:outlineLvl w:val="8"/>
    </w:pPr>
    <w:rPr>
      <w:i/>
    </w:rPr>
  </w:style>
  <w:style w:type="character" w:default="1" w:styleId="DefaultParagraphFont">
    <w:name w:val="Default Paragraph Font"/>
    <w:uiPriority w:val="1"/>
    <w:unhideWhenUsed/>
    <w:rsid w:val="00160F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0F0D"/>
  </w:style>
  <w:style w:type="character" w:customStyle="1" w:styleId="Heading1Char">
    <w:name w:val="Heading 1 Char"/>
    <w:link w:val="Heading1"/>
    <w:rsid w:val="00160F0D"/>
    <w:rPr>
      <w:rFonts w:ascii="Times New Roman" w:eastAsia="Times New Roman" w:hAnsi="Times New Roman" w:cs="Times New Roman"/>
      <w:b/>
      <w:sz w:val="32"/>
      <w:szCs w:val="20"/>
      <w:lang w:eastAsia="en-US"/>
    </w:rPr>
  </w:style>
  <w:style w:type="paragraph" w:styleId="BodyText">
    <w:name w:val="Body Text"/>
    <w:basedOn w:val="Normal"/>
    <w:link w:val="BodyTextChar"/>
    <w:rsid w:val="00160F0D"/>
    <w:pPr>
      <w:spacing w:before="120" w:after="120"/>
      <w:contextualSpacing/>
    </w:pPr>
    <w:rPr>
      <w:rFonts w:ascii="Times New Roman" w:hAnsi="Times New Roman"/>
      <w:sz w:val="24"/>
      <w:szCs w:val="22"/>
    </w:rPr>
  </w:style>
  <w:style w:type="character" w:customStyle="1" w:styleId="BodyTextChar">
    <w:name w:val="Body Text Char"/>
    <w:link w:val="BodyText"/>
    <w:rsid w:val="00160F0D"/>
    <w:rPr>
      <w:rFonts w:ascii="Times New Roman" w:eastAsia="Times New Roman" w:hAnsi="Times New Roman" w:cs="Times New Roman"/>
      <w:sz w:val="24"/>
      <w:lang w:val="en-US" w:eastAsia="en-US"/>
    </w:rPr>
  </w:style>
  <w:style w:type="paragraph" w:styleId="Footer">
    <w:name w:val="footer"/>
    <w:basedOn w:val="Normal"/>
    <w:link w:val="FooterChar"/>
    <w:rsid w:val="00160F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60F0D"/>
    <w:rPr>
      <w:rFonts w:ascii="Times New Roman" w:eastAsia="Times New Roman" w:hAnsi="Times New Roman" w:cs="Times New Roman"/>
      <w:sz w:val="16"/>
      <w:lang w:val="en-US" w:eastAsia="en-US"/>
    </w:rPr>
  </w:style>
  <w:style w:type="paragraph" w:styleId="ListBullet">
    <w:name w:val="List Bullet"/>
    <w:basedOn w:val="List"/>
    <w:rsid w:val="00160F0D"/>
    <w:pPr>
      <w:numPr>
        <w:numId w:val="14"/>
      </w:numPr>
      <w:tabs>
        <w:tab w:val="clear" w:pos="340"/>
      </w:tabs>
      <w:spacing w:before="40" w:after="40"/>
    </w:pPr>
  </w:style>
  <w:style w:type="character" w:customStyle="1" w:styleId="SpecialBold">
    <w:name w:val="Special Bold"/>
    <w:rsid w:val="00160F0D"/>
    <w:rPr>
      <w:b/>
      <w:spacing w:val="0"/>
    </w:rPr>
  </w:style>
  <w:style w:type="paragraph" w:styleId="ListBullet2">
    <w:name w:val="List Bullet 2"/>
    <w:basedOn w:val="List2"/>
    <w:rsid w:val="00160F0D"/>
    <w:pPr>
      <w:numPr>
        <w:numId w:val="15"/>
      </w:numPr>
      <w:tabs>
        <w:tab w:val="clear" w:pos="680"/>
      </w:tabs>
    </w:pPr>
  </w:style>
  <w:style w:type="paragraph" w:styleId="Header">
    <w:name w:val="header"/>
    <w:basedOn w:val="Normal"/>
    <w:link w:val="HeaderChar"/>
    <w:rsid w:val="00160F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60F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0F0D"/>
    <w:pPr>
      <w:spacing w:before="240" w:after="120"/>
      <w:outlineLvl w:val="0"/>
    </w:pPr>
    <w:rPr>
      <w:rFonts w:ascii="Times New Roman" w:hAnsi="Times New Roman"/>
      <w:b/>
      <w:sz w:val="28"/>
    </w:rPr>
  </w:style>
  <w:style w:type="paragraph" w:customStyle="1" w:styleId="AllowPageBreak">
    <w:name w:val="AllowPageBreak"/>
    <w:rsid w:val="00160F0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60F0D"/>
    <w:pPr>
      <w:numPr>
        <w:numId w:val="3"/>
      </w:numPr>
      <w:tabs>
        <w:tab w:val="clear" w:pos="1021"/>
      </w:tabs>
      <w:ind w:left="1037" w:hanging="357"/>
    </w:pPr>
  </w:style>
  <w:style w:type="character" w:customStyle="1" w:styleId="Heading2Char">
    <w:name w:val="Heading 2 Char"/>
    <w:link w:val="Heading2"/>
    <w:rsid w:val="00160F0D"/>
    <w:rPr>
      <w:rFonts w:ascii="Times New Roman" w:eastAsia="Times New Roman" w:hAnsi="Times New Roman" w:cs="Times New Roman"/>
      <w:b/>
      <w:sz w:val="28"/>
      <w:szCs w:val="40"/>
      <w:lang w:eastAsia="en-US"/>
    </w:rPr>
  </w:style>
  <w:style w:type="character" w:customStyle="1" w:styleId="Heading3Char">
    <w:name w:val="Heading 3 Char"/>
    <w:link w:val="Heading3"/>
    <w:rsid w:val="00160F0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60F0D"/>
    <w:rPr>
      <w:rFonts w:ascii="Times New Roman" w:eastAsia="Times New Roman" w:hAnsi="Times New Roman" w:cs="Times New Roman"/>
      <w:b/>
      <w:szCs w:val="20"/>
      <w:lang w:eastAsia="en-US"/>
    </w:rPr>
  </w:style>
  <w:style w:type="character" w:customStyle="1" w:styleId="Heading5Char">
    <w:name w:val="Heading 5 Char"/>
    <w:link w:val="Heading5"/>
    <w:rsid w:val="00160F0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60F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0F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0F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0F0D"/>
    <w:rPr>
      <w:rFonts w:ascii="Courier New" w:eastAsia="Times New Roman" w:hAnsi="Courier New" w:cs="Times New Roman"/>
      <w:i/>
      <w:szCs w:val="20"/>
      <w:lang w:val="en-US" w:eastAsia="en-US"/>
    </w:rPr>
  </w:style>
  <w:style w:type="paragraph" w:customStyle="1" w:styleId="HeadingBase">
    <w:name w:val="Heading Base"/>
    <w:rsid w:val="00160F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0F0D"/>
    <w:pPr>
      <w:tabs>
        <w:tab w:val="right" w:leader="dot" w:pos="9072"/>
      </w:tabs>
      <w:ind w:left="567"/>
    </w:pPr>
    <w:rPr>
      <w:szCs w:val="22"/>
    </w:rPr>
  </w:style>
  <w:style w:type="paragraph" w:customStyle="1" w:styleId="TOCBase">
    <w:name w:val="TOC Base"/>
    <w:rsid w:val="00160F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0F0D"/>
    <w:pPr>
      <w:tabs>
        <w:tab w:val="right" w:leader="dot" w:pos="9072"/>
      </w:tabs>
      <w:spacing w:before="40" w:after="40"/>
      <w:ind w:left="284"/>
    </w:pPr>
    <w:rPr>
      <w:rFonts w:ascii="Times New Roman" w:hAnsi="Times New Roman"/>
    </w:rPr>
  </w:style>
  <w:style w:type="paragraph" w:styleId="TOC1">
    <w:name w:val="toc 1"/>
    <w:basedOn w:val="TOCBase"/>
    <w:next w:val="Normal"/>
    <w:rsid w:val="00160F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0F0D"/>
    <w:pPr>
      <w:spacing w:before="5040"/>
      <w:jc w:val="center"/>
    </w:pPr>
    <w:rPr>
      <w:sz w:val="48"/>
      <w:szCs w:val="72"/>
      <w:lang w:val="en-US"/>
    </w:rPr>
  </w:style>
  <w:style w:type="character" w:customStyle="1" w:styleId="TitleChar">
    <w:name w:val="Title Char"/>
    <w:link w:val="Title"/>
    <w:rsid w:val="00160F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0F0D"/>
    <w:pPr>
      <w:tabs>
        <w:tab w:val="left" w:pos="3600"/>
        <w:tab w:val="left" w:pos="3958"/>
      </w:tabs>
    </w:pPr>
  </w:style>
  <w:style w:type="paragraph" w:styleId="List">
    <w:name w:val="List"/>
    <w:basedOn w:val="BodyText"/>
    <w:next w:val="BodyText"/>
    <w:rsid w:val="00160F0D"/>
    <w:pPr>
      <w:tabs>
        <w:tab w:val="left" w:pos="340"/>
      </w:tabs>
      <w:spacing w:before="60" w:after="60"/>
      <w:ind w:left="340" w:hanging="340"/>
    </w:pPr>
  </w:style>
  <w:style w:type="paragraph" w:customStyle="1" w:styleId="Note">
    <w:name w:val="Note"/>
    <w:basedOn w:val="BodyText"/>
    <w:rsid w:val="00160F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0F0D"/>
    <w:pPr>
      <w:framePr w:wrap="auto" w:hAnchor="text" w:y="6049"/>
    </w:pPr>
    <w:rPr>
      <w:color w:val="000000"/>
      <w:sz w:val="40"/>
    </w:rPr>
  </w:style>
  <w:style w:type="paragraph" w:customStyle="1" w:styleId="TOCTitle">
    <w:name w:val="TOCTitle"/>
    <w:basedOn w:val="Heading1"/>
    <w:rsid w:val="00160F0D"/>
    <w:pPr>
      <w:spacing w:after="240"/>
      <w:jc w:val="center"/>
      <w:outlineLvl w:val="9"/>
    </w:pPr>
    <w:rPr>
      <w:caps/>
    </w:rPr>
  </w:style>
  <w:style w:type="paragraph" w:customStyle="1" w:styleId="Version">
    <w:name w:val="Version"/>
    <w:rsid w:val="00160F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0F0D"/>
    <w:pPr>
      <w:keepNext w:val="0"/>
      <w:tabs>
        <w:tab w:val="right" w:pos="4176"/>
      </w:tabs>
      <w:ind w:left="198" w:hanging="198"/>
    </w:pPr>
    <w:rPr>
      <w:rFonts w:ascii="Garamond" w:hAnsi="Garamond"/>
    </w:rPr>
  </w:style>
  <w:style w:type="paragraph" w:styleId="IndexHeading">
    <w:name w:val="index heading"/>
    <w:basedOn w:val="Normal"/>
    <w:next w:val="Index1"/>
    <w:semiHidden/>
    <w:rsid w:val="00160F0D"/>
    <w:pPr>
      <w:spacing w:before="120" w:after="120"/>
    </w:pPr>
    <w:rPr>
      <w:rFonts w:ascii="Arial" w:hAnsi="Arial"/>
      <w:b/>
      <w:color w:val="918585"/>
      <w:sz w:val="24"/>
    </w:rPr>
  </w:style>
  <w:style w:type="paragraph" w:customStyle="1" w:styleId="Chapter">
    <w:name w:val="Chapter"/>
    <w:basedOn w:val="Normal"/>
    <w:rsid w:val="00160F0D"/>
    <w:pPr>
      <w:spacing w:before="240"/>
    </w:pPr>
    <w:rPr>
      <w:rFonts w:ascii="Times New Roman" w:hAnsi="Times New Roman"/>
      <w:smallCaps/>
      <w:spacing w:val="80"/>
      <w:sz w:val="28"/>
    </w:rPr>
  </w:style>
  <w:style w:type="paragraph" w:customStyle="1" w:styleId="InChapter">
    <w:name w:val="InChapter"/>
    <w:basedOn w:val="Heading3"/>
    <w:rsid w:val="00160F0D"/>
    <w:pPr>
      <w:spacing w:after="240"/>
      <w:outlineLvl w:val="9"/>
    </w:pPr>
    <w:rPr>
      <w:noProof/>
    </w:rPr>
  </w:style>
  <w:style w:type="paragraph" w:styleId="Index2">
    <w:name w:val="index 2"/>
    <w:basedOn w:val="Normal"/>
    <w:next w:val="Normal"/>
    <w:semiHidden/>
    <w:rsid w:val="00160F0D"/>
    <w:pPr>
      <w:tabs>
        <w:tab w:val="right" w:pos="4176"/>
      </w:tabs>
      <w:ind w:left="568" w:hanging="284"/>
    </w:pPr>
    <w:rPr>
      <w:rFonts w:ascii="Garamond" w:hAnsi="Garamond"/>
    </w:rPr>
  </w:style>
  <w:style w:type="paragraph" w:customStyle="1" w:styleId="Byline">
    <w:name w:val="Byline"/>
    <w:rsid w:val="00160F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0F0D"/>
    <w:pPr>
      <w:tabs>
        <w:tab w:val="clear" w:pos="3600"/>
        <w:tab w:val="clear" w:pos="3958"/>
      </w:tabs>
      <w:jc w:val="right"/>
    </w:pPr>
  </w:style>
  <w:style w:type="character" w:styleId="Emphasis">
    <w:name w:val="Emphasis"/>
    <w:qFormat/>
    <w:rsid w:val="00160F0D"/>
    <w:rPr>
      <w:i/>
    </w:rPr>
  </w:style>
  <w:style w:type="paragraph" w:styleId="Caption">
    <w:name w:val="caption"/>
    <w:basedOn w:val="BodyText"/>
    <w:next w:val="Normal"/>
    <w:qFormat/>
    <w:rsid w:val="00160F0D"/>
    <w:pPr>
      <w:framePr w:w="2268" w:hSpace="181" w:vSpace="181" w:wrap="around" w:vAnchor="text" w:hAnchor="page" w:x="1135" w:y="285" w:anchorLock="1"/>
    </w:pPr>
    <w:rPr>
      <w:i/>
    </w:rPr>
  </w:style>
  <w:style w:type="paragraph" w:customStyle="1" w:styleId="MiniTOCTitle">
    <w:name w:val="MiniTOCTitle"/>
    <w:basedOn w:val="Heading4"/>
    <w:rsid w:val="00160F0D"/>
    <w:pPr>
      <w:spacing w:before="240"/>
      <w:outlineLvl w:val="9"/>
    </w:pPr>
    <w:rPr>
      <w:noProof/>
      <w:sz w:val="24"/>
    </w:rPr>
  </w:style>
  <w:style w:type="paragraph" w:customStyle="1" w:styleId="MiniTOCItem">
    <w:name w:val="MiniTOCItem"/>
    <w:basedOn w:val="ListBullet"/>
    <w:rsid w:val="00160F0D"/>
    <w:pPr>
      <w:numPr>
        <w:numId w:val="0"/>
      </w:numPr>
      <w:tabs>
        <w:tab w:val="right" w:leader="dot" w:pos="6521"/>
      </w:tabs>
      <w:spacing w:before="0" w:after="0"/>
    </w:pPr>
  </w:style>
  <w:style w:type="paragraph" w:customStyle="1" w:styleId="TOFTitle">
    <w:name w:val="TOFTitle"/>
    <w:basedOn w:val="TOCTitle"/>
    <w:rsid w:val="00160F0D"/>
  </w:style>
  <w:style w:type="paragraph" w:styleId="TableofFigures">
    <w:name w:val="table of figures"/>
    <w:basedOn w:val="Normal"/>
    <w:next w:val="Normal"/>
    <w:semiHidden/>
    <w:rsid w:val="00160F0D"/>
    <w:pPr>
      <w:tabs>
        <w:tab w:val="right" w:leader="dot" w:pos="9072"/>
      </w:tabs>
      <w:ind w:left="970" w:hanging="403"/>
    </w:pPr>
    <w:rPr>
      <w:rFonts w:ascii="Times New Roman" w:hAnsi="Times New Roman"/>
      <w:b/>
    </w:rPr>
  </w:style>
  <w:style w:type="paragraph" w:styleId="ListNumber">
    <w:name w:val="List Number"/>
    <w:basedOn w:val="List"/>
    <w:rsid w:val="00160F0D"/>
    <w:pPr>
      <w:numPr>
        <w:numId w:val="12"/>
      </w:numPr>
    </w:pPr>
  </w:style>
  <w:style w:type="character" w:customStyle="1" w:styleId="WingdingSymbols">
    <w:name w:val="Wingding Symbols"/>
    <w:rsid w:val="00160F0D"/>
    <w:rPr>
      <w:rFonts w:ascii="Wingdings" w:hAnsi="Wingdings"/>
    </w:rPr>
  </w:style>
  <w:style w:type="paragraph" w:customStyle="1" w:styleId="TableHeading">
    <w:name w:val="Table Heading"/>
    <w:basedOn w:val="HeadingBase"/>
    <w:rsid w:val="00160F0D"/>
    <w:pPr>
      <w:keepLines/>
      <w:pBdr>
        <w:bottom w:val="single" w:sz="6" w:space="1" w:color="918585"/>
      </w:pBdr>
      <w:spacing w:before="240"/>
    </w:pPr>
  </w:style>
  <w:style w:type="character" w:customStyle="1" w:styleId="HotSpot">
    <w:name w:val="HotSpot"/>
    <w:rsid w:val="00160F0D"/>
    <w:rPr>
      <w:color w:val="0033CC"/>
      <w:u w:val="none"/>
    </w:rPr>
  </w:style>
  <w:style w:type="paragraph" w:customStyle="1" w:styleId="BodyTextRight">
    <w:name w:val="Body Text Right"/>
    <w:basedOn w:val="BodyText"/>
    <w:rsid w:val="00160F0D"/>
    <w:pPr>
      <w:spacing w:before="0" w:after="0"/>
      <w:jc w:val="right"/>
    </w:pPr>
  </w:style>
  <w:style w:type="paragraph" w:styleId="Index3">
    <w:name w:val="index 3"/>
    <w:basedOn w:val="ListNumber2"/>
    <w:next w:val="Normal"/>
    <w:semiHidden/>
    <w:rsid w:val="00160F0D"/>
    <w:pPr>
      <w:numPr>
        <w:numId w:val="0"/>
      </w:numPr>
      <w:tabs>
        <w:tab w:val="right" w:leader="dot" w:pos="4176"/>
      </w:tabs>
    </w:pPr>
  </w:style>
  <w:style w:type="paragraph" w:styleId="ListNumber2">
    <w:name w:val="List Number 2"/>
    <w:basedOn w:val="List2"/>
    <w:rsid w:val="00160F0D"/>
    <w:pPr>
      <w:numPr>
        <w:numId w:val="11"/>
      </w:numPr>
      <w:tabs>
        <w:tab w:val="clear" w:pos="1060"/>
      </w:tabs>
    </w:pPr>
  </w:style>
  <w:style w:type="paragraph" w:customStyle="1" w:styleId="MarginNote">
    <w:name w:val="Margin Note"/>
    <w:basedOn w:val="BodyText"/>
    <w:rsid w:val="00160F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0F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60F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0F0D"/>
    <w:rPr>
      <w:sz w:val="32"/>
    </w:rPr>
  </w:style>
  <w:style w:type="paragraph" w:customStyle="1" w:styleId="HeadingProcedure">
    <w:name w:val="Heading Procedure"/>
    <w:basedOn w:val="HeadingBase"/>
    <w:next w:val="Normal"/>
    <w:rsid w:val="00160F0D"/>
    <w:pPr>
      <w:tabs>
        <w:tab w:val="left" w:pos="0"/>
      </w:tabs>
      <w:spacing w:before="120" w:after="60"/>
    </w:pPr>
    <w:rPr>
      <w:i/>
      <w:color w:val="918585"/>
      <w:sz w:val="22"/>
    </w:rPr>
  </w:style>
  <w:style w:type="paragraph" w:customStyle="1" w:styleId="TableBodyText">
    <w:name w:val="Table Body Text"/>
    <w:basedOn w:val="BodyText"/>
    <w:rsid w:val="00160F0D"/>
    <w:pPr>
      <w:spacing w:before="60" w:after="60"/>
    </w:pPr>
  </w:style>
  <w:style w:type="paragraph" w:styleId="ListContinue">
    <w:name w:val="List Continue"/>
    <w:basedOn w:val="List"/>
    <w:rsid w:val="00160F0D"/>
    <w:pPr>
      <w:ind w:firstLine="0"/>
    </w:pPr>
  </w:style>
  <w:style w:type="paragraph" w:customStyle="1" w:styleId="ListNote">
    <w:name w:val="List Note"/>
    <w:basedOn w:val="List"/>
    <w:rsid w:val="00160F0D"/>
    <w:pPr>
      <w:pBdr>
        <w:top w:val="single" w:sz="6" w:space="2" w:color="918585"/>
        <w:bottom w:val="single" w:sz="6" w:space="2" w:color="918585"/>
      </w:pBdr>
      <w:tabs>
        <w:tab w:val="left" w:pos="1021"/>
      </w:tabs>
      <w:ind w:firstLine="0"/>
    </w:pPr>
  </w:style>
  <w:style w:type="paragraph" w:customStyle="1" w:styleId="Warning">
    <w:name w:val="Warning"/>
    <w:basedOn w:val="BodyText"/>
    <w:rsid w:val="00160F0D"/>
    <w:pPr>
      <w:shd w:val="clear" w:color="auto" w:fill="D9D9D9"/>
      <w:tabs>
        <w:tab w:val="left" w:pos="992"/>
      </w:tabs>
      <w:ind w:left="119" w:right="119"/>
    </w:pPr>
    <w:rPr>
      <w:sz w:val="20"/>
    </w:rPr>
  </w:style>
  <w:style w:type="paragraph" w:customStyle="1" w:styleId="MarginIcons">
    <w:name w:val="Margin Icons"/>
    <w:basedOn w:val="BodyText"/>
    <w:rsid w:val="00160F0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60F0D"/>
    <w:rPr>
      <w:rFonts w:ascii="Courier New" w:hAnsi="Courier New"/>
    </w:rPr>
  </w:style>
  <w:style w:type="paragraph" w:customStyle="1" w:styleId="NoteBullet">
    <w:name w:val="Note Bullet"/>
    <w:basedOn w:val="Note"/>
    <w:rsid w:val="00160F0D"/>
    <w:pPr>
      <w:tabs>
        <w:tab w:val="clear" w:pos="680"/>
      </w:tabs>
      <w:spacing w:before="60" w:after="60"/>
    </w:pPr>
  </w:style>
  <w:style w:type="paragraph" w:customStyle="1" w:styleId="SubHeading2">
    <w:name w:val="SubHeading2"/>
    <w:basedOn w:val="HeadingBase"/>
    <w:rsid w:val="00160F0D"/>
    <w:pPr>
      <w:spacing w:before="240" w:after="60"/>
    </w:pPr>
    <w:rPr>
      <w:sz w:val="20"/>
    </w:rPr>
  </w:style>
  <w:style w:type="paragraph" w:customStyle="1" w:styleId="SubHeading1">
    <w:name w:val="SubHeading1"/>
    <w:basedOn w:val="HeadingBase"/>
    <w:rsid w:val="00160F0D"/>
    <w:pPr>
      <w:spacing w:before="240" w:after="60"/>
    </w:pPr>
    <w:rPr>
      <w:color w:val="918585"/>
      <w:sz w:val="22"/>
    </w:rPr>
  </w:style>
  <w:style w:type="paragraph" w:customStyle="1" w:styleId="SideHeading">
    <w:name w:val="Side Heading"/>
    <w:basedOn w:val="HeadingBase"/>
    <w:rsid w:val="00160F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0F0D"/>
    <w:pPr>
      <w:numPr>
        <w:numId w:val="13"/>
      </w:numPr>
    </w:pPr>
  </w:style>
  <w:style w:type="paragraph" w:styleId="PlainText">
    <w:name w:val="Plain Text"/>
    <w:basedOn w:val="Normal"/>
    <w:link w:val="PlainTextChar"/>
    <w:rsid w:val="00160F0D"/>
    <w:rPr>
      <w:sz w:val="20"/>
    </w:rPr>
  </w:style>
  <w:style w:type="character" w:customStyle="1" w:styleId="PlainTextChar">
    <w:name w:val="Plain Text Char"/>
    <w:basedOn w:val="DefaultParagraphFont"/>
    <w:link w:val="PlainText"/>
    <w:rsid w:val="00160F0D"/>
    <w:rPr>
      <w:rFonts w:ascii="Courier New" w:eastAsia="Times New Roman" w:hAnsi="Courier New" w:cs="Times New Roman"/>
      <w:sz w:val="20"/>
      <w:szCs w:val="20"/>
      <w:lang w:val="en-US" w:eastAsia="en-US"/>
    </w:rPr>
  </w:style>
  <w:style w:type="character" w:customStyle="1" w:styleId="MenuOption">
    <w:name w:val="Menu Option"/>
    <w:rsid w:val="00160F0D"/>
    <w:rPr>
      <w:b/>
      <w:smallCaps/>
    </w:rPr>
  </w:style>
  <w:style w:type="paragraph" w:customStyle="1" w:styleId="TableListNumber">
    <w:name w:val="Table List Number"/>
    <w:basedOn w:val="ListNumber"/>
    <w:rsid w:val="00160F0D"/>
    <w:pPr>
      <w:numPr>
        <w:numId w:val="0"/>
      </w:numPr>
    </w:pPr>
  </w:style>
  <w:style w:type="paragraph" w:styleId="TOC4">
    <w:name w:val="toc 4"/>
    <w:basedOn w:val="TOCBase"/>
    <w:next w:val="Normal"/>
    <w:semiHidden/>
    <w:rsid w:val="00160F0D"/>
    <w:pPr>
      <w:tabs>
        <w:tab w:val="right" w:leader="dot" w:pos="9071"/>
      </w:tabs>
      <w:ind w:left="1701"/>
    </w:pPr>
  </w:style>
  <w:style w:type="paragraph" w:customStyle="1" w:styleId="ListAlpha">
    <w:name w:val="List Alpha"/>
    <w:basedOn w:val="List"/>
    <w:rsid w:val="00160F0D"/>
    <w:pPr>
      <w:numPr>
        <w:numId w:val="10"/>
      </w:numPr>
    </w:pPr>
  </w:style>
  <w:style w:type="paragraph" w:customStyle="1" w:styleId="ListAlpha2">
    <w:name w:val="List Alpha 2"/>
    <w:basedOn w:val="List2"/>
    <w:rsid w:val="00160F0D"/>
    <w:pPr>
      <w:numPr>
        <w:numId w:val="9"/>
      </w:numPr>
    </w:pPr>
  </w:style>
  <w:style w:type="paragraph" w:styleId="List2">
    <w:name w:val="List 2"/>
    <w:basedOn w:val="BodyText"/>
    <w:rsid w:val="00160F0D"/>
    <w:pPr>
      <w:tabs>
        <w:tab w:val="left" w:pos="680"/>
      </w:tabs>
      <w:spacing w:before="60" w:after="60"/>
      <w:ind w:left="680" w:hanging="340"/>
    </w:pPr>
  </w:style>
  <w:style w:type="paragraph" w:styleId="List3">
    <w:name w:val="List 3"/>
    <w:basedOn w:val="BodyText"/>
    <w:rsid w:val="00160F0D"/>
    <w:pPr>
      <w:tabs>
        <w:tab w:val="left" w:pos="1021"/>
      </w:tabs>
      <w:spacing w:before="60" w:after="60"/>
      <w:ind w:left="1020" w:hanging="340"/>
    </w:pPr>
  </w:style>
  <w:style w:type="paragraph" w:styleId="List4">
    <w:name w:val="List 4"/>
    <w:basedOn w:val="BodyText"/>
    <w:rsid w:val="00160F0D"/>
    <w:pPr>
      <w:tabs>
        <w:tab w:val="left" w:pos="1361"/>
      </w:tabs>
      <w:spacing w:before="60" w:after="60"/>
      <w:ind w:left="1361" w:hanging="340"/>
    </w:pPr>
  </w:style>
  <w:style w:type="paragraph" w:styleId="List5">
    <w:name w:val="List 5"/>
    <w:basedOn w:val="BodyText"/>
    <w:rsid w:val="00160F0D"/>
    <w:pPr>
      <w:tabs>
        <w:tab w:val="left" w:pos="1701"/>
      </w:tabs>
      <w:spacing w:before="60" w:after="60"/>
      <w:ind w:left="1701" w:hanging="340"/>
    </w:pPr>
  </w:style>
  <w:style w:type="paragraph" w:styleId="ListBullet4">
    <w:name w:val="List Bullet 4"/>
    <w:basedOn w:val="List4"/>
    <w:rsid w:val="00160F0D"/>
    <w:pPr>
      <w:numPr>
        <w:numId w:val="4"/>
      </w:numPr>
    </w:pPr>
  </w:style>
  <w:style w:type="paragraph" w:styleId="ListBullet5">
    <w:name w:val="List Bullet 5"/>
    <w:basedOn w:val="List5"/>
    <w:rsid w:val="00160F0D"/>
    <w:pPr>
      <w:numPr>
        <w:numId w:val="5"/>
      </w:numPr>
    </w:pPr>
  </w:style>
  <w:style w:type="paragraph" w:styleId="ListContinue2">
    <w:name w:val="List Continue 2"/>
    <w:basedOn w:val="List2"/>
    <w:rsid w:val="00160F0D"/>
    <w:pPr>
      <w:ind w:firstLine="0"/>
    </w:pPr>
  </w:style>
  <w:style w:type="paragraph" w:styleId="ListContinue3">
    <w:name w:val="List Continue 3"/>
    <w:basedOn w:val="List3"/>
    <w:rsid w:val="00160F0D"/>
    <w:pPr>
      <w:ind w:left="1021" w:firstLine="0"/>
    </w:pPr>
  </w:style>
  <w:style w:type="paragraph" w:styleId="ListContinue4">
    <w:name w:val="List Continue 4"/>
    <w:basedOn w:val="List4"/>
    <w:rsid w:val="00160F0D"/>
    <w:pPr>
      <w:ind w:firstLine="0"/>
    </w:pPr>
  </w:style>
  <w:style w:type="paragraph" w:styleId="ListContinue5">
    <w:name w:val="List Continue 5"/>
    <w:basedOn w:val="List5"/>
    <w:rsid w:val="00160F0D"/>
    <w:pPr>
      <w:ind w:firstLine="0"/>
    </w:pPr>
  </w:style>
  <w:style w:type="paragraph" w:styleId="ListNumber3">
    <w:name w:val="List Number 3"/>
    <w:basedOn w:val="List3"/>
    <w:rsid w:val="00160F0D"/>
    <w:pPr>
      <w:numPr>
        <w:numId w:val="6"/>
      </w:numPr>
    </w:pPr>
  </w:style>
  <w:style w:type="paragraph" w:styleId="ListNumber4">
    <w:name w:val="List Number 4"/>
    <w:basedOn w:val="List4"/>
    <w:rsid w:val="00160F0D"/>
    <w:pPr>
      <w:numPr>
        <w:numId w:val="7"/>
      </w:numPr>
    </w:pPr>
  </w:style>
  <w:style w:type="paragraph" w:styleId="ListNumber5">
    <w:name w:val="List Number 5"/>
    <w:basedOn w:val="List5"/>
    <w:rsid w:val="00160F0D"/>
    <w:pPr>
      <w:numPr>
        <w:numId w:val="8"/>
      </w:numPr>
    </w:pPr>
  </w:style>
  <w:style w:type="paragraph" w:styleId="BlockText">
    <w:name w:val="Block Text"/>
    <w:basedOn w:val="Normal"/>
    <w:rsid w:val="00160F0D"/>
    <w:pPr>
      <w:spacing w:after="120"/>
      <w:ind w:left="1440" w:right="1440"/>
    </w:pPr>
  </w:style>
  <w:style w:type="character" w:customStyle="1" w:styleId="Subscript">
    <w:name w:val="Subscript"/>
    <w:rsid w:val="00160F0D"/>
    <w:rPr>
      <w:sz w:val="16"/>
      <w:vertAlign w:val="subscript"/>
    </w:rPr>
  </w:style>
  <w:style w:type="character" w:customStyle="1" w:styleId="Superscript">
    <w:name w:val="Superscript"/>
    <w:rsid w:val="00160F0D"/>
    <w:rPr>
      <w:sz w:val="16"/>
      <w:vertAlign w:val="superscript"/>
    </w:rPr>
  </w:style>
  <w:style w:type="character" w:customStyle="1" w:styleId="Symbols">
    <w:name w:val="Symbols"/>
    <w:rsid w:val="00160F0D"/>
    <w:rPr>
      <w:rFonts w:ascii="Symbol" w:hAnsi="Symbol"/>
    </w:rPr>
  </w:style>
  <w:style w:type="character" w:customStyle="1" w:styleId="MenuOptions">
    <w:name w:val="Menu Options"/>
    <w:rsid w:val="00160F0D"/>
    <w:rPr>
      <w:rFonts w:ascii="Arial Narrow" w:hAnsi="Arial Narrow"/>
      <w:smallCaps/>
    </w:rPr>
  </w:style>
  <w:style w:type="character" w:customStyle="1" w:styleId="Buttons">
    <w:name w:val="Buttons"/>
    <w:rsid w:val="00160F0D"/>
    <w:rPr>
      <w:b/>
    </w:rPr>
  </w:style>
  <w:style w:type="character" w:customStyle="1" w:styleId="Underlined">
    <w:name w:val="Underlined"/>
    <w:rsid w:val="00160F0D"/>
    <w:rPr>
      <w:u w:val="single"/>
    </w:rPr>
  </w:style>
  <w:style w:type="paragraph" w:customStyle="1" w:styleId="TableBodyTextRight">
    <w:name w:val="Table Body Text Right"/>
    <w:basedOn w:val="TableBodyText"/>
    <w:rsid w:val="00160F0D"/>
    <w:pPr>
      <w:widowControl w:val="0"/>
      <w:autoSpaceDE w:val="0"/>
      <w:autoSpaceDN w:val="0"/>
      <w:adjustRightInd w:val="0"/>
      <w:jc w:val="right"/>
    </w:pPr>
    <w:rPr>
      <w:rFonts w:cs="Arial"/>
      <w:szCs w:val="18"/>
    </w:rPr>
  </w:style>
  <w:style w:type="paragraph" w:customStyle="1" w:styleId="CopyrightText">
    <w:name w:val="Copyright Text"/>
    <w:basedOn w:val="BodyText"/>
    <w:rsid w:val="00160F0D"/>
    <w:rPr>
      <w:sz w:val="18"/>
    </w:rPr>
  </w:style>
  <w:style w:type="paragraph" w:customStyle="1" w:styleId="BodySmallRight">
    <w:name w:val="Body Small Right"/>
    <w:basedOn w:val="BodyTextRight"/>
    <w:rsid w:val="00160F0D"/>
    <w:rPr>
      <w:sz w:val="18"/>
      <w:szCs w:val="18"/>
    </w:rPr>
  </w:style>
  <w:style w:type="paragraph" w:customStyle="1" w:styleId="MarginEdition">
    <w:name w:val="Margin Edition"/>
    <w:basedOn w:val="MarginNote"/>
    <w:rsid w:val="00160F0D"/>
    <w:pPr>
      <w:spacing w:before="0" w:after="0"/>
    </w:pPr>
    <w:rPr>
      <w:rFonts w:ascii="Times New Roman" w:hAnsi="Times New Roman"/>
      <w:color w:val="999999"/>
    </w:rPr>
  </w:style>
  <w:style w:type="paragraph" w:customStyle="1" w:styleId="Spacer">
    <w:name w:val="Spacer"/>
    <w:basedOn w:val="Normal"/>
    <w:rsid w:val="00160F0D"/>
    <w:rPr>
      <w:sz w:val="2"/>
      <w:szCs w:val="2"/>
    </w:rPr>
  </w:style>
  <w:style w:type="character" w:customStyle="1" w:styleId="Small">
    <w:name w:val="Small"/>
    <w:rsid w:val="00160F0D"/>
    <w:rPr>
      <w:sz w:val="16"/>
    </w:rPr>
  </w:style>
  <w:style w:type="paragraph" w:customStyle="1" w:styleId="WideTable">
    <w:name w:val="Wide Table"/>
    <w:basedOn w:val="Normal"/>
    <w:rsid w:val="00160F0D"/>
    <w:pPr>
      <w:ind w:left="-1418"/>
    </w:pPr>
    <w:rPr>
      <w:sz w:val="2"/>
      <w:szCs w:val="2"/>
    </w:rPr>
  </w:style>
  <w:style w:type="character" w:styleId="PageNumber">
    <w:name w:val="page number"/>
    <w:rsid w:val="00160F0D"/>
  </w:style>
  <w:style w:type="paragraph" w:styleId="Quote">
    <w:name w:val="Quote"/>
    <w:basedOn w:val="Heading1"/>
    <w:link w:val="QuoteChar"/>
    <w:qFormat/>
    <w:rsid w:val="00160F0D"/>
    <w:rPr>
      <w:b w:val="0"/>
      <w:sz w:val="72"/>
      <w:szCs w:val="72"/>
      <w:lang w:val="en-NZ"/>
    </w:rPr>
  </w:style>
  <w:style w:type="character" w:customStyle="1" w:styleId="QuoteChar">
    <w:name w:val="Quote Char"/>
    <w:link w:val="Quote"/>
    <w:rsid w:val="00160F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0F0D"/>
    <w:pPr>
      <w:pageBreakBefore/>
    </w:pPr>
  </w:style>
  <w:style w:type="paragraph" w:customStyle="1" w:styleId="Border">
    <w:name w:val="Border"/>
    <w:basedOn w:val="Normal"/>
    <w:qFormat/>
    <w:rsid w:val="00160F0D"/>
    <w:pPr>
      <w:pBdr>
        <w:top w:val="single" w:sz="18" w:space="1" w:color="auto"/>
      </w:pBdr>
    </w:pPr>
    <w:rPr>
      <w:rFonts w:ascii="Times New Roman" w:hAnsi="Times New Roman"/>
      <w:color w:val="FFFFFF"/>
      <w:sz w:val="2"/>
    </w:rPr>
  </w:style>
  <w:style w:type="character" w:styleId="IntenseEmphasis">
    <w:name w:val="Intense Emphasis"/>
    <w:uiPriority w:val="21"/>
    <w:qFormat/>
    <w:rsid w:val="00160F0D"/>
    <w:rPr>
      <w:b/>
      <w:bCs/>
      <w:i/>
      <w:iCs/>
      <w:color w:val="auto"/>
    </w:rPr>
  </w:style>
  <w:style w:type="paragraph" w:styleId="IntenseQuote">
    <w:name w:val="Intense Quote"/>
    <w:basedOn w:val="Normal"/>
    <w:next w:val="Normal"/>
    <w:link w:val="IntenseQuoteChar"/>
    <w:uiPriority w:val="30"/>
    <w:qFormat/>
    <w:rsid w:val="00160F0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60F0D"/>
    <w:rPr>
      <w:rFonts w:ascii="Courier New" w:eastAsia="Times New Roman" w:hAnsi="Courier New" w:cs="Times New Roman"/>
      <w:b/>
      <w:bCs/>
      <w:i/>
      <w:iCs/>
      <w:szCs w:val="20"/>
      <w:lang w:val="en-US" w:eastAsia="en-US"/>
    </w:rPr>
  </w:style>
  <w:style w:type="character" w:styleId="SubtleReference">
    <w:name w:val="Subtle Reference"/>
    <w:uiPriority w:val="31"/>
    <w:qFormat/>
    <w:rsid w:val="00160F0D"/>
    <w:rPr>
      <w:smallCaps/>
      <w:color w:val="auto"/>
      <w:u w:val="single"/>
    </w:rPr>
  </w:style>
  <w:style w:type="character" w:styleId="IntenseReference">
    <w:name w:val="Intense Reference"/>
    <w:uiPriority w:val="32"/>
    <w:qFormat/>
    <w:rsid w:val="00160F0D"/>
    <w:rPr>
      <w:b/>
      <w:bCs/>
      <w:smallCaps/>
      <w:color w:val="auto"/>
      <w:spacing w:val="5"/>
      <w:u w:val="single"/>
    </w:rPr>
  </w:style>
  <w:style w:type="paragraph" w:customStyle="1" w:styleId="2ColumnHeading">
    <w:name w:val="2Column Heading"/>
    <w:basedOn w:val="BodyText"/>
    <w:qFormat/>
    <w:rsid w:val="00160F0D"/>
    <w:pPr>
      <w:spacing w:after="60"/>
      <w:ind w:left="-2268"/>
    </w:pPr>
    <w:rPr>
      <w:b/>
    </w:rPr>
  </w:style>
  <w:style w:type="paragraph" w:customStyle="1" w:styleId="Heading1TOC">
    <w:name w:val="Heading1 TOC"/>
    <w:basedOn w:val="Normal"/>
    <w:qFormat/>
    <w:rsid w:val="00160F0D"/>
    <w:pPr>
      <w:spacing w:before="240" w:after="120"/>
    </w:pPr>
    <w:rPr>
      <w:rFonts w:ascii="Times New Roman" w:hAnsi="Times New Roman"/>
      <w:b/>
      <w:sz w:val="32"/>
    </w:rPr>
  </w:style>
  <w:style w:type="paragraph" w:customStyle="1" w:styleId="Heading2TOC">
    <w:name w:val="Heading2 TOC"/>
    <w:basedOn w:val="Normal"/>
    <w:qFormat/>
    <w:rsid w:val="00160F0D"/>
    <w:pPr>
      <w:spacing w:before="240" w:after="60"/>
    </w:pPr>
    <w:rPr>
      <w:rFonts w:ascii="Times New Roman" w:hAnsi="Times New Roman"/>
      <w:b/>
      <w:sz w:val="28"/>
    </w:rPr>
  </w:style>
  <w:style w:type="character" w:customStyle="1" w:styleId="Underline">
    <w:name w:val="Underline"/>
    <w:qFormat/>
    <w:rsid w:val="00160F0D"/>
    <w:rPr>
      <w:u w:val="single"/>
    </w:rPr>
  </w:style>
  <w:style w:type="character" w:customStyle="1" w:styleId="BoldandItalics">
    <w:name w:val="Bold and Italics"/>
    <w:qFormat/>
    <w:rsid w:val="00160F0D"/>
    <w:rPr>
      <w:b/>
      <w:i/>
      <w:u w:val="none"/>
    </w:rPr>
  </w:style>
  <w:style w:type="paragraph" w:styleId="BalloonText">
    <w:name w:val="Balloon Text"/>
    <w:basedOn w:val="Normal"/>
    <w:link w:val="BalloonTextChar"/>
    <w:rsid w:val="00160F0D"/>
    <w:rPr>
      <w:rFonts w:ascii="Tahoma" w:hAnsi="Tahoma" w:cs="Tahoma"/>
      <w:sz w:val="16"/>
      <w:szCs w:val="16"/>
    </w:rPr>
  </w:style>
  <w:style w:type="character" w:customStyle="1" w:styleId="BalloonTextChar">
    <w:name w:val="Balloon Text Char"/>
    <w:link w:val="BalloonText"/>
    <w:rsid w:val="00160F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0F0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60F0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2856</Words>
  <Characters>18145</Characters>
  <Application>Microsoft Office Word</Application>
  <DocSecurity>0</DocSecurity>
  <Lines>697</Lines>
  <Paragraphs>279</Paragraphs>
  <ScaleCrop>false</ScaleCrop>
  <Company>Author-it Software Corporation Ltd.</Company>
  <LinksUpToDate>false</LinksUpToDate>
  <CharactersWithSpaces>20806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UETTDRRT30A Perform to a given schedule rail traction switching operations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2012-05-26T12:17:00Z</dcterms:created>
  <dcterms:modified xsi:type="dcterms:W3CDTF">2012-05-26T12:17:00Z</dcterms:modified>
</cp:coreProperties>
</file>