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7095" w:rsidP="00CE7095">
      <w:pPr>
        <w:pStyle w:val="Title"/>
      </w:pPr>
      <w:r>
        <w:fldChar w:fldCharType="begin"/>
      </w:r>
      <w:r>
        <w:instrText xml:space="preserve"> TITLE   \* MERGEFORMAT </w:instrText>
      </w:r>
      <w:r>
        <w:fldChar w:fldCharType="separate"/>
      </w:r>
      <w:r>
        <w:t>UETTDRRT28A Maintain overhead traction components and equipment</w:t>
      </w:r>
      <w:r>
        <w:fldChar w:fldCharType="end"/>
      </w:r>
    </w:p>
    <w:p w:rsidR="00CE7095" w:rsidP="00CE7095">
      <w:pPr>
        <w:pStyle w:val="Version"/>
        <w:sectPr w:rsidSect="00EB41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413A" w:rsidP="00EB413A">
      <w:pPr>
        <w:pStyle w:val="SuperHeading"/>
      </w:pPr>
      <w:r w:rsidRPr="00EB413A">
        <w:t>UETTDRRT28A Maintain overhead traction components and equipment</w:t>
      </w:r>
    </w:p>
    <w:p w:rsidR="00000000" w:rsidRPr="00EB413A" w:rsidP="00EB413A">
      <w:pPr>
        <w:pStyle w:val="Heading1"/>
      </w:pPr>
      <w:bookmarkStart w:id="1" w:name="O_465335"/>
      <w:bookmarkEnd w:id="1"/>
      <w:r w:rsidRPr="00EB413A">
        <w:t>Modification History</w:t>
      </w:r>
    </w:p>
    <w:p w:rsidR="00000000" w:rsidRPr="00EB413A" w:rsidP="00EB413A">
      <w:pPr>
        <w:pStyle w:val="BodyText"/>
      </w:pPr>
      <w:r w:rsidRPr="00EB413A">
        <w:t>Not applicable.</w:t>
      </w:r>
    </w:p>
    <w:p w:rsidR="00000000" w:rsidRPr="00EB413A" w:rsidP="00EB413A">
      <w:pPr>
        <w:pStyle w:val="AllowPageBreak"/>
      </w:pPr>
    </w:p>
    <w:p w:rsidR="00000000" w:rsidRPr="00EB413A" w:rsidP="00EB413A">
      <w:pPr>
        <w:pStyle w:val="Heading1"/>
      </w:pPr>
      <w:bookmarkStart w:id="2" w:name="O_465333"/>
      <w:bookmarkEnd w:id="2"/>
      <w:r w:rsidRPr="00EB413A">
        <w:t>Unit Descriptor</w:t>
      </w:r>
    </w:p>
    <w:tbl>
      <w:tblPr>
        <w:tblW w:w="0" w:type="auto"/>
        <w:tblLayout w:type="fixed"/>
        <w:tblCellMar>
          <w:left w:w="62" w:type="dxa"/>
          <w:right w:w="62" w:type="dxa"/>
        </w:tblCellMar>
        <w:tblLook w:val="0000"/>
      </w:tblPr>
      <w:tblGrid>
        <w:gridCol w:w="2700"/>
        <w:gridCol w:w="5760"/>
      </w:tblGrid>
      <w:tr w:rsidTr="00CE709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rPr>
                <w:rStyle w:val="SpecialBold"/>
              </w:rPr>
              <w:t>1)</w:t>
            </w:r>
            <w:r w:rsidRPr="00EB413A">
              <w:t xml:space="preserve"> </w:t>
            </w:r>
            <w:r w:rsidRPr="00EB413A">
              <w:rPr>
                <w:rStyle w:val="SpecialBold"/>
              </w:rPr>
              <w:t>Scope:</w:t>
            </w:r>
          </w:p>
        </w:tc>
      </w:tr>
      <w:tr w:rsidTr="00CE7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B413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rPr>
                <w:rStyle w:val="SpecialBold"/>
              </w:rPr>
              <w:t>1.1) Descriptor</w:t>
            </w:r>
          </w:p>
        </w:tc>
      </w:tr>
      <w:tr w:rsidTr="00CE7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t>This Competency Standard Unit covers the maintenance and repair of the overhead traction electrical equipment and components as well as associated hardware including ancillary equipment. It includes the repair or replacement of “like for like” electrical c</w:t>
            </w:r>
            <w:r w:rsidRPr="00EB413A">
              <w:t xml:space="preserve">omponents/equipment and associated hardware and the undertaking of safe working practices on or about the running line/track. It also encompasses the isolation of systems and circuits for safe working according to work plans and the correct positioning of </w:t>
            </w:r>
            <w:r w:rsidRPr="00EB413A">
              <w:t>road signs, barriers and or warning devices and the procedure of issuing/accepting electrical permits. It also includes the visual inspection and necessary checks to confirm that equipment; components and associated hardware are in a safe condition to test</w:t>
            </w:r>
            <w:r w:rsidRPr="00EB413A">
              <w:t xml:space="preserve"> and/or return to service, the re-commissioning tests of the electrical equipment, components and associated hardware and the updating of system data/maintenance records.</w:t>
            </w:r>
          </w:p>
        </w:tc>
      </w:tr>
    </w:tbl>
    <w:p w:rsidR="00000000" w:rsidRPr="00EB413A" w:rsidP="00EB413A">
      <w:pPr>
        <w:pStyle w:val="BodyText"/>
      </w:pPr>
    </w:p>
    <w:p w:rsidR="00000000" w:rsidRPr="00EB413A" w:rsidP="00EB413A">
      <w:pPr>
        <w:pStyle w:val="AllowPageBreak"/>
      </w:pPr>
    </w:p>
    <w:p w:rsidR="00000000" w:rsidRPr="00EB413A" w:rsidP="00EB413A">
      <w:pPr>
        <w:pStyle w:val="Heading1"/>
      </w:pPr>
      <w:bookmarkStart w:id="3" w:name="O_465322"/>
      <w:bookmarkEnd w:id="3"/>
      <w:r w:rsidRPr="00EB413A">
        <w:t>Application of the Unit</w:t>
      </w:r>
    </w:p>
    <w:tbl>
      <w:tblPr>
        <w:tblW w:w="0" w:type="auto"/>
        <w:tblLayout w:type="fixed"/>
        <w:tblCellMar>
          <w:left w:w="62" w:type="dxa"/>
          <w:right w:w="62" w:type="dxa"/>
        </w:tblCellMar>
        <w:tblLook w:val="0000"/>
      </w:tblPr>
      <w:tblGrid>
        <w:gridCol w:w="2672"/>
        <w:gridCol w:w="5699"/>
      </w:tblGrid>
      <w:tr w:rsidTr="00CE709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rPr>
                <w:rStyle w:val="SpecialBold"/>
              </w:rPr>
              <w:t>2)</w:t>
            </w:r>
          </w:p>
        </w:tc>
      </w:tr>
      <w:tr w:rsidTr="00CE709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t>This Competency Standard Unit is intended to augment formally acquired competencies. It is suitable for employment-based programs under an approved contract of training.</w:t>
            </w:r>
          </w:p>
        </w:tc>
      </w:tr>
    </w:tbl>
    <w:p w:rsidR="00000000" w:rsidRPr="00EB413A" w:rsidP="00EB413A">
      <w:pPr>
        <w:pStyle w:val="BodyText"/>
      </w:pPr>
    </w:p>
    <w:p w:rsidR="00000000" w:rsidRPr="00EB413A" w:rsidP="00EB413A">
      <w:pPr>
        <w:pStyle w:val="AllowPageBreak"/>
      </w:pPr>
    </w:p>
    <w:p w:rsidR="00000000" w:rsidRPr="00EB413A" w:rsidP="00EB413A">
      <w:pPr>
        <w:pStyle w:val="Heading1"/>
      </w:pPr>
      <w:bookmarkStart w:id="4" w:name="O_465329"/>
      <w:bookmarkEnd w:id="4"/>
      <w:r w:rsidRPr="00EB413A">
        <w:t>Licensing/Regulatory Information</w:t>
      </w:r>
    </w:p>
    <w:tbl>
      <w:tblPr>
        <w:tblW w:w="0" w:type="auto"/>
        <w:tblLayout w:type="fixed"/>
        <w:tblCellMar>
          <w:left w:w="62" w:type="dxa"/>
          <w:right w:w="62" w:type="dxa"/>
        </w:tblCellMar>
        <w:tblLook w:val="0000"/>
      </w:tblPr>
      <w:tblGrid>
        <w:gridCol w:w="2700"/>
        <w:gridCol w:w="5760"/>
      </w:tblGrid>
      <w:tr w:rsidTr="00CE709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rPr>
                <w:rStyle w:val="SpecialBold"/>
              </w:rPr>
              <w:t xml:space="preserve">3) </w:t>
            </w:r>
          </w:p>
        </w:tc>
      </w:tr>
      <w:tr w:rsidTr="00CE7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t>The skil</w:t>
            </w:r>
            <w:r w:rsidRPr="00EB413A">
              <w:t>ls and knowledge described in this unit may require a licence/registration to practice in the work place subject to regulations for undertaking of electrical work. Practice in workplace and during training is also subject to regulations directly related to</w:t>
            </w:r>
            <w:r w:rsidRPr="00EB413A">
              <w:t xml:space="preserve"> Occupational Health and Safety, electricity/telecommunications/gas/water industry safety and compliance, industrial relations, environmental protection, anti discrimination and training. Commonwealth, State/Territory or Local Government legislation and re</w:t>
            </w:r>
            <w:r w:rsidRPr="00EB413A">
              <w:t>gulations may exist that limits the age of operating certain equipment.</w:t>
            </w:r>
          </w:p>
        </w:tc>
      </w:tr>
    </w:tbl>
    <w:p w:rsidR="00000000" w:rsidRPr="00EB413A" w:rsidP="00EB413A">
      <w:pPr>
        <w:pStyle w:val="BodyText"/>
      </w:pPr>
    </w:p>
    <w:p w:rsidR="00000000" w:rsidRPr="00EB413A" w:rsidP="00EB413A">
      <w:pPr>
        <w:pStyle w:val="AllowPageBreak"/>
      </w:pPr>
    </w:p>
    <w:p w:rsidR="00000000" w:rsidRPr="00EB413A" w:rsidP="00EB413A">
      <w:pPr>
        <w:pStyle w:val="Heading1"/>
      </w:pPr>
      <w:bookmarkStart w:id="5" w:name="O_465330"/>
      <w:bookmarkEnd w:id="5"/>
      <w:r w:rsidRPr="00EB413A">
        <w:t>Pre-Requisites</w:t>
      </w:r>
    </w:p>
    <w:tbl>
      <w:tblPr>
        <w:tblW w:w="0" w:type="auto"/>
        <w:tblLayout w:type="fixed"/>
        <w:tblCellMar>
          <w:left w:w="62" w:type="dxa"/>
          <w:right w:w="62" w:type="dxa"/>
        </w:tblCellMar>
        <w:tblLook w:val="0000"/>
      </w:tblPr>
      <w:tblGrid>
        <w:gridCol w:w="2700"/>
        <w:gridCol w:w="1890"/>
        <w:gridCol w:w="3870"/>
      </w:tblGrid>
      <w:tr w:rsidTr="00CE709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rPr>
                <w:rStyle w:val="SpecialBold"/>
              </w:rPr>
              <w:t xml:space="preserve">4) </w:t>
            </w:r>
          </w:p>
        </w:tc>
      </w:tr>
      <w:tr w:rsidTr="00CE7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rPr>
                <w:rStyle w:val="SpecialBold"/>
              </w:rPr>
              <w:t>4.1)</w:t>
            </w:r>
          </w:p>
        </w:tc>
      </w:tr>
      <w:tr w:rsidTr="00CE7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t>Granting of competency in this unit shall be made only after competency in the following unit(s) has/have been confirmed.</w:t>
            </w:r>
          </w:p>
          <w:p w:rsidR="00000000" w:rsidRPr="00EB413A" w:rsidP="00EB413A">
            <w:pPr>
              <w:pStyle w:val="BodyText"/>
            </w:pPr>
            <w:r w:rsidRPr="00EB413A">
              <w:t>Where pre-requisite pathways have been identified. All competencies in the Common Unit Group must be have been completed.</w:t>
            </w:r>
          </w:p>
          <w:p w:rsidR="00000000" w:rsidP="00EB413A">
            <w:pPr>
              <w:pStyle w:val="BodyText"/>
              <w:rPr>
                <w:lang w:val="en-NZ"/>
              </w:rPr>
            </w:pPr>
            <w:r w:rsidRPr="00EB413A">
              <w:t xml:space="preserve">Common Unit </w:t>
            </w:r>
            <w:r w:rsidRPr="00EB413A">
              <w:t>Group</w:t>
            </w:r>
          </w:p>
        </w:tc>
      </w:tr>
      <w:tr w:rsidTr="00CE7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Unit Code</w:t>
            </w:r>
            <w:r w:rsidRPr="00EB413A">
              <w:tab/>
            </w:r>
          </w:p>
        </w:tc>
        <w:tc>
          <w:tcPr>
            <w:tcW w:w="3870" w:type="dxa"/>
            <w:tcBorders>
              <w:top w:val="nil"/>
              <w:left w:val="nil"/>
              <w:bottom w:val="nil"/>
              <w:right w:val="nil"/>
            </w:tcBorders>
            <w:tcMar>
              <w:top w:w="0" w:type="dxa"/>
              <w:left w:w="62" w:type="dxa"/>
              <w:bottom w:w="0" w:type="dxa"/>
              <w:right w:w="62" w:type="dxa"/>
            </w:tcMar>
            <w:vAlign w:val="bottom"/>
          </w:tcPr>
          <w:p w:rsidR="00000000" w:rsidP="00EB413A">
            <w:pPr>
              <w:pStyle w:val="BodyText"/>
              <w:rPr>
                <w:lang w:val="en-NZ"/>
              </w:rPr>
            </w:pPr>
            <w:r w:rsidRPr="00EB413A">
              <w:t>Unit Title</w:t>
            </w:r>
          </w:p>
        </w:tc>
      </w:tr>
      <w:tr w:rsidTr="00CE7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UEENEEE101A</w:t>
            </w:r>
          </w:p>
        </w:tc>
        <w:tc>
          <w:tcPr>
            <w:tcW w:w="3870" w:type="dxa"/>
            <w:tcBorders>
              <w:top w:val="nil"/>
              <w:left w:val="nil"/>
              <w:bottom w:val="nil"/>
              <w:right w:val="nil"/>
            </w:tcBorders>
            <w:tcMar>
              <w:top w:w="0" w:type="dxa"/>
              <w:left w:w="62" w:type="dxa"/>
              <w:bottom w:w="0" w:type="dxa"/>
              <w:right w:w="62" w:type="dxa"/>
            </w:tcMar>
            <w:vAlign w:val="bottom"/>
          </w:tcPr>
          <w:p w:rsidR="00000000" w:rsidP="00EB413A">
            <w:pPr>
              <w:pStyle w:val="BodyText"/>
              <w:rPr>
                <w:lang w:val="en-NZ"/>
              </w:rPr>
            </w:pPr>
            <w:r w:rsidRPr="00EB413A">
              <w:t>Apply Occupational Health and Safety regulations, codes and practices in the workplace</w:t>
            </w:r>
          </w:p>
        </w:tc>
      </w:tr>
      <w:tr w:rsidTr="00CE7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UEENEEE102A</w:t>
            </w:r>
          </w:p>
        </w:tc>
        <w:tc>
          <w:tcPr>
            <w:tcW w:w="3870" w:type="dxa"/>
            <w:tcBorders>
              <w:top w:val="nil"/>
              <w:left w:val="nil"/>
              <w:bottom w:val="nil"/>
              <w:right w:val="nil"/>
            </w:tcBorders>
            <w:tcMar>
              <w:top w:w="0" w:type="dxa"/>
              <w:left w:w="62" w:type="dxa"/>
              <w:bottom w:w="0" w:type="dxa"/>
              <w:right w:w="62" w:type="dxa"/>
            </w:tcMar>
            <w:vAlign w:val="bottom"/>
          </w:tcPr>
          <w:p w:rsidR="00000000" w:rsidP="00EB413A">
            <w:pPr>
              <w:pStyle w:val="BodyText"/>
              <w:rPr>
                <w:lang w:val="en-NZ"/>
              </w:rPr>
            </w:pPr>
            <w:r w:rsidRPr="00EB413A">
              <w:t>Fabricate, assemble and dismantle utilities industry components</w:t>
            </w:r>
          </w:p>
        </w:tc>
      </w:tr>
      <w:tr w:rsidTr="00CE7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UEENEEE104A</w:t>
            </w:r>
          </w:p>
        </w:tc>
        <w:tc>
          <w:tcPr>
            <w:tcW w:w="3870" w:type="dxa"/>
            <w:tcBorders>
              <w:top w:val="nil"/>
              <w:left w:val="nil"/>
              <w:bottom w:val="nil"/>
              <w:right w:val="nil"/>
            </w:tcBorders>
            <w:tcMar>
              <w:top w:w="0" w:type="dxa"/>
              <w:left w:w="62" w:type="dxa"/>
              <w:bottom w:w="0" w:type="dxa"/>
              <w:right w:w="62" w:type="dxa"/>
            </w:tcMar>
            <w:vAlign w:val="bottom"/>
          </w:tcPr>
          <w:p w:rsidR="00000000" w:rsidP="00EB413A">
            <w:pPr>
              <w:pStyle w:val="BodyText"/>
              <w:rPr>
                <w:lang w:val="en-NZ"/>
              </w:rPr>
            </w:pPr>
            <w:r w:rsidRPr="00EB413A">
              <w:t>Solve problems in d.c. Circuits</w:t>
            </w:r>
          </w:p>
        </w:tc>
      </w:tr>
      <w:tr w:rsidTr="00CE7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UEENEEE105A</w:t>
            </w:r>
          </w:p>
        </w:tc>
        <w:tc>
          <w:tcPr>
            <w:tcW w:w="3870" w:type="dxa"/>
            <w:tcBorders>
              <w:top w:val="nil"/>
              <w:left w:val="nil"/>
              <w:bottom w:val="nil"/>
              <w:right w:val="nil"/>
            </w:tcBorders>
            <w:tcMar>
              <w:top w:w="0" w:type="dxa"/>
              <w:left w:w="62" w:type="dxa"/>
              <w:bottom w:w="0" w:type="dxa"/>
              <w:right w:w="62" w:type="dxa"/>
            </w:tcMar>
            <w:vAlign w:val="bottom"/>
          </w:tcPr>
          <w:p w:rsidR="00000000" w:rsidP="00EB413A">
            <w:pPr>
              <w:pStyle w:val="BodyText"/>
              <w:rPr>
                <w:lang w:val="en-NZ"/>
              </w:rPr>
            </w:pPr>
            <w:r w:rsidRPr="00EB413A">
              <w:t>Fix and secure electrotechnology equipment</w:t>
            </w:r>
          </w:p>
        </w:tc>
      </w:tr>
      <w:tr w:rsidTr="00CE7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UEENEEE107A</w:t>
            </w:r>
          </w:p>
        </w:tc>
        <w:tc>
          <w:tcPr>
            <w:tcW w:w="3870" w:type="dxa"/>
            <w:tcBorders>
              <w:top w:val="nil"/>
              <w:left w:val="nil"/>
              <w:bottom w:val="nil"/>
              <w:right w:val="nil"/>
            </w:tcBorders>
            <w:tcMar>
              <w:top w:w="0" w:type="dxa"/>
              <w:left w:w="62" w:type="dxa"/>
              <w:bottom w:w="0" w:type="dxa"/>
              <w:right w:w="62" w:type="dxa"/>
            </w:tcMar>
            <w:vAlign w:val="bottom"/>
          </w:tcPr>
          <w:p w:rsidR="00000000" w:rsidP="00EB413A">
            <w:pPr>
              <w:pStyle w:val="BodyText"/>
              <w:rPr>
                <w:lang w:val="en-NZ"/>
              </w:rPr>
            </w:pPr>
            <w:r w:rsidRPr="00EB413A">
              <w:t>Use drawings, diagrams, schedules, standards, codes and specifications</w:t>
            </w:r>
          </w:p>
        </w:tc>
      </w:tr>
      <w:tr w:rsidTr="00CE7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UEENEEG101A</w:t>
            </w:r>
          </w:p>
        </w:tc>
        <w:tc>
          <w:tcPr>
            <w:tcW w:w="3870" w:type="dxa"/>
            <w:tcBorders>
              <w:top w:val="nil"/>
              <w:left w:val="nil"/>
              <w:bottom w:val="nil"/>
              <w:right w:val="nil"/>
            </w:tcBorders>
            <w:tcMar>
              <w:top w:w="0" w:type="dxa"/>
              <w:left w:w="62" w:type="dxa"/>
              <w:bottom w:w="0" w:type="dxa"/>
              <w:right w:w="62" w:type="dxa"/>
            </w:tcMar>
            <w:vAlign w:val="bottom"/>
          </w:tcPr>
          <w:p w:rsidR="00000000" w:rsidP="00EB413A">
            <w:pPr>
              <w:pStyle w:val="BodyText"/>
              <w:rPr>
                <w:lang w:val="en-NZ"/>
              </w:rPr>
            </w:pPr>
            <w:r w:rsidRPr="00EB413A">
              <w:t>Solve problems in electromagnetic devices and related circuits</w:t>
            </w:r>
          </w:p>
        </w:tc>
      </w:tr>
      <w:tr w:rsidTr="00CE7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UEENEEG102A</w:t>
            </w:r>
          </w:p>
        </w:tc>
        <w:tc>
          <w:tcPr>
            <w:tcW w:w="3870" w:type="dxa"/>
            <w:tcBorders>
              <w:top w:val="nil"/>
              <w:left w:val="nil"/>
              <w:bottom w:val="nil"/>
              <w:right w:val="nil"/>
            </w:tcBorders>
            <w:tcMar>
              <w:top w:w="0" w:type="dxa"/>
              <w:left w:w="62" w:type="dxa"/>
              <w:bottom w:w="0" w:type="dxa"/>
              <w:right w:w="62" w:type="dxa"/>
            </w:tcMar>
            <w:vAlign w:val="bottom"/>
          </w:tcPr>
          <w:p w:rsidR="00000000" w:rsidP="00EB413A">
            <w:pPr>
              <w:pStyle w:val="BodyText"/>
              <w:rPr>
                <w:lang w:val="en-NZ"/>
              </w:rPr>
            </w:pPr>
            <w:r w:rsidRPr="00EB413A">
              <w:t>Solve problems in low v</w:t>
            </w:r>
            <w:r w:rsidRPr="00EB413A">
              <w:t>oltage a.c. Circuits</w:t>
            </w:r>
          </w:p>
        </w:tc>
      </w:tr>
      <w:tr w:rsidTr="00CE7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UETTDREL11A</w:t>
            </w:r>
          </w:p>
        </w:tc>
        <w:tc>
          <w:tcPr>
            <w:tcW w:w="3870" w:type="dxa"/>
            <w:tcBorders>
              <w:top w:val="nil"/>
              <w:left w:val="nil"/>
              <w:bottom w:val="nil"/>
              <w:right w:val="nil"/>
            </w:tcBorders>
            <w:tcMar>
              <w:top w:w="0" w:type="dxa"/>
              <w:left w:w="62" w:type="dxa"/>
              <w:bottom w:w="0" w:type="dxa"/>
              <w:right w:w="62" w:type="dxa"/>
            </w:tcMar>
            <w:vAlign w:val="bottom"/>
          </w:tcPr>
          <w:p w:rsidR="00000000" w:rsidP="00EB413A">
            <w:pPr>
              <w:pStyle w:val="BodyText"/>
              <w:rPr>
                <w:lang w:val="en-NZ"/>
              </w:rPr>
            </w:pPr>
            <w:r w:rsidRPr="00EB413A">
              <w:t xml:space="preserve">Apply sustainable energy and environmental procedures </w:t>
            </w:r>
          </w:p>
        </w:tc>
      </w:tr>
      <w:tr w:rsidTr="00CE7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UETTDREL12A</w:t>
            </w:r>
          </w:p>
        </w:tc>
        <w:tc>
          <w:tcPr>
            <w:tcW w:w="3870" w:type="dxa"/>
            <w:tcBorders>
              <w:top w:val="nil"/>
              <w:left w:val="nil"/>
              <w:bottom w:val="nil"/>
              <w:right w:val="nil"/>
            </w:tcBorders>
            <w:tcMar>
              <w:top w:w="0" w:type="dxa"/>
              <w:left w:w="62" w:type="dxa"/>
              <w:bottom w:w="0" w:type="dxa"/>
              <w:right w:w="62" w:type="dxa"/>
            </w:tcMar>
            <w:vAlign w:val="bottom"/>
          </w:tcPr>
          <w:p w:rsidR="00000000" w:rsidP="00EB413A">
            <w:pPr>
              <w:pStyle w:val="BodyText"/>
              <w:rPr>
                <w:lang w:val="en-NZ"/>
              </w:rPr>
            </w:pPr>
            <w:r w:rsidRPr="00EB413A">
              <w:t xml:space="preserve">Operate plant and equipment near live electrical conductors and apparatus </w:t>
            </w:r>
          </w:p>
        </w:tc>
      </w:tr>
      <w:tr w:rsidTr="00CE7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UETTDREL16A</w:t>
            </w:r>
          </w:p>
        </w:tc>
        <w:tc>
          <w:tcPr>
            <w:tcW w:w="3870" w:type="dxa"/>
            <w:tcBorders>
              <w:top w:val="nil"/>
              <w:left w:val="nil"/>
              <w:bottom w:val="nil"/>
              <w:right w:val="nil"/>
            </w:tcBorders>
            <w:tcMar>
              <w:top w:w="0" w:type="dxa"/>
              <w:left w:w="62" w:type="dxa"/>
              <w:bottom w:w="0" w:type="dxa"/>
              <w:right w:w="62" w:type="dxa"/>
            </w:tcMar>
            <w:vAlign w:val="bottom"/>
          </w:tcPr>
          <w:p w:rsidR="00000000" w:rsidP="00EB413A">
            <w:pPr>
              <w:pStyle w:val="BodyText"/>
              <w:rPr>
                <w:lang w:val="en-NZ"/>
              </w:rPr>
            </w:pPr>
            <w:r w:rsidRPr="00EB413A">
              <w:t xml:space="preserve">Working safely near live electrical apparatus </w:t>
            </w:r>
          </w:p>
        </w:tc>
      </w:tr>
      <w:tr w:rsidTr="00CE7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UETTDRIS52A</w:t>
            </w:r>
          </w:p>
        </w:tc>
        <w:tc>
          <w:tcPr>
            <w:tcW w:w="3870" w:type="dxa"/>
            <w:tcBorders>
              <w:top w:val="nil"/>
              <w:left w:val="nil"/>
              <w:bottom w:val="nil"/>
              <w:right w:val="nil"/>
            </w:tcBorders>
            <w:tcMar>
              <w:top w:w="0" w:type="dxa"/>
              <w:left w:w="62" w:type="dxa"/>
              <w:bottom w:w="0" w:type="dxa"/>
              <w:right w:w="62" w:type="dxa"/>
            </w:tcMar>
            <w:vAlign w:val="bottom"/>
          </w:tcPr>
          <w:p w:rsidR="00000000" w:rsidP="00EB413A">
            <w:pPr>
              <w:pStyle w:val="BodyText"/>
              <w:rPr>
                <w:lang w:val="en-NZ"/>
              </w:rPr>
            </w:pPr>
            <w:r w:rsidRPr="00EB413A">
              <w:t>Install and maintain poles, structures and associated hardware</w:t>
            </w:r>
          </w:p>
        </w:tc>
      </w:tr>
      <w:tr w:rsidTr="00CE7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UETTDRIS54A</w:t>
            </w:r>
          </w:p>
        </w:tc>
        <w:tc>
          <w:tcPr>
            <w:tcW w:w="3870" w:type="dxa"/>
            <w:tcBorders>
              <w:top w:val="nil"/>
              <w:left w:val="nil"/>
              <w:bottom w:val="nil"/>
              <w:right w:val="nil"/>
            </w:tcBorders>
            <w:tcMar>
              <w:top w:w="0" w:type="dxa"/>
              <w:left w:w="62" w:type="dxa"/>
              <w:bottom w:w="0" w:type="dxa"/>
              <w:right w:w="62" w:type="dxa"/>
            </w:tcMar>
            <w:vAlign w:val="bottom"/>
          </w:tcPr>
          <w:p w:rsidR="00000000" w:rsidP="00EB413A">
            <w:pPr>
              <w:pStyle w:val="BodyText"/>
              <w:rPr>
                <w:lang w:val="en-NZ"/>
              </w:rPr>
            </w:pPr>
            <w:r w:rsidRPr="00EB413A">
              <w:t xml:space="preserve">Install and maintain poles, structures, overhead conductors and cables </w:t>
            </w:r>
          </w:p>
        </w:tc>
      </w:tr>
      <w:tr w:rsidTr="00CE7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UETTDRRT27A</w:t>
            </w:r>
          </w:p>
        </w:tc>
        <w:tc>
          <w:tcPr>
            <w:tcW w:w="3870" w:type="dxa"/>
            <w:tcBorders>
              <w:top w:val="nil"/>
              <w:left w:val="nil"/>
              <w:bottom w:val="nil"/>
              <w:right w:val="nil"/>
            </w:tcBorders>
            <w:tcMar>
              <w:top w:w="0" w:type="dxa"/>
              <w:left w:w="62" w:type="dxa"/>
              <w:bottom w:w="0" w:type="dxa"/>
              <w:right w:w="62" w:type="dxa"/>
            </w:tcMar>
            <w:vAlign w:val="bottom"/>
          </w:tcPr>
          <w:p w:rsidR="00000000" w:rsidRPr="00EB413A" w:rsidP="00EB413A">
            <w:pPr>
              <w:pStyle w:val="BodyText"/>
            </w:pPr>
            <w:r w:rsidRPr="00EB413A">
              <w:t xml:space="preserve">Install overhead traction components and equipment </w:t>
            </w:r>
          </w:p>
        </w:tc>
      </w:tr>
    </w:tbl>
    <w:p w:rsidR="00000000" w:rsidRPr="00EB413A" w:rsidP="00EB413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E709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rPr>
                <w:rStyle w:val="SpecialBold"/>
              </w:rPr>
              <w:t xml:space="preserve">4.2) </w:t>
            </w:r>
          </w:p>
        </w:tc>
      </w:tr>
      <w:tr w:rsidTr="00CE7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Participants are best equipped to achieve this unit if they have reading, writing and numeracy skills indicated by the following scales. Description of each scale is given in Volume 2, Part 3 “Literacy and Numeracy”</w:t>
            </w:r>
          </w:p>
        </w:tc>
      </w:tr>
      <w:tr w:rsidTr="00CE7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Reading</w:t>
            </w:r>
          </w:p>
        </w:tc>
        <w:tc>
          <w:tcPr>
            <w:tcW w:w="81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3</w:t>
            </w:r>
          </w:p>
        </w:tc>
        <w:tc>
          <w:tcPr>
            <w:tcW w:w="99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Writing</w:t>
            </w:r>
          </w:p>
        </w:tc>
        <w:tc>
          <w:tcPr>
            <w:tcW w:w="90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3</w:t>
            </w:r>
          </w:p>
        </w:tc>
        <w:tc>
          <w:tcPr>
            <w:tcW w:w="126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Numeracy</w:t>
            </w:r>
          </w:p>
        </w:tc>
        <w:tc>
          <w:tcPr>
            <w:tcW w:w="720" w:type="dxa"/>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t>3</w:t>
            </w:r>
          </w:p>
        </w:tc>
      </w:tr>
    </w:tbl>
    <w:p w:rsidR="00000000" w:rsidRPr="00EB413A" w:rsidP="00EB413A">
      <w:pPr>
        <w:pStyle w:val="BodyText"/>
      </w:pPr>
    </w:p>
    <w:p w:rsidR="00000000" w:rsidRPr="00EB413A" w:rsidP="00EB413A">
      <w:pPr>
        <w:pStyle w:val="AllowPageBreak"/>
      </w:pPr>
    </w:p>
    <w:p w:rsidR="00000000" w:rsidRPr="00EB413A" w:rsidP="00EB413A">
      <w:pPr>
        <w:pStyle w:val="Heading1"/>
      </w:pPr>
      <w:bookmarkStart w:id="6" w:name="O_465326"/>
      <w:bookmarkEnd w:id="6"/>
      <w:r w:rsidRPr="00EB413A">
        <w:t>Employability Skills Information</w:t>
      </w:r>
    </w:p>
    <w:tbl>
      <w:tblPr>
        <w:tblW w:w="0" w:type="auto"/>
        <w:tblLayout w:type="fixed"/>
        <w:tblCellMar>
          <w:left w:w="62" w:type="dxa"/>
          <w:right w:w="62" w:type="dxa"/>
        </w:tblCellMar>
        <w:tblLook w:val="0000"/>
      </w:tblPr>
      <w:tblGrid>
        <w:gridCol w:w="2700"/>
        <w:gridCol w:w="5760"/>
      </w:tblGrid>
      <w:tr w:rsidTr="00CE709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rPr>
                <w:rStyle w:val="SpecialBold"/>
              </w:rPr>
              <w:t xml:space="preserve">5) </w:t>
            </w:r>
          </w:p>
        </w:tc>
      </w:tr>
      <w:tr w:rsidTr="00CE7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t xml:space="preserve">The required outcomes described in this unit of competency contain applicable facets of Employability Skills. The Employability Skills Summary </w:t>
            </w:r>
            <w:r w:rsidRPr="00EB413A">
              <w:t>of the qualification in which this unit of competency is packaged will assist in identifying Employability Skill requirements.</w:t>
            </w:r>
          </w:p>
        </w:tc>
      </w:tr>
    </w:tbl>
    <w:p w:rsidR="00000000" w:rsidRPr="00EB413A" w:rsidP="00EB413A">
      <w:pPr>
        <w:pStyle w:val="BodyText"/>
      </w:pPr>
    </w:p>
    <w:p w:rsidR="00000000" w:rsidRPr="00EB413A" w:rsidP="00EB413A">
      <w:pPr>
        <w:pStyle w:val="AllowPageBreak"/>
      </w:pPr>
    </w:p>
    <w:p w:rsidR="00000000" w:rsidRPr="00EB413A" w:rsidP="00EB413A">
      <w:pPr>
        <w:pStyle w:val="Heading1"/>
      </w:pPr>
      <w:bookmarkStart w:id="7" w:name="O_465325"/>
      <w:bookmarkEnd w:id="7"/>
      <w:r w:rsidRPr="00EB413A">
        <w:t>Elements and Performance Criteria Pre-Content</w:t>
      </w:r>
    </w:p>
    <w:tbl>
      <w:tblPr>
        <w:tblW w:w="0" w:type="auto"/>
        <w:tblLayout w:type="fixed"/>
        <w:tblCellMar>
          <w:left w:w="62" w:type="dxa"/>
          <w:right w:w="62" w:type="dxa"/>
        </w:tblCellMar>
        <w:tblLook w:val="0000"/>
      </w:tblPr>
      <w:tblGrid>
        <w:gridCol w:w="2700"/>
        <w:gridCol w:w="5760"/>
      </w:tblGrid>
      <w:tr w:rsidTr="00CE7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rPr>
                <w:rStyle w:val="SpecialBold"/>
              </w:rPr>
              <w:t>6)</w:t>
            </w:r>
            <w:r w:rsidRPr="00EB413A">
              <w:t xml:space="preserve"> Elements describe the essential outcomes of a competency stan</w:t>
            </w:r>
            <w:r w:rsidRPr="00EB413A">
              <w:t>dard unit</w:t>
            </w:r>
          </w:p>
        </w:tc>
        <w:tc>
          <w:tcPr>
            <w:tcW w:w="5760" w:type="dxa"/>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t>Performance Criteria describe the required performance needed to demonstrate achievement of the element. Assessment of performance is to be consistent with the Evidence Guide.</w:t>
            </w:r>
          </w:p>
        </w:tc>
      </w:tr>
    </w:tbl>
    <w:p w:rsidR="00000000" w:rsidRPr="00EB413A" w:rsidP="00EB413A">
      <w:pPr>
        <w:pStyle w:val="BodyText"/>
      </w:pPr>
    </w:p>
    <w:p w:rsidR="00000000" w:rsidRPr="00EB413A" w:rsidP="00EB413A">
      <w:pPr>
        <w:pStyle w:val="AllowPageBreak"/>
      </w:pPr>
    </w:p>
    <w:p w:rsidR="00000000" w:rsidRPr="00EB413A" w:rsidP="00EB413A">
      <w:pPr>
        <w:pStyle w:val="Heading1"/>
      </w:pPr>
      <w:bookmarkStart w:id="8" w:name="O_465324"/>
      <w:bookmarkEnd w:id="8"/>
      <w:r w:rsidRPr="00EB413A">
        <w:t>Elements and Performance Criteria</w:t>
      </w:r>
    </w:p>
    <w:tbl>
      <w:tblPr>
        <w:tblW w:w="0" w:type="auto"/>
        <w:tblLayout w:type="fixed"/>
        <w:tblCellMar>
          <w:left w:w="62" w:type="dxa"/>
          <w:right w:w="62" w:type="dxa"/>
        </w:tblCellMar>
        <w:tblLook w:val="0000"/>
      </w:tblPr>
      <w:tblGrid>
        <w:gridCol w:w="408"/>
        <w:gridCol w:w="2292"/>
        <w:gridCol w:w="851"/>
        <w:gridCol w:w="4909"/>
      </w:tblGrid>
      <w:tr w:rsidTr="00CE709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rPr>
                <w:rStyle w:val="SpecialBold"/>
              </w:rPr>
              <w:t>PERFORMANCE CRITERIA</w:t>
            </w:r>
          </w:p>
        </w:tc>
      </w:tr>
      <w:tr w:rsidTr="00CE709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1</w:t>
            </w:r>
          </w:p>
        </w:tc>
        <w:tc>
          <w:tcPr>
            <w:tcW w:w="2292"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Prepare to the maintenance of overhead traction equipment/components</w:t>
            </w:r>
          </w:p>
        </w:tc>
        <w:tc>
          <w:tcPr>
            <w:tcW w:w="851"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1.1</w:t>
            </w:r>
          </w:p>
        </w:tc>
        <w:tc>
          <w:tcPr>
            <w:tcW w:w="4909"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Works schedule(s), including drawings, plans, requirements, established procedures, and material lists, are received, analysed and confirmed, if necessary, by</w:t>
            </w:r>
            <w:r w:rsidRPr="00EB413A">
              <w:t xml:space="preserve"> site inspection.</w:t>
            </w:r>
          </w:p>
        </w:tc>
      </w:tr>
      <w:tr w:rsidTr="00CE709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1.2</w:t>
            </w:r>
          </w:p>
        </w:tc>
        <w:tc>
          <w:tcPr>
            <w:tcW w:w="4909"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Relevant requirements and established procedures for the work are communicated to all personnel and identified for all work sites.</w:t>
            </w:r>
          </w:p>
        </w:tc>
      </w:tr>
      <w:tr w:rsidTr="00CE709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1.3</w:t>
            </w:r>
          </w:p>
        </w:tc>
        <w:tc>
          <w:tcPr>
            <w:tcW w:w="4909"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OHS policies and procedures related to requirements and established procedures for the maintenance of overhead traction equipment/components are obtained and confirmed for the purposes of the work to be performed and communicated.</w:t>
            </w:r>
          </w:p>
        </w:tc>
      </w:tr>
      <w:tr w:rsidTr="00CE709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1.4</w:t>
            </w:r>
          </w:p>
        </w:tc>
        <w:tc>
          <w:tcPr>
            <w:tcW w:w="4909"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Work is prioritise</w:t>
            </w:r>
            <w:r w:rsidRPr="00EB413A">
              <w:t>d and sequenced following consultation with others for completion within acceptable timeframes and in accordance with established procedures.</w:t>
            </w:r>
          </w:p>
        </w:tc>
      </w:tr>
      <w:tr w:rsidTr="00CE709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1.5</w:t>
            </w:r>
          </w:p>
        </w:tc>
        <w:tc>
          <w:tcPr>
            <w:tcW w:w="4909"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 xml:space="preserve">Hazards are identified; OHS risks assessed and control measures are prioritised, implemented and monitored </w:t>
            </w:r>
            <w:r w:rsidRPr="00EB413A">
              <w:t>including emergency exits kept clear according to established procedures.</w:t>
            </w:r>
          </w:p>
        </w:tc>
      </w:tr>
      <w:tr w:rsidTr="00CE709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1.6</w:t>
            </w:r>
          </w:p>
        </w:tc>
        <w:tc>
          <w:tcPr>
            <w:tcW w:w="4909"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Relevant work permits are obtained to access and perform work according to requirements and/or established procedures.</w:t>
            </w:r>
          </w:p>
        </w:tc>
      </w:tr>
      <w:tr w:rsidTr="00CE709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1.7</w:t>
            </w:r>
          </w:p>
        </w:tc>
        <w:tc>
          <w:tcPr>
            <w:tcW w:w="4909"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Resources including personnel, equipment, tools and personal protective equipment required for the job are obtained and confirmed in working order.</w:t>
            </w:r>
          </w:p>
        </w:tc>
      </w:tr>
      <w:tr w:rsidTr="00CE709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1.8</w:t>
            </w:r>
          </w:p>
        </w:tc>
        <w:tc>
          <w:tcPr>
            <w:tcW w:w="4909"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Relevant personnel at worksite are confirmed current in CPR, First Aid, and other rescue procedures a</w:t>
            </w:r>
            <w:r w:rsidRPr="00EB413A">
              <w:t>ccording to requirements.</w:t>
            </w:r>
          </w:p>
        </w:tc>
      </w:tr>
      <w:tr w:rsidTr="00CE709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1.9</w:t>
            </w:r>
          </w:p>
        </w:tc>
        <w:tc>
          <w:tcPr>
            <w:tcW w:w="4909"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Liaison and communication issues with other authorised personnel, authorities, clients and land owners are resolved to carry out work where necessary.</w:t>
            </w:r>
          </w:p>
        </w:tc>
      </w:tr>
      <w:tr w:rsidTr="00CE709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1.10</w:t>
            </w:r>
          </w:p>
        </w:tc>
        <w:tc>
          <w:tcPr>
            <w:tcW w:w="4909"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 xml:space="preserve">Site is prepared according to the work schedule and to minimise </w:t>
            </w:r>
            <w:r w:rsidRPr="00EB413A">
              <w:t>risk and damage to property, commerce, and individuals in accordance with established procedures.</w:t>
            </w:r>
          </w:p>
        </w:tc>
      </w:tr>
      <w:tr w:rsidTr="00CE709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1.11</w:t>
            </w:r>
          </w:p>
        </w:tc>
        <w:tc>
          <w:tcPr>
            <w:tcW w:w="4909"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 xml:space="preserve">Personnel participating in the work, including plant operators and contractors, are fully briefed and respective responsibilities confirmed </w:t>
            </w:r>
            <w:r w:rsidRPr="00EB413A">
              <w:t>where applicable in accordance with established procedures.</w:t>
            </w:r>
          </w:p>
        </w:tc>
      </w:tr>
      <w:tr w:rsidTr="00CE709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1.12</w:t>
            </w:r>
          </w:p>
        </w:tc>
        <w:tc>
          <w:tcPr>
            <w:tcW w:w="4909"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Rail/road signs, barriers and warning devices are positioned in accordance with requirements.</w:t>
            </w:r>
          </w:p>
        </w:tc>
      </w:tr>
      <w:tr w:rsidTr="00CE709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1.13</w:t>
            </w:r>
          </w:p>
        </w:tc>
        <w:tc>
          <w:tcPr>
            <w:tcW w:w="4909"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Environmental constraints applicable to work are identified and control measures are a</w:t>
            </w:r>
            <w:r w:rsidRPr="00EB413A">
              <w:t>pplied.</w:t>
            </w:r>
          </w:p>
        </w:tc>
      </w:tr>
      <w:tr w:rsidTr="00CE709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2</w:t>
            </w:r>
          </w:p>
        </w:tc>
        <w:tc>
          <w:tcPr>
            <w:tcW w:w="2292"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Carry out the maintenance of overhead traction equipment/components</w:t>
            </w:r>
          </w:p>
        </w:tc>
        <w:tc>
          <w:tcPr>
            <w:tcW w:w="851"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2.1</w:t>
            </w:r>
          </w:p>
        </w:tc>
        <w:tc>
          <w:tcPr>
            <w:tcW w:w="4909"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OHS and sustainable energy principles and practices to reduce the incidents of accidents and minimise waste are monitored and followed in accordance with requirements and/or</w:t>
            </w:r>
            <w:r w:rsidRPr="00EB413A">
              <w:t xml:space="preserve"> established procedures.</w:t>
            </w:r>
          </w:p>
        </w:tc>
      </w:tr>
      <w:tr w:rsidTr="00CE709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2.2</w:t>
            </w:r>
          </w:p>
        </w:tc>
        <w:tc>
          <w:tcPr>
            <w:tcW w:w="4909"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Lifting, climbing, working aloft, and use of power tools/equipment, techniques and practices are safely followed and, currency according to requirements confirmed.</w:t>
            </w:r>
          </w:p>
        </w:tc>
      </w:tr>
      <w:tr w:rsidTr="00CE709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2.3</w:t>
            </w:r>
          </w:p>
        </w:tc>
        <w:tc>
          <w:tcPr>
            <w:tcW w:w="4909"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Systems and circuits are isolated as required, proved safe to work on in accordance with the requirements/permits and established procedures.</w:t>
            </w:r>
          </w:p>
        </w:tc>
      </w:tr>
      <w:tr w:rsidTr="00CE709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2.4</w:t>
            </w:r>
          </w:p>
        </w:tc>
        <w:tc>
          <w:tcPr>
            <w:tcW w:w="4909"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Essential knowledge and associated skills are applied in the safe maintenance of overhead traction equipmen</w:t>
            </w:r>
            <w:r w:rsidRPr="00EB413A">
              <w:t>t/components to ensure completion in an agreed timeframe and, to quality standards with a minimum of waste according to requirements.</w:t>
            </w:r>
          </w:p>
        </w:tc>
      </w:tr>
      <w:tr w:rsidTr="00CE709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2.5</w:t>
            </w:r>
          </w:p>
        </w:tc>
        <w:tc>
          <w:tcPr>
            <w:tcW w:w="4909"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Electrical component/equipment and associated hardware is ascertained as operating within normal operating paramete</w:t>
            </w:r>
            <w:r w:rsidRPr="00EB413A">
              <w:t>rs and in accordance with requirements and established procedures.</w:t>
            </w:r>
          </w:p>
        </w:tc>
      </w:tr>
      <w:tr w:rsidTr="00CE709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2.6</w:t>
            </w:r>
          </w:p>
        </w:tc>
        <w:tc>
          <w:tcPr>
            <w:tcW w:w="4909"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Maintenance, including repair and/or replacement of overhead traction equipment/components is carried out, in accordance with the work schedule and requirements/established procedure</w:t>
            </w:r>
            <w:r w:rsidRPr="00EB413A">
              <w:t>s.</w:t>
            </w:r>
          </w:p>
        </w:tc>
      </w:tr>
      <w:tr w:rsidTr="00CE709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2.7</w:t>
            </w:r>
          </w:p>
        </w:tc>
        <w:tc>
          <w:tcPr>
            <w:tcW w:w="4909"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Hazard warnings and safety signs are recognised and hazards and assessed OHS risks are reported to the immediate authorised persons for directions according to established procedures.</w:t>
            </w:r>
          </w:p>
        </w:tc>
      </w:tr>
      <w:tr w:rsidTr="00CE709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2.8</w:t>
            </w:r>
          </w:p>
        </w:tc>
        <w:tc>
          <w:tcPr>
            <w:tcW w:w="4909"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Unplanned events during the maintenance of overhead traction equipment/components are undertaken within the scope of established procedures.</w:t>
            </w:r>
          </w:p>
        </w:tc>
      </w:tr>
      <w:tr w:rsidTr="00CE709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2.9</w:t>
            </w:r>
          </w:p>
        </w:tc>
        <w:tc>
          <w:tcPr>
            <w:tcW w:w="4909"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Known solutions to a variety of problems are applied using acquired essential knowledge and associated skill</w:t>
            </w:r>
            <w:r w:rsidRPr="00EB413A">
              <w:t>s.</w:t>
            </w:r>
          </w:p>
        </w:tc>
      </w:tr>
      <w:tr w:rsidTr="00CE709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2.10</w:t>
            </w:r>
          </w:p>
        </w:tc>
        <w:tc>
          <w:tcPr>
            <w:tcW w:w="4909"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Ongoing checks/visual inspection of work quality are undertaken in accordance with instructions and established procedures.</w:t>
            </w:r>
          </w:p>
        </w:tc>
      </w:tr>
      <w:tr w:rsidTr="00CE709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3</w:t>
            </w:r>
          </w:p>
        </w:tc>
        <w:tc>
          <w:tcPr>
            <w:tcW w:w="2292"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Complete the maintenance of overhead traction equipment/components</w:t>
            </w:r>
          </w:p>
        </w:tc>
        <w:tc>
          <w:tcPr>
            <w:tcW w:w="851"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3.1</w:t>
            </w:r>
          </w:p>
        </w:tc>
        <w:tc>
          <w:tcPr>
            <w:tcW w:w="4909"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Work undertaken is checked and or tested against works schedule for conformance with requirements and anomalies reported in accordance with established procedures.</w:t>
            </w:r>
          </w:p>
        </w:tc>
      </w:tr>
      <w:tr w:rsidTr="00CE709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3.2</w:t>
            </w:r>
          </w:p>
        </w:tc>
        <w:tc>
          <w:tcPr>
            <w:tcW w:w="4909"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Work site is rehabilitated, cleaned up and made safe in accordance with established p</w:t>
            </w:r>
            <w:r w:rsidRPr="00EB413A">
              <w:t>rocedures.</w:t>
            </w:r>
          </w:p>
        </w:tc>
      </w:tr>
      <w:tr w:rsidTr="00CE709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3.3</w:t>
            </w:r>
          </w:p>
        </w:tc>
        <w:tc>
          <w:tcPr>
            <w:tcW w:w="4909"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Tools, equipment and any surplus resources and materials are, where appropriate, cleaned, checked and returned to storage in accordance with established procedures.</w:t>
            </w:r>
          </w:p>
        </w:tc>
      </w:tr>
      <w:tr w:rsidTr="00CE709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3.4</w:t>
            </w:r>
          </w:p>
        </w:tc>
        <w:tc>
          <w:tcPr>
            <w:tcW w:w="4909"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Relevant work permit(s) are signed off after final inspections and</w:t>
            </w:r>
            <w:r w:rsidRPr="00EB413A">
              <w:t xml:space="preserve"> the system is energised, tested and returned to service in accordance with requirements.</w:t>
            </w:r>
          </w:p>
        </w:tc>
      </w:tr>
      <w:tr w:rsidTr="00CE709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3.5</w:t>
            </w:r>
          </w:p>
        </w:tc>
        <w:tc>
          <w:tcPr>
            <w:tcW w:w="4909" w:type="dxa"/>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t>Works completion records, reports, as installed /modified drawing and/or documentation and information are finalised and processed and appropriate personnel no</w:t>
            </w:r>
            <w:r w:rsidRPr="00EB413A">
              <w:t>tified.</w:t>
            </w:r>
          </w:p>
        </w:tc>
      </w:tr>
    </w:tbl>
    <w:p w:rsidR="00000000" w:rsidRPr="00EB413A" w:rsidP="00EB413A">
      <w:pPr>
        <w:pStyle w:val="BodyText"/>
      </w:pPr>
    </w:p>
    <w:p w:rsidR="00000000" w:rsidRPr="00EB413A" w:rsidP="00EB413A">
      <w:pPr>
        <w:pStyle w:val="AllowPageBreak"/>
      </w:pPr>
    </w:p>
    <w:p w:rsidR="00000000" w:rsidRPr="00EB413A" w:rsidP="00EB413A">
      <w:pPr>
        <w:pStyle w:val="Heading1"/>
      </w:pPr>
      <w:bookmarkStart w:id="9" w:name="O_465332"/>
      <w:bookmarkEnd w:id="9"/>
      <w:r w:rsidRPr="00EB413A">
        <w:t>Required Skills and Knowledge</w:t>
      </w:r>
    </w:p>
    <w:tbl>
      <w:tblPr>
        <w:tblW w:w="0" w:type="auto"/>
        <w:tblLayout w:type="fixed"/>
        <w:tblCellMar>
          <w:left w:w="62" w:type="dxa"/>
          <w:right w:w="62" w:type="dxa"/>
        </w:tblCellMar>
        <w:tblLook w:val="0000"/>
      </w:tblPr>
      <w:tblGrid>
        <w:gridCol w:w="8460"/>
      </w:tblGrid>
      <w:tr w:rsidTr="00CE709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rPr>
                <w:rStyle w:val="SpecialBold"/>
              </w:rPr>
              <w:t>REQUIRED SKILLS AND KNOWLEDGE</w:t>
            </w:r>
          </w:p>
        </w:tc>
      </w:tr>
      <w:tr w:rsidTr="00CE7095">
        <w:tblPrEx>
          <w:tblW w:w="0" w:type="auto"/>
          <w:tblLayout w:type="fixed"/>
          <w:tblCellMar>
            <w:left w:w="62" w:type="dxa"/>
            <w:right w:w="62" w:type="dxa"/>
          </w:tblCellMar>
          <w:tblLook w:val="0000"/>
        </w:tblPrEx>
        <w:trPr>
          <w:trHeight w:val="19259"/>
        </w:trPr>
        <w:tc>
          <w:tcPr>
            <w:tcW w:w="8460" w:type="dxa"/>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rPr>
                <w:rStyle w:val="SpecialBold"/>
              </w:rPr>
              <w:t>8)</w:t>
            </w:r>
            <w:r w:rsidRPr="00EB413A">
              <w:t xml:space="preserve"> Essential Knowledge and Associated Skills (EKAS): This describes the essential skills and knowledge and their level, required for this unit.</w:t>
            </w:r>
          </w:p>
          <w:p w:rsidR="00000000" w:rsidRPr="00EB413A" w:rsidP="00EB413A">
            <w:pPr>
              <w:pStyle w:val="BodyText"/>
            </w:pPr>
            <w:r w:rsidRPr="00EB413A">
              <w:t>Evidence shall show that knowledge  of maintaining overhead traction equipment and components has been acquired.</w:t>
            </w:r>
          </w:p>
          <w:p w:rsidR="00000000" w:rsidRPr="00EB413A" w:rsidP="00EB413A">
            <w:pPr>
              <w:pStyle w:val="BodyText"/>
            </w:pPr>
            <w:r w:rsidRPr="00EB413A">
              <w:t>All knowledge and skills detailed in this unit should be contextualised to current industry practices and technologies.</w:t>
            </w:r>
          </w:p>
          <w:p w:rsidR="00000000" w:rsidRPr="00EB413A" w:rsidP="00EB413A">
            <w:pPr>
              <w:pStyle w:val="BodyText"/>
            </w:pPr>
            <w:r w:rsidRPr="00EB413A">
              <w:t>KS01-TRT28A</w:t>
            </w:r>
            <w:r w:rsidRPr="00EB413A">
              <w:tab/>
              <w:t>Maintain ov</w:t>
            </w:r>
            <w:r w:rsidRPr="00EB413A">
              <w:t>erhead traction equipment and components</w:t>
            </w:r>
          </w:p>
          <w:p w:rsidR="00000000" w:rsidRPr="00EB413A" w:rsidP="00EB413A">
            <w:pPr>
              <w:pStyle w:val="BodyText"/>
            </w:pPr>
            <w:r w:rsidRPr="00EB413A">
              <w:t>Evidence shall show an understanding of the maintenance of overhead traction equipment and components indicated by the following aspects:</w:t>
            </w:r>
          </w:p>
          <w:p w:rsidR="00000000" w:rsidRPr="00EB413A" w:rsidP="00EB413A">
            <w:pPr>
              <w:pStyle w:val="BodyText"/>
            </w:pPr>
            <w:r w:rsidRPr="00EB413A">
              <w:t>T1</w:t>
            </w:r>
            <w:r w:rsidRPr="00EB413A">
              <w:tab/>
              <w:t>Overhead traction equipment encompassing:</w:t>
            </w:r>
          </w:p>
          <w:p w:rsidR="00000000" w:rsidRPr="00EB413A" w:rsidP="00EB413A">
            <w:pPr>
              <w:pStyle w:val="ListBullet"/>
            </w:pPr>
            <w:r w:rsidRPr="00EB413A">
              <w:t>Types</w:t>
            </w:r>
          </w:p>
          <w:p w:rsidR="00000000" w:rsidRPr="00EB413A" w:rsidP="00EB413A">
            <w:pPr>
              <w:pStyle w:val="ListBullet"/>
            </w:pPr>
            <w:r w:rsidRPr="00EB413A">
              <w:t>Purpose</w:t>
            </w:r>
          </w:p>
          <w:p w:rsidR="00000000" w:rsidRPr="00EB413A" w:rsidP="00EB413A">
            <w:pPr>
              <w:pStyle w:val="ListBullet"/>
            </w:pPr>
            <w:r w:rsidRPr="00EB413A">
              <w:t>(Note</w:t>
            </w:r>
            <w:r w:rsidRPr="00EB413A">
              <w:t>: Examples include switches/isolators, fuse switches, links, section insulators, and fuses)</w:t>
            </w:r>
          </w:p>
          <w:p w:rsidR="00000000" w:rsidRPr="00EB413A" w:rsidP="00EB413A">
            <w:pPr>
              <w:pStyle w:val="BodyText"/>
            </w:pPr>
            <w:r w:rsidRPr="00EB413A">
              <w:t>T2</w:t>
            </w:r>
            <w:r w:rsidRPr="00EB413A">
              <w:tab/>
              <w:t>Types of overhead components encompassing:</w:t>
            </w:r>
          </w:p>
          <w:p w:rsidR="00000000" w:rsidRPr="00EB413A" w:rsidP="00EB413A">
            <w:pPr>
              <w:pStyle w:val="ListBullet"/>
            </w:pPr>
            <w:r w:rsidRPr="00EB413A">
              <w:t>Types</w:t>
            </w:r>
          </w:p>
          <w:p w:rsidR="00000000" w:rsidRPr="00EB413A" w:rsidP="00EB413A">
            <w:pPr>
              <w:pStyle w:val="ListBullet"/>
            </w:pPr>
            <w:r w:rsidRPr="00EB413A">
              <w:t>Purpose</w:t>
            </w:r>
          </w:p>
          <w:p w:rsidR="00000000" w:rsidRPr="00EB413A" w:rsidP="00EB413A">
            <w:pPr>
              <w:pStyle w:val="ListBullet"/>
            </w:pPr>
            <w:r w:rsidRPr="00EB413A">
              <w:t>(Note: Examples include cantilever hardware, droppers, bay components, portal hardware, head span hardw</w:t>
            </w:r>
            <w:r w:rsidRPr="00EB413A">
              <w:t>are, section insulators, neutral sections, registration fittings, steady span, tension regulators and cross spans)</w:t>
            </w:r>
          </w:p>
          <w:p w:rsidR="00000000" w:rsidRPr="00EB413A" w:rsidP="00EB413A">
            <w:pPr>
              <w:pStyle w:val="BodyText"/>
            </w:pPr>
            <w:r w:rsidRPr="00EB413A">
              <w:t>T3</w:t>
            </w:r>
            <w:r w:rsidRPr="00EB413A">
              <w:tab/>
              <w:t>Types of conductors used for overheads wiring such as hard-drawn, CAD, and tin-bearing copper, aluminium, steel, and other alloyed conduct</w:t>
            </w:r>
            <w:r w:rsidRPr="00EB413A">
              <w:t>ors</w:t>
            </w:r>
          </w:p>
          <w:p w:rsidR="00000000" w:rsidRPr="00EB413A" w:rsidP="00EB413A">
            <w:pPr>
              <w:pStyle w:val="BodyText"/>
            </w:pPr>
            <w:r w:rsidRPr="00EB413A">
              <w:t>T4</w:t>
            </w:r>
            <w:r w:rsidRPr="00EB413A">
              <w:tab/>
              <w:t>Types of traction wire support structures that may consist of portals, cantilevers, drop pieces, head spans, cross spans and pull-offs</w:t>
            </w:r>
          </w:p>
          <w:p w:rsidR="00000000" w:rsidRPr="00EB413A" w:rsidP="00EB413A">
            <w:pPr>
              <w:pStyle w:val="BodyText"/>
            </w:pPr>
            <w:r w:rsidRPr="00EB413A">
              <w:t>T5</w:t>
            </w:r>
            <w:r w:rsidRPr="00EB413A">
              <w:tab/>
              <w:t>Ancillary equipment</w:t>
            </w:r>
          </w:p>
          <w:p w:rsidR="00000000" w:rsidRPr="00EB413A" w:rsidP="00EB413A">
            <w:pPr>
              <w:pStyle w:val="ListBullet"/>
            </w:pPr>
            <w:r w:rsidRPr="00EB413A">
              <w:t>Types</w:t>
            </w:r>
          </w:p>
          <w:p w:rsidR="00000000" w:rsidRPr="00EB413A" w:rsidP="00EB413A">
            <w:pPr>
              <w:pStyle w:val="ListBullet"/>
            </w:pPr>
            <w:r w:rsidRPr="00EB413A">
              <w:t>Purpose</w:t>
            </w:r>
          </w:p>
          <w:p w:rsidR="00000000" w:rsidRPr="00EB413A" w:rsidP="00EB413A">
            <w:pPr>
              <w:pStyle w:val="ListBullet"/>
            </w:pPr>
            <w:r w:rsidRPr="00EB413A">
              <w:t>(Note: Examples include surge arresters, booster and auxiliary transformers)</w:t>
            </w:r>
          </w:p>
          <w:p w:rsidR="00000000" w:rsidRPr="00EB413A" w:rsidP="00EB413A">
            <w:pPr>
              <w:pStyle w:val="BodyText"/>
            </w:pPr>
            <w:r w:rsidRPr="00EB413A">
              <w:t>T6</w:t>
            </w:r>
            <w:r w:rsidRPr="00EB413A">
              <w:tab/>
              <w:t>Methods for replacing conductors that may consist the use of:</w:t>
            </w:r>
          </w:p>
          <w:p w:rsidR="00000000" w:rsidRPr="00EB413A" w:rsidP="00EB413A">
            <w:pPr>
              <w:pStyle w:val="ListBullet"/>
            </w:pPr>
            <w:r w:rsidRPr="00EB413A">
              <w:t>Preformed fittings</w:t>
            </w:r>
          </w:p>
          <w:p w:rsidR="00000000" w:rsidRPr="00EB413A" w:rsidP="00EB413A">
            <w:pPr>
              <w:pStyle w:val="ListBullet"/>
            </w:pPr>
            <w:r w:rsidRPr="00EB413A">
              <w:t>Compression fittings</w:t>
            </w:r>
          </w:p>
          <w:p w:rsidR="00000000" w:rsidRPr="00EB413A" w:rsidP="00EB413A">
            <w:pPr>
              <w:pStyle w:val="ListBullet"/>
            </w:pPr>
            <w:r w:rsidRPr="00EB413A">
              <w:t>Wedged fittings</w:t>
            </w:r>
          </w:p>
          <w:p w:rsidR="00000000" w:rsidRPr="00EB413A" w:rsidP="00EB413A">
            <w:pPr>
              <w:pStyle w:val="ListBullet"/>
            </w:pPr>
            <w:r w:rsidRPr="00EB413A">
              <w:t>Bolted splices</w:t>
            </w:r>
          </w:p>
          <w:p w:rsidR="00000000" w:rsidRPr="00EB413A" w:rsidP="00EB413A">
            <w:pPr>
              <w:pStyle w:val="ListBullet"/>
            </w:pPr>
            <w:r w:rsidRPr="00EB413A">
              <w:t>Lugs</w:t>
            </w:r>
          </w:p>
          <w:p w:rsidR="00000000" w:rsidRPr="00EB413A" w:rsidP="00EB413A">
            <w:pPr>
              <w:pStyle w:val="ListBullet"/>
            </w:pPr>
            <w:r w:rsidRPr="00EB413A">
              <w:t>Bolted clamps</w:t>
            </w:r>
          </w:p>
          <w:p w:rsidR="00000000" w:rsidRPr="00EB413A" w:rsidP="00EB413A">
            <w:pPr>
              <w:pStyle w:val="BodyText"/>
            </w:pPr>
            <w:r w:rsidRPr="00EB413A">
              <w:t>T7</w:t>
            </w:r>
            <w:r w:rsidRPr="00EB413A">
              <w:tab/>
              <w:t>Methods for replacing components such as:</w:t>
            </w:r>
          </w:p>
          <w:p w:rsidR="00000000" w:rsidRPr="00EB413A" w:rsidP="00EB413A">
            <w:pPr>
              <w:pStyle w:val="ListBullet"/>
            </w:pPr>
            <w:r w:rsidRPr="00EB413A">
              <w:t>Feeders</w:t>
            </w:r>
          </w:p>
          <w:p w:rsidR="00000000" w:rsidRPr="00EB413A" w:rsidP="00EB413A">
            <w:pPr>
              <w:pStyle w:val="ListBullet"/>
            </w:pPr>
            <w:r w:rsidRPr="00EB413A">
              <w:t>Droppers</w:t>
            </w:r>
          </w:p>
          <w:p w:rsidR="00000000" w:rsidRPr="00EB413A" w:rsidP="00EB413A">
            <w:pPr>
              <w:pStyle w:val="ListBullet"/>
            </w:pPr>
            <w:r w:rsidRPr="00EB413A">
              <w:t>Dissimilar conductors</w:t>
            </w:r>
          </w:p>
          <w:p w:rsidR="00000000" w:rsidRPr="00EB413A" w:rsidP="00EB413A">
            <w:pPr>
              <w:pStyle w:val="ListBullet"/>
            </w:pPr>
            <w:r w:rsidRPr="00EB413A">
              <w:t>Jumpers</w:t>
            </w:r>
          </w:p>
          <w:p w:rsidR="00000000" w:rsidRPr="00EB413A" w:rsidP="00EB413A">
            <w:pPr>
              <w:pStyle w:val="ListBullet"/>
            </w:pPr>
            <w:r w:rsidRPr="00EB413A">
              <w:t>Surge arresters</w:t>
            </w:r>
          </w:p>
          <w:p w:rsidR="00000000" w:rsidRPr="00EB413A" w:rsidP="00EB413A">
            <w:pPr>
              <w:pStyle w:val="BodyText"/>
            </w:pPr>
            <w:r w:rsidRPr="00EB413A">
              <w:t>T8</w:t>
            </w:r>
            <w:r w:rsidRPr="00EB413A">
              <w:tab/>
              <w:t>Use of plant and equipment for maintenance work, such as:</w:t>
            </w:r>
          </w:p>
          <w:p w:rsidR="00000000" w:rsidRPr="00EB413A" w:rsidP="00EB413A">
            <w:pPr>
              <w:pStyle w:val="ListBullet"/>
            </w:pPr>
            <w:r w:rsidRPr="00EB413A">
              <w:t>Elevating work platforms</w:t>
            </w:r>
          </w:p>
          <w:p w:rsidR="00000000" w:rsidRPr="00EB413A" w:rsidP="00EB413A">
            <w:pPr>
              <w:pStyle w:val="ListBullet"/>
            </w:pPr>
            <w:r w:rsidRPr="00EB413A">
              <w:t>Ladders</w:t>
            </w:r>
          </w:p>
          <w:p w:rsidR="00000000" w:rsidRPr="00EB413A" w:rsidP="00EB413A">
            <w:pPr>
              <w:pStyle w:val="ListBullet"/>
            </w:pPr>
            <w:r w:rsidRPr="00EB413A">
              <w:t>Works trains</w:t>
            </w:r>
          </w:p>
          <w:p w:rsidR="00000000" w:rsidRPr="00EB413A" w:rsidP="00EB413A">
            <w:pPr>
              <w:pStyle w:val="ListBullet"/>
            </w:pPr>
            <w:r w:rsidRPr="00EB413A">
              <w:t>Rail-mounted overhead wiring equipment/vehicles</w:t>
            </w:r>
          </w:p>
          <w:p w:rsidR="00000000" w:rsidRPr="00EB413A" w:rsidP="00EB413A">
            <w:pPr>
              <w:pStyle w:val="ListBullet"/>
            </w:pPr>
            <w:r w:rsidRPr="00EB413A">
              <w:t>Road/rail height access machinery/vehicles</w:t>
            </w:r>
          </w:p>
          <w:p w:rsidR="00000000" w:rsidRPr="00EB413A" w:rsidP="00EB413A">
            <w:pPr>
              <w:pStyle w:val="ListBullet"/>
            </w:pPr>
            <w:r w:rsidRPr="00EB413A">
              <w:t>Voltage detectors</w:t>
            </w:r>
          </w:p>
          <w:p w:rsidR="00000000" w:rsidRPr="00EB413A" w:rsidP="00EB413A">
            <w:pPr>
              <w:pStyle w:val="ListBullet"/>
            </w:pPr>
            <w:r w:rsidRPr="00EB413A">
              <w:t>Micrometer/gauges</w:t>
            </w:r>
          </w:p>
          <w:p w:rsidR="00000000" w:rsidRPr="00EB413A" w:rsidP="00EB413A">
            <w:pPr>
              <w:pStyle w:val="ListBullet"/>
            </w:pPr>
            <w:r w:rsidRPr="00EB413A">
              <w:t>Tensi</w:t>
            </w:r>
            <w:r w:rsidRPr="00EB413A">
              <w:t>on wrenches</w:t>
            </w:r>
          </w:p>
          <w:p w:rsidR="00000000" w:rsidRPr="00EB413A" w:rsidP="00EB413A">
            <w:pPr>
              <w:pStyle w:val="ListBullet"/>
            </w:pPr>
            <w:r w:rsidRPr="00EB413A">
              <w:t>Dynamometers</w:t>
            </w:r>
          </w:p>
          <w:p w:rsidR="00000000" w:rsidRPr="00EB413A" w:rsidP="00EB413A">
            <w:pPr>
              <w:pStyle w:val="ListBullet"/>
            </w:pPr>
            <w:r w:rsidRPr="00EB413A">
              <w:t>Other specialised tools</w:t>
            </w:r>
          </w:p>
          <w:p w:rsidR="00000000" w:rsidRPr="00EB413A" w:rsidP="00EB413A">
            <w:pPr>
              <w:pStyle w:val="BodyText"/>
            </w:pPr>
            <w:r w:rsidRPr="00EB413A">
              <w:t>T9</w:t>
            </w:r>
            <w:r w:rsidRPr="00EB413A">
              <w:tab/>
              <w:t>Maintenance of overhead traction equipment and components encompassing:</w:t>
            </w:r>
          </w:p>
          <w:p w:rsidR="00000000" w:rsidRPr="00EB413A" w:rsidP="00EB413A">
            <w:pPr>
              <w:pStyle w:val="ListBullet"/>
            </w:pPr>
            <w:r w:rsidRPr="00EB413A">
              <w:t>Types of equipment and components</w:t>
            </w:r>
          </w:p>
          <w:p w:rsidR="00000000" w:rsidRPr="00EB413A" w:rsidP="00EB413A">
            <w:pPr>
              <w:pStyle w:val="ListBullet"/>
            </w:pPr>
            <w:r w:rsidRPr="00EB413A">
              <w:t>Types and function of tools and equipment</w:t>
            </w:r>
          </w:p>
          <w:p w:rsidR="00000000" w:rsidRPr="00EB413A" w:rsidP="00EB413A">
            <w:pPr>
              <w:pStyle w:val="ListBullet"/>
            </w:pPr>
            <w:r w:rsidRPr="00EB413A">
              <w:t>Maintenance/repair procedures</w:t>
            </w:r>
          </w:p>
          <w:p w:rsidR="00000000" w:rsidRPr="00EB413A" w:rsidP="00EB413A">
            <w:pPr>
              <w:pStyle w:val="ListBullet"/>
            </w:pPr>
            <w:r w:rsidRPr="00EB413A">
              <w:t>Inspection and recording procedures</w:t>
            </w:r>
          </w:p>
          <w:p w:rsidR="00000000" w:rsidRPr="00EB413A" w:rsidP="00EB413A">
            <w:pPr>
              <w:pStyle w:val="BodyText"/>
            </w:pPr>
            <w:r w:rsidRPr="00EB413A">
              <w:t>T10</w:t>
            </w:r>
            <w:r w:rsidRPr="00EB413A">
              <w:tab/>
              <w:t>Diagnose and correct simple faults in specific overhead traction equipment and component encompassing:</w:t>
            </w:r>
          </w:p>
          <w:p w:rsidR="00000000" w:rsidRPr="00EB413A" w:rsidP="00EB413A">
            <w:pPr>
              <w:pStyle w:val="ListBullet"/>
            </w:pPr>
            <w:r w:rsidRPr="00EB413A">
              <w:t>Types and causes</w:t>
            </w:r>
          </w:p>
          <w:p w:rsidR="00000000" w:rsidRPr="00EB413A" w:rsidP="00EB413A">
            <w:pPr>
              <w:pStyle w:val="ListBullet"/>
            </w:pPr>
            <w:r w:rsidRPr="00EB413A">
              <w:t>Determination of appropriate corrective actions</w:t>
            </w:r>
          </w:p>
          <w:p w:rsidR="00000000" w:rsidRPr="00EB413A" w:rsidP="00EB413A">
            <w:pPr>
              <w:pStyle w:val="BodyText"/>
            </w:pPr>
            <w:r w:rsidRPr="00EB413A">
              <w:t>T11</w:t>
            </w:r>
            <w:r w:rsidRPr="00EB413A">
              <w:tab/>
              <w:t xml:space="preserve">Repair and replace procedures for specific </w:t>
            </w:r>
            <w:r w:rsidRPr="00EB413A">
              <w:t>overhead traction equipment and components</w:t>
            </w:r>
          </w:p>
        </w:tc>
      </w:tr>
    </w:tbl>
    <w:p w:rsidR="00000000" w:rsidRPr="00EB413A" w:rsidP="00EB413A">
      <w:pPr>
        <w:pStyle w:val="BodyText"/>
      </w:pPr>
    </w:p>
    <w:p w:rsidR="00000000" w:rsidRPr="00EB413A" w:rsidP="00EB413A">
      <w:pPr>
        <w:pStyle w:val="AllowPageBreak"/>
      </w:pPr>
    </w:p>
    <w:p w:rsidR="00000000" w:rsidRPr="00EB413A" w:rsidP="00EB413A">
      <w:pPr>
        <w:pStyle w:val="Heading1"/>
      </w:pPr>
      <w:bookmarkStart w:id="10" w:name="O_465327"/>
      <w:bookmarkEnd w:id="10"/>
      <w:r w:rsidRPr="00EB413A">
        <w:t>Evidence Guide</w:t>
      </w:r>
    </w:p>
    <w:tbl>
      <w:tblPr>
        <w:tblW w:w="0" w:type="auto"/>
        <w:tblLayout w:type="fixed"/>
        <w:tblCellMar>
          <w:left w:w="62" w:type="dxa"/>
          <w:right w:w="62" w:type="dxa"/>
        </w:tblCellMar>
        <w:tblLook w:val="0000"/>
      </w:tblPr>
      <w:tblGrid>
        <w:gridCol w:w="8460"/>
      </w:tblGrid>
      <w:tr w:rsidTr="00CE709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rPr>
                <w:rStyle w:val="SpecialBold"/>
              </w:rPr>
              <w:t>EVIDENCE GUIDE</w:t>
            </w:r>
          </w:p>
        </w:tc>
      </w:tr>
      <w:tr w:rsidTr="00CE709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rPr>
                <w:rStyle w:val="SpecialBold"/>
              </w:rPr>
              <w:t>9)</w:t>
            </w:r>
            <w:r w:rsidRPr="00EB413A">
              <w:t xml:space="preserve"> This provides essential advice for assessment of the competency standard unit and must be read </w:t>
            </w:r>
            <w:r w:rsidRPr="00EB413A">
              <w:t>in conjunction with the Performance Criteria and the range statement of the competency standard unit and the Training Package Assessment Guidelines.</w:t>
            </w:r>
          </w:p>
          <w:p w:rsidR="00000000" w:rsidRPr="00EB413A" w:rsidP="00EB413A">
            <w:pPr>
              <w:pStyle w:val="BodyText"/>
            </w:pPr>
            <w:r w:rsidRPr="00EB413A">
              <w:t>The Evidence Guide forms an integral part of this Competency Standard Unit and shall be used in conjunction</w:t>
            </w:r>
            <w:r w:rsidRPr="00EB413A">
              <w:t xml:space="preserve"> with all component parts of this unit and, performed in accordance with the Assessment Guidelines of this Training Package.</w:t>
            </w:r>
          </w:p>
        </w:tc>
      </w:tr>
    </w:tbl>
    <w:p w:rsidR="00000000" w:rsidRPr="00EB413A" w:rsidP="00EB413A">
      <w:pPr>
        <w:pStyle w:val="BodyText"/>
      </w:pPr>
    </w:p>
    <w:tbl>
      <w:tblPr>
        <w:tblW w:w="0" w:type="auto"/>
        <w:tblLayout w:type="fixed"/>
        <w:tblCellMar>
          <w:left w:w="62" w:type="dxa"/>
          <w:right w:w="62" w:type="dxa"/>
        </w:tblCellMar>
        <w:tblLook w:val="0000"/>
      </w:tblPr>
      <w:tblGrid>
        <w:gridCol w:w="1890"/>
        <w:gridCol w:w="6570"/>
      </w:tblGrid>
      <w:tr w:rsidTr="00CE709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rPr>
                <w:rStyle w:val="SpecialBold"/>
              </w:rPr>
              <w:t>9.1)</w:t>
            </w:r>
          </w:p>
        </w:tc>
      </w:tr>
      <w:tr w:rsidTr="00CE709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t>Longitudinal competency development approaches to assessment, such as Profiling, require data to be</w:t>
            </w:r>
            <w:r w:rsidRPr="00EB413A">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EB413A">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EB413A">
              <w:t>assessment in part or full can occur outside the workplace. However, it must be in accord with Industry and, Regulatory policy in this regard.</w:t>
            </w:r>
          </w:p>
          <w:p w:rsidR="00000000" w:rsidRPr="00EB413A" w:rsidP="00EB413A">
            <w:pPr>
              <w:pStyle w:val="BodyText"/>
            </w:pPr>
            <w:r w:rsidRPr="00EB413A">
              <w:t>Methods chosen for a particular assessment will be influenced by various factors. These include the extent of the</w:t>
            </w:r>
            <w:r w:rsidRPr="00EB413A">
              <w:t xml:space="preserve"> assessment, the most effective locations for the assessment activities to take place, access to physical resources, additional safety measures that may be required and the critical nature of the competencies being assessed.</w:t>
            </w:r>
          </w:p>
          <w:p w:rsidR="00000000" w:rsidRPr="00EB413A" w:rsidP="00EB413A">
            <w:pPr>
              <w:pStyle w:val="BodyText"/>
            </w:pPr>
            <w:r w:rsidRPr="00EB413A">
              <w:t>The critical safety nature of w</w:t>
            </w:r>
            <w:r w:rsidRPr="00EB413A">
              <w:t>orking with electricity, electrical equipment, gas or any other hazardous substance/material carries risk in deeming a person competent. Hence, sources of evidence need to be ‘rich’ in nature so as to minimise error in judgment.</w:t>
            </w:r>
          </w:p>
          <w:p w:rsidR="00000000" w:rsidRPr="00EB413A" w:rsidP="00EB413A">
            <w:pPr>
              <w:pStyle w:val="BodyText"/>
            </w:pPr>
            <w:r w:rsidRPr="00EB413A">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EB413A">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EB413A">
              <w:t>of this Training Package.</w:t>
            </w:r>
          </w:p>
        </w:tc>
      </w:tr>
    </w:tbl>
    <w:p w:rsidR="00000000" w:rsidRPr="00EB413A" w:rsidP="00EB413A">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CE709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rPr>
                <w:rStyle w:val="SpecialBold"/>
              </w:rPr>
              <w:t>9.2)</w:t>
            </w:r>
          </w:p>
        </w:tc>
      </w:tr>
      <w:tr w:rsidTr="00CE709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t>Before the critical aspects of evidence are considered all prerequisites shall be met.</w:t>
            </w:r>
          </w:p>
          <w:p w:rsidR="00000000" w:rsidRPr="00EB413A" w:rsidP="00EB413A">
            <w:pPr>
              <w:pStyle w:val="BodyText"/>
            </w:pPr>
            <w:r w:rsidRPr="00EB413A">
              <w:t>Evidence for competence in this unit shall be consider</w:t>
            </w:r>
            <w:r w:rsidRPr="00EB413A">
              <w:t>ed holistically. Each element and associated Performance Criteria shall be demonstrated on at least two occasions in accordance with the “Assessment Guidelines – UET12”. Evidence shall also comprise:</w:t>
            </w:r>
          </w:p>
          <w:p w:rsidR="00000000" w:rsidRPr="00EB413A" w:rsidP="00EB413A">
            <w:pPr>
              <w:pStyle w:val="ListBullet"/>
            </w:pPr>
            <w:r w:rsidRPr="00EB413A">
              <w:t>A representative body of Performance Criteria demonstra</w:t>
            </w:r>
            <w:r w:rsidRPr="00EB413A">
              <w:t>ted within the timeframes typically expected of the discipline, work function and industrial environment. In particular this shall incorporate evidence that shows a candidate is able to:</w:t>
            </w:r>
          </w:p>
          <w:p w:rsidR="00000000" w:rsidRPr="00EB413A" w:rsidP="00EB413A">
            <w:pPr>
              <w:pStyle w:val="ListBullet2"/>
            </w:pPr>
            <w:r w:rsidRPr="00EB413A">
              <w:t>Implement Occupational Health and Safety workplace procedures and practices including the use of risk control measures as specified in the Performance Criteria and range; and</w:t>
            </w:r>
          </w:p>
          <w:p w:rsidR="00000000" w:rsidRPr="00EB413A" w:rsidP="00EB413A">
            <w:pPr>
              <w:pStyle w:val="ListBullet2"/>
            </w:pPr>
            <w:r w:rsidRPr="00EB413A">
              <w:t>Apply sustainable energy principles and practices as specified in the Performance</w:t>
            </w:r>
            <w:r w:rsidRPr="00EB413A">
              <w:t xml:space="preserve"> Criteria and range; and</w:t>
            </w:r>
          </w:p>
          <w:p w:rsidR="00000000" w:rsidRPr="00EB413A" w:rsidP="00EB413A">
            <w:pPr>
              <w:pStyle w:val="ListBullet2"/>
            </w:pPr>
            <w:r w:rsidRPr="00EB413A">
              <w:t>Demonstrate an understanding of the essential knowledge and associated skills as described in this unit to such an extent that the learner’s performance outcome is reported in accordance with the preferred approach; namely a percen</w:t>
            </w:r>
            <w:r w:rsidRPr="00EB413A">
              <w:t>tile graded result, where required by the regulated environment; and</w:t>
            </w:r>
          </w:p>
          <w:p w:rsidR="00000000" w:rsidRPr="00EB413A" w:rsidP="00EB413A">
            <w:pPr>
              <w:pStyle w:val="ListBullet2"/>
            </w:pPr>
            <w:r w:rsidRPr="00EB413A">
              <w:t>Demonstrate an appropriate level of employability skills; and</w:t>
            </w:r>
          </w:p>
          <w:p w:rsidR="00000000" w:rsidRPr="00EB413A" w:rsidP="00EB413A">
            <w:pPr>
              <w:pStyle w:val="ListBullet"/>
            </w:pPr>
            <w:r w:rsidRPr="00EB413A">
              <w:t>Conduct work observing the relevant Anti Discrimination legislation, regulations, policies and workplace procedures; and</w:t>
            </w:r>
          </w:p>
          <w:p w:rsidR="00000000" w:rsidP="00EB413A">
            <w:pPr>
              <w:pStyle w:val="ListBullet2"/>
              <w:rPr>
                <w:lang w:val="en-NZ"/>
              </w:rPr>
            </w:pPr>
            <w:r w:rsidRPr="00EB413A">
              <w:t>De</w:t>
            </w:r>
            <w:r w:rsidRPr="00EB413A">
              <w:t>monstrated performance across a representative range of contexts from the prescribed items below:</w:t>
            </w:r>
          </w:p>
        </w:tc>
      </w:tr>
      <w:tr w:rsidTr="00CE709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EB413A">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13A">
            <w:pPr>
              <w:pStyle w:val="BodyText"/>
              <w:rPr>
                <w:lang w:val="en-NZ"/>
              </w:rPr>
            </w:pPr>
            <w:r w:rsidRPr="00EB413A">
              <w:rPr>
                <w:rStyle w:val="SpecialBold"/>
              </w:rPr>
              <w:t>Range of tools/equipment/materials/procedures/workplaces/other variables</w:t>
            </w:r>
          </w:p>
        </w:tc>
      </w:tr>
      <w:tr w:rsidTr="00CE709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EB413A">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13A" w:rsidP="00EB413A">
            <w:pPr>
              <w:pStyle w:val="BodyText"/>
            </w:pPr>
            <w:r w:rsidRPr="00EB413A">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13A" w:rsidP="00EB413A">
            <w:pPr>
              <w:pStyle w:val="BodyText"/>
            </w:pPr>
            <w:r w:rsidRPr="00EB413A">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13A">
            <w:pPr>
              <w:pStyle w:val="BodyText"/>
              <w:rPr>
                <w:lang w:val="en-NZ"/>
              </w:rPr>
            </w:pPr>
            <w:r w:rsidRPr="00EB413A">
              <w:rPr>
                <w:rStyle w:val="SpecialBold"/>
              </w:rPr>
              <w:t>Item List</w:t>
            </w:r>
          </w:p>
        </w:tc>
      </w:tr>
      <w:tr w:rsidTr="00CE709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13A">
            <w:pPr>
              <w:pStyle w:val="BodyText"/>
              <w:rPr>
                <w:lang w:val="en-NZ"/>
              </w:rPr>
            </w:pPr>
            <w:r w:rsidRPr="00EB413A">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13A">
            <w:pPr>
              <w:pStyle w:val="BodyText"/>
              <w:rPr>
                <w:lang w:val="en-NZ"/>
              </w:rPr>
            </w:pPr>
            <w:r w:rsidRPr="00EB413A">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13A" w:rsidP="00EB413A">
            <w:pPr>
              <w:pStyle w:val="BodyText"/>
            </w:pPr>
            <w:r w:rsidRPr="00EB413A">
              <w:t>Fuse switches</w:t>
            </w:r>
          </w:p>
          <w:p w:rsidR="00000000" w:rsidRPr="00EB413A" w:rsidP="00EB413A">
            <w:pPr>
              <w:pStyle w:val="BodyText"/>
            </w:pPr>
            <w:r w:rsidRPr="00EB413A">
              <w:t>Dropout fuses</w:t>
            </w:r>
          </w:p>
          <w:p w:rsidR="00000000" w:rsidRPr="00EB413A" w:rsidP="00EB413A">
            <w:pPr>
              <w:pStyle w:val="BodyText"/>
            </w:pPr>
            <w:r w:rsidRPr="00EB413A">
              <w:t>Section insulators</w:t>
            </w:r>
          </w:p>
          <w:p w:rsidR="00000000" w:rsidRPr="00EB413A" w:rsidP="00EB413A">
            <w:pPr>
              <w:pStyle w:val="BodyText"/>
            </w:pPr>
            <w:r w:rsidRPr="00EB413A">
              <w:t>Switches/isolators</w:t>
            </w:r>
          </w:p>
          <w:p w:rsidR="00000000" w:rsidRPr="00EB413A" w:rsidP="00EB413A">
            <w:pPr>
              <w:pStyle w:val="BodyText"/>
            </w:pPr>
            <w:r w:rsidRPr="00EB413A">
              <w:t>Links</w:t>
            </w:r>
          </w:p>
          <w:p w:rsidR="00000000" w:rsidRPr="00EB413A" w:rsidP="00EB413A">
            <w:pPr>
              <w:pStyle w:val="BodyText"/>
            </w:pPr>
            <w:r w:rsidRPr="00EB413A">
              <w:t>Fuses</w:t>
            </w:r>
          </w:p>
          <w:p w:rsidR="00000000" w:rsidRPr="00EB413A" w:rsidP="00EB413A">
            <w:pPr>
              <w:pStyle w:val="BodyText"/>
            </w:pPr>
            <w:r w:rsidRPr="00EB413A">
              <w:t>Surge diverters</w:t>
            </w:r>
          </w:p>
          <w:p w:rsidR="00000000" w:rsidP="00EB413A">
            <w:pPr>
              <w:pStyle w:val="BodyText"/>
              <w:rPr>
                <w:lang w:val="en-NZ"/>
              </w:rPr>
            </w:pPr>
            <w:r w:rsidRPr="00EB413A">
              <w:t>Transformers</w:t>
            </w:r>
          </w:p>
        </w:tc>
      </w:tr>
      <w:tr w:rsidTr="00CE709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13A">
            <w:pPr>
              <w:pStyle w:val="BodyText"/>
              <w:rPr>
                <w:lang w:val="en-NZ"/>
              </w:rPr>
            </w:pPr>
            <w:r w:rsidRPr="00EB413A">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13A">
            <w:pPr>
              <w:pStyle w:val="BodyText"/>
              <w:rPr>
                <w:lang w:val="en-NZ"/>
              </w:rPr>
            </w:pPr>
            <w:r w:rsidRPr="00EB413A">
              <w:t>At least five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13A" w:rsidP="00EB413A">
            <w:pPr>
              <w:pStyle w:val="BodyText"/>
            </w:pPr>
            <w:r w:rsidRPr="00EB413A">
              <w:t>Cantilever hardware</w:t>
            </w:r>
          </w:p>
          <w:p w:rsidR="00000000" w:rsidRPr="00EB413A" w:rsidP="00EB413A">
            <w:pPr>
              <w:pStyle w:val="BodyText"/>
            </w:pPr>
            <w:r w:rsidRPr="00EB413A">
              <w:t>Head span</w:t>
            </w:r>
          </w:p>
          <w:p w:rsidR="00000000" w:rsidRPr="00EB413A" w:rsidP="00EB413A">
            <w:pPr>
              <w:pStyle w:val="BodyText"/>
            </w:pPr>
            <w:r w:rsidRPr="00EB413A">
              <w:t>Neutral sections</w:t>
            </w:r>
          </w:p>
          <w:p w:rsidR="00000000" w:rsidRPr="00EB413A" w:rsidP="00EB413A">
            <w:pPr>
              <w:pStyle w:val="BodyText"/>
            </w:pPr>
            <w:r w:rsidRPr="00EB413A">
              <w:t>Pull offs</w:t>
            </w:r>
          </w:p>
          <w:p w:rsidR="00000000" w:rsidRPr="00EB413A" w:rsidP="00EB413A">
            <w:pPr>
              <w:pStyle w:val="BodyText"/>
            </w:pPr>
            <w:r w:rsidRPr="00EB413A">
              <w:t>Registration fittings</w:t>
            </w:r>
          </w:p>
          <w:p w:rsidR="00000000" w:rsidRPr="00EB413A" w:rsidP="00EB413A">
            <w:pPr>
              <w:pStyle w:val="BodyText"/>
            </w:pPr>
            <w:r w:rsidRPr="00EB413A">
              <w:t>Steady span</w:t>
            </w:r>
          </w:p>
          <w:p w:rsidR="00000000" w:rsidRPr="00EB413A" w:rsidP="00EB413A">
            <w:pPr>
              <w:pStyle w:val="BodyText"/>
            </w:pPr>
            <w:r w:rsidRPr="00EB413A">
              <w:t>Tension regulators</w:t>
            </w:r>
          </w:p>
          <w:p w:rsidR="00000000" w:rsidRPr="00EB413A" w:rsidP="00EB413A">
            <w:pPr>
              <w:pStyle w:val="BodyText"/>
            </w:pPr>
            <w:r w:rsidRPr="00EB413A">
              <w:t>Cross spans</w:t>
            </w:r>
          </w:p>
          <w:p w:rsidR="00000000" w:rsidRPr="00EB413A" w:rsidP="00EB413A">
            <w:pPr>
              <w:pStyle w:val="BodyText"/>
            </w:pPr>
            <w:r w:rsidRPr="00EB413A">
              <w:t>Tramway support network</w:t>
            </w:r>
          </w:p>
          <w:p w:rsidR="00000000" w:rsidP="00EB413A">
            <w:pPr>
              <w:pStyle w:val="BodyText"/>
              <w:rPr>
                <w:lang w:val="en-NZ"/>
              </w:rPr>
            </w:pPr>
            <w:r w:rsidRPr="00EB413A">
              <w:t>Pendulum</w:t>
            </w:r>
          </w:p>
        </w:tc>
      </w:tr>
      <w:tr w:rsidTr="00CE709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13A">
            <w:pPr>
              <w:pStyle w:val="BodyText"/>
              <w:rPr>
                <w:lang w:val="en-NZ"/>
              </w:rPr>
            </w:pPr>
            <w:r w:rsidRPr="00EB413A">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13A">
            <w:pPr>
              <w:pStyle w:val="BodyText"/>
              <w:rPr>
                <w:lang w:val="en-NZ"/>
              </w:rPr>
            </w:pPr>
            <w:r w:rsidRPr="00EB413A">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13A" w:rsidP="00EB413A">
            <w:pPr>
              <w:pStyle w:val="BodyText"/>
            </w:pPr>
            <w:r w:rsidRPr="00EB413A">
              <w:t>Preformed fittings</w:t>
            </w:r>
          </w:p>
          <w:p w:rsidR="00000000" w:rsidRPr="00EB413A" w:rsidP="00EB413A">
            <w:pPr>
              <w:pStyle w:val="BodyText"/>
            </w:pPr>
            <w:r w:rsidRPr="00EB413A">
              <w:t>Compression fittings</w:t>
            </w:r>
          </w:p>
          <w:p w:rsidR="00000000" w:rsidRPr="00EB413A" w:rsidP="00EB413A">
            <w:pPr>
              <w:pStyle w:val="BodyText"/>
            </w:pPr>
            <w:r w:rsidRPr="00EB413A">
              <w:t>Wedge fittings</w:t>
            </w:r>
          </w:p>
          <w:p w:rsidR="00000000" w:rsidP="00EB413A">
            <w:pPr>
              <w:pStyle w:val="BodyText"/>
              <w:rPr>
                <w:lang w:val="en-NZ"/>
              </w:rPr>
            </w:pPr>
            <w:r w:rsidRPr="00EB413A">
              <w:t>Bolted splices</w:t>
            </w:r>
          </w:p>
        </w:tc>
      </w:tr>
      <w:tr w:rsidTr="00CE709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13A">
            <w:pPr>
              <w:pStyle w:val="BodyText"/>
              <w:rPr>
                <w:lang w:val="en-NZ"/>
              </w:rPr>
            </w:pPr>
            <w:r w:rsidRPr="00EB413A">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13A">
            <w:pPr>
              <w:pStyle w:val="BodyText"/>
              <w:rPr>
                <w:lang w:val="en-NZ"/>
              </w:rPr>
            </w:pPr>
            <w:r w:rsidRPr="00EB413A">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13A" w:rsidP="00EB413A">
            <w:pPr>
              <w:pStyle w:val="BodyText"/>
            </w:pPr>
            <w:r w:rsidRPr="00EB413A">
              <w:t>Feeders</w:t>
            </w:r>
          </w:p>
          <w:p w:rsidR="00000000" w:rsidRPr="00EB413A" w:rsidP="00EB413A">
            <w:pPr>
              <w:pStyle w:val="BodyText"/>
            </w:pPr>
            <w:r w:rsidRPr="00EB413A">
              <w:t>Dissimilar conductors</w:t>
            </w:r>
          </w:p>
          <w:p w:rsidR="00000000" w:rsidRPr="00EB413A" w:rsidP="00EB413A">
            <w:pPr>
              <w:pStyle w:val="BodyText"/>
            </w:pPr>
            <w:r w:rsidRPr="00EB413A">
              <w:t>Lugs</w:t>
            </w:r>
          </w:p>
          <w:p w:rsidR="00000000" w:rsidRPr="00EB413A" w:rsidP="00EB413A">
            <w:pPr>
              <w:pStyle w:val="BodyText"/>
            </w:pPr>
            <w:r w:rsidRPr="00EB413A">
              <w:t>Bolted clamp</w:t>
            </w:r>
          </w:p>
          <w:p w:rsidR="00000000" w:rsidRPr="00EB413A" w:rsidP="00EB413A">
            <w:pPr>
              <w:pStyle w:val="BodyText"/>
            </w:pPr>
            <w:r w:rsidRPr="00EB413A">
              <w:t>Drapes/potential jumper</w:t>
            </w:r>
          </w:p>
          <w:p w:rsidR="00000000" w:rsidP="00EB413A">
            <w:pPr>
              <w:pStyle w:val="BodyText"/>
              <w:rPr>
                <w:lang w:val="en-NZ"/>
              </w:rPr>
            </w:pPr>
            <w:r w:rsidRPr="00EB413A">
              <w:t>Droppers</w:t>
            </w:r>
          </w:p>
        </w:tc>
      </w:tr>
      <w:tr w:rsidTr="00CE709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13A">
            <w:pPr>
              <w:pStyle w:val="BodyText"/>
              <w:rPr>
                <w:lang w:val="en-NZ"/>
              </w:rPr>
            </w:pPr>
            <w:r w:rsidRPr="00EB413A">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13A">
            <w:pPr>
              <w:pStyle w:val="BodyText"/>
              <w:rPr>
                <w:lang w:val="en-NZ"/>
              </w:rPr>
            </w:pPr>
            <w:r w:rsidRPr="00EB413A">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13A" w:rsidP="00EB413A">
            <w:pPr>
              <w:pStyle w:val="BodyText"/>
            </w:pPr>
            <w:r w:rsidRPr="00EB413A">
              <w:t>Voltage detectors</w:t>
            </w:r>
          </w:p>
          <w:p w:rsidR="00000000" w:rsidRPr="00EB413A" w:rsidP="00EB413A">
            <w:pPr>
              <w:pStyle w:val="BodyText"/>
            </w:pPr>
            <w:r w:rsidRPr="00EB413A">
              <w:t>Micrometer/gauge</w:t>
            </w:r>
          </w:p>
          <w:p w:rsidR="00000000" w:rsidRPr="00EB413A" w:rsidP="00EB413A">
            <w:pPr>
              <w:pStyle w:val="BodyText"/>
            </w:pPr>
            <w:r w:rsidRPr="00EB413A">
              <w:t>Tension wrench</w:t>
            </w:r>
          </w:p>
          <w:p w:rsidR="00000000" w:rsidRPr="00EB413A" w:rsidP="00EB413A">
            <w:pPr>
              <w:pStyle w:val="BodyText"/>
            </w:pPr>
            <w:r w:rsidRPr="00EB413A">
              <w:t>Dynamometer</w:t>
            </w:r>
          </w:p>
          <w:p w:rsidR="00000000" w:rsidP="00EB413A">
            <w:pPr>
              <w:pStyle w:val="BodyText"/>
              <w:rPr>
                <w:lang w:val="en-NZ"/>
              </w:rPr>
            </w:pPr>
            <w:r w:rsidRPr="00EB413A">
              <w:t>Specialised tools</w:t>
            </w:r>
          </w:p>
        </w:tc>
      </w:tr>
      <w:tr w:rsidTr="00CE709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13A">
            <w:pPr>
              <w:pStyle w:val="BodyText"/>
              <w:rPr>
                <w:lang w:val="en-NZ"/>
              </w:rPr>
            </w:pPr>
            <w:r w:rsidRPr="00EB413A">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13A">
            <w:pPr>
              <w:pStyle w:val="BodyText"/>
              <w:rPr>
                <w:lang w:val="en-NZ"/>
              </w:rPr>
            </w:pPr>
            <w:r w:rsidRPr="00EB413A">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13A" w:rsidP="00EB413A">
            <w:pPr>
              <w:pStyle w:val="BodyText"/>
            </w:pPr>
            <w:r w:rsidRPr="00EB413A">
              <w:t>Dealing with an unplanned event by drawing on essential knowledge and associated skills to provide appropriate solutions incorporated in the holistic assessment with the above listed items.</w:t>
            </w:r>
          </w:p>
        </w:tc>
      </w:tr>
    </w:tbl>
    <w:p w:rsidR="00000000" w:rsidRPr="00EB413A" w:rsidP="00EB413A">
      <w:pPr>
        <w:pStyle w:val="BodyText"/>
      </w:pPr>
    </w:p>
    <w:tbl>
      <w:tblPr>
        <w:tblW w:w="0" w:type="auto"/>
        <w:tblLayout w:type="fixed"/>
        <w:tblCellMar>
          <w:left w:w="62" w:type="dxa"/>
          <w:right w:w="62" w:type="dxa"/>
        </w:tblCellMar>
        <w:tblLook w:val="0000"/>
      </w:tblPr>
      <w:tblGrid>
        <w:gridCol w:w="1890"/>
        <w:gridCol w:w="6570"/>
      </w:tblGrid>
      <w:tr w:rsidTr="00CE709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rPr>
                <w:rStyle w:val="SpecialBold"/>
              </w:rPr>
              <w:t>9.3)</w:t>
            </w:r>
          </w:p>
        </w:tc>
      </w:tr>
      <w:tr w:rsidTr="00CE709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t>This uni</w:t>
            </w:r>
            <w:r w:rsidRPr="00EB413A">
              <w:t>t should be assessed as it relates to normal work practice using procedures, information and resources typical of a workplace. This should include:</w:t>
            </w:r>
          </w:p>
          <w:p w:rsidR="00000000" w:rsidRPr="00EB413A" w:rsidP="00EB413A">
            <w:pPr>
              <w:pStyle w:val="ListBullet"/>
            </w:pPr>
            <w:r w:rsidRPr="00EB413A">
              <w:t>OHS policy and work procedures and instructions.</w:t>
            </w:r>
          </w:p>
          <w:p w:rsidR="00000000" w:rsidRPr="00EB413A" w:rsidP="00EB413A">
            <w:pPr>
              <w:pStyle w:val="ListBullet"/>
            </w:pPr>
            <w:r w:rsidRPr="00EB413A">
              <w:t xml:space="preserve">Suitable work environment, facilities, equipment and materials to undertake actual maintenance of overhead traction equipment and components. </w:t>
            </w:r>
          </w:p>
          <w:p w:rsidR="00000000" w:rsidRPr="00EB413A" w:rsidP="00EB413A">
            <w:pPr>
              <w:pStyle w:val="BodyText"/>
            </w:pPr>
            <w:r w:rsidRPr="00EB413A">
              <w:t>In addition to the resources listed above, in context of and specific resources for assessment, evidence should s</w:t>
            </w:r>
            <w:r w:rsidRPr="00EB413A">
              <w:t xml:space="preserve">how demonstrated competency working maintaining overhead traction equipment and components, with different structural/construction types and method and in a variety of environments. </w:t>
            </w:r>
          </w:p>
        </w:tc>
      </w:tr>
    </w:tbl>
    <w:p w:rsidR="00000000" w:rsidRPr="00EB413A" w:rsidP="00EB413A">
      <w:pPr>
        <w:pStyle w:val="BodyText"/>
      </w:pPr>
    </w:p>
    <w:tbl>
      <w:tblPr>
        <w:tblW w:w="0" w:type="auto"/>
        <w:tblLayout w:type="fixed"/>
        <w:tblCellMar>
          <w:left w:w="62" w:type="dxa"/>
          <w:right w:w="62" w:type="dxa"/>
        </w:tblCellMar>
        <w:tblLook w:val="0000"/>
      </w:tblPr>
      <w:tblGrid>
        <w:gridCol w:w="1890"/>
        <w:gridCol w:w="6570"/>
      </w:tblGrid>
      <w:tr w:rsidTr="00CE709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rPr>
                <w:rStyle w:val="SpecialBold"/>
              </w:rPr>
              <w:t>9.4)</w:t>
            </w:r>
          </w:p>
        </w:tc>
      </w:tr>
      <w:tr w:rsidTr="00CE709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t>This Competency Standard Unit shall be assessed by methods given in Volume 1, Part 3 “Assessment Guidelines”.</w:t>
            </w:r>
          </w:p>
          <w:p w:rsidR="00000000" w:rsidRPr="00EB413A" w:rsidP="00EB413A">
            <w:pPr>
              <w:pStyle w:val="BodyText"/>
            </w:pPr>
            <w:r w:rsidRPr="00EB413A">
              <w:t>Note:</w:t>
            </w:r>
          </w:p>
          <w:p w:rsidR="00000000" w:rsidRPr="00EB413A" w:rsidP="00EB413A">
            <w:pPr>
              <w:pStyle w:val="BodyText"/>
            </w:pPr>
            <w:r w:rsidRPr="00EB413A">
              <w:t>Competent performance with inherent safe working practices is expected in the Transmission, Distribution and Rail Traction Industry. This re</w:t>
            </w:r>
            <w:r w:rsidRPr="00EB413A">
              <w:t>quires that the specified essential knowledge and associated skills are assessed in a structured environment which is primarily intended for learning/assessment and incorporates all necessary equipment and facilities for learners to develop and demonstrate</w:t>
            </w:r>
            <w:r w:rsidRPr="00EB413A">
              <w:t xml:space="preserve"> the essential knowledge and associated skills described in this unit.</w:t>
            </w:r>
          </w:p>
        </w:tc>
      </w:tr>
    </w:tbl>
    <w:p w:rsidR="00000000" w:rsidRPr="00EB413A" w:rsidP="00EB413A">
      <w:pPr>
        <w:pStyle w:val="BodyText"/>
      </w:pPr>
    </w:p>
    <w:tbl>
      <w:tblPr>
        <w:tblW w:w="0" w:type="auto"/>
        <w:tblLayout w:type="fixed"/>
        <w:tblCellMar>
          <w:left w:w="62" w:type="dxa"/>
          <w:right w:w="62" w:type="dxa"/>
        </w:tblCellMar>
        <w:tblLook w:val="0000"/>
      </w:tblPr>
      <w:tblGrid>
        <w:gridCol w:w="1890"/>
        <w:gridCol w:w="1530"/>
        <w:gridCol w:w="5040"/>
      </w:tblGrid>
      <w:tr w:rsidTr="00CE709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rPr>
                <w:rStyle w:val="SpecialBold"/>
              </w:rPr>
              <w:t>9.5)</w:t>
            </w:r>
          </w:p>
        </w:tc>
      </w:tr>
      <w:tr w:rsidTr="00CE709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For optimisation of training and assessment effort, competence in this unit may be assessed concurrently with the follo</w:t>
            </w:r>
            <w:r w:rsidRPr="00EB413A">
              <w:t xml:space="preserve">wing units: </w:t>
            </w:r>
          </w:p>
        </w:tc>
      </w:tr>
      <w:tr w:rsidTr="00CE709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UETTDRRT22A</w:t>
            </w:r>
          </w:p>
        </w:tc>
        <w:tc>
          <w:tcPr>
            <w:tcW w:w="504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Maintain traction overhead wiring systems</w:t>
            </w:r>
          </w:p>
        </w:tc>
      </w:tr>
      <w:tr w:rsidTr="00CE7095">
        <w:tblPrEx>
          <w:tblW w:w="0" w:type="auto"/>
          <w:tblLayout w:type="fixed"/>
          <w:tblCellMar>
            <w:left w:w="62" w:type="dxa"/>
            <w:right w:w="62" w:type="dxa"/>
          </w:tblCellMar>
          <w:tblLook w:val="0000"/>
        </w:tblPrEx>
        <w:trPr>
          <w:trHeight w:val="317"/>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t>UETTDRRT27A</w:t>
            </w:r>
            <w:r w:rsidRPr="00EB413A">
              <w:tab/>
            </w:r>
          </w:p>
        </w:tc>
        <w:tc>
          <w:tcPr>
            <w:tcW w:w="5040" w:type="dxa"/>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t>Install overhead traction components and equipment</w:t>
            </w:r>
          </w:p>
        </w:tc>
      </w:tr>
    </w:tbl>
    <w:p w:rsidR="00000000" w:rsidRPr="00EB413A" w:rsidP="00EB413A">
      <w:pPr>
        <w:pStyle w:val="BodyText"/>
      </w:pPr>
    </w:p>
    <w:p w:rsidR="00000000" w:rsidRPr="00EB413A" w:rsidP="00EB413A">
      <w:pPr>
        <w:pStyle w:val="AllowPageBreak"/>
      </w:pPr>
    </w:p>
    <w:p w:rsidR="00000000" w:rsidRPr="00EB413A" w:rsidP="00EB413A">
      <w:pPr>
        <w:pStyle w:val="Heading1"/>
      </w:pPr>
      <w:bookmarkStart w:id="11" w:name="O_465331"/>
      <w:bookmarkEnd w:id="11"/>
      <w:r w:rsidRPr="00EB413A">
        <w:t>Range Statement</w:t>
      </w:r>
    </w:p>
    <w:tbl>
      <w:tblPr>
        <w:tblW w:w="0" w:type="auto"/>
        <w:tblLayout w:type="fixed"/>
        <w:tblCellMar>
          <w:left w:w="62" w:type="dxa"/>
          <w:right w:w="62" w:type="dxa"/>
        </w:tblCellMar>
        <w:tblLook w:val="0000"/>
      </w:tblPr>
      <w:tblGrid>
        <w:gridCol w:w="8460"/>
      </w:tblGrid>
      <w:tr w:rsidTr="00CE709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rPr>
                <w:rStyle w:val="SpecialBold"/>
              </w:rPr>
              <w:t>RANGE STATEMENT</w:t>
            </w:r>
          </w:p>
        </w:tc>
      </w:tr>
      <w:tr w:rsidTr="00CE709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rPr>
                <w:rStyle w:val="SpecialBold"/>
              </w:rPr>
              <w:t>10)</w:t>
            </w:r>
            <w:r w:rsidRPr="00EB413A">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EB413A" w:rsidP="00EB413A">
            <w:pPr>
              <w:pStyle w:val="BodyText"/>
            </w:pPr>
            <w:r w:rsidRPr="00EB413A">
              <w:t>This Competency Standard</w:t>
            </w:r>
            <w:r w:rsidRPr="00EB413A">
              <w:t xml:space="preserve"> Unit shall be demonstrated in relation to the maintenance, visual inspection and pre-commissioning tests of the overhead traction electrical equipment and components as well as associated hardware including ancillary equipment. </w:t>
            </w:r>
          </w:p>
          <w:p w:rsidR="00000000" w:rsidRPr="00EB413A" w:rsidP="00EB413A">
            <w:pPr>
              <w:pStyle w:val="BodyText"/>
            </w:pPr>
            <w:r w:rsidRPr="00EB413A">
              <w:t>Maintenance may include th</w:t>
            </w:r>
            <w:r w:rsidRPr="00EB413A">
              <w:t xml:space="preserve">e carrying out of diagnostics and tests on conductors, equipment, systems as well as the removal, repair and replacement of cables, conductors, and associated hardware and returning such to operational service. </w:t>
            </w:r>
          </w:p>
          <w:p w:rsidR="00000000" w:rsidRPr="00EB413A" w:rsidP="00EB413A">
            <w:pPr>
              <w:pStyle w:val="BodyText"/>
            </w:pPr>
            <w:r w:rsidRPr="00EB413A">
              <w:t>Types of traction wire support structures ma</w:t>
            </w:r>
            <w:r w:rsidRPr="00EB413A">
              <w:t>y consist of portals, pull-off, drop-pieces, head spans, cross spans and tramway support networks.</w:t>
            </w:r>
          </w:p>
          <w:p w:rsidR="00000000" w:rsidRPr="00EB413A" w:rsidP="00EB413A">
            <w:pPr>
              <w:pStyle w:val="BodyText"/>
            </w:pPr>
            <w:r w:rsidRPr="00EB413A">
              <w:t>Types of traction components may include droppers, bay components, cantilever hardware, portal hardware, steady spans hardware, steady spans, insulators, pul</w:t>
            </w:r>
            <w:r w:rsidRPr="00EB413A">
              <w:t>l-off arms, tension regulators, section insulators, neutral sections, tramway frogs, pendulums, crossing pans, ears/hangers, booster and auxiliary transformers, air break switches, in-span feeders, isolation switches, knuckles (insulated and non-insulated)</w:t>
            </w:r>
            <w:r w:rsidRPr="00EB413A">
              <w:t xml:space="preserve"> and cross arms..</w:t>
            </w:r>
          </w:p>
          <w:p w:rsidR="00000000" w:rsidRPr="00EB413A" w:rsidP="00EB413A">
            <w:pPr>
              <w:pStyle w:val="BodyText"/>
            </w:pPr>
            <w:r w:rsidRPr="00EB413A">
              <w:t>Traction system components may consist of metalwork, wires, hardware, fittings and insulators.</w:t>
            </w:r>
          </w:p>
          <w:p w:rsidR="00000000" w:rsidRPr="00EB413A" w:rsidP="00EB413A">
            <w:pPr>
              <w:pStyle w:val="BodyText"/>
            </w:pPr>
            <w:r w:rsidRPr="00EB413A">
              <w:t>Types of conductor may include HD, CAD, and tin bearing copper, aluminium, steel, aluminium conductor steel reinforced and copper cover steel.</w:t>
            </w:r>
          </w:p>
          <w:p w:rsidR="00000000" w:rsidRPr="00EB413A" w:rsidP="00EB413A">
            <w:pPr>
              <w:pStyle w:val="BodyText"/>
            </w:pPr>
            <w:r w:rsidRPr="00EB413A">
              <w:t>Types of wiring arrangements include single wire/tram systems, simple and compound catenary systems.</w:t>
            </w:r>
          </w:p>
          <w:p w:rsidR="00000000" w:rsidRPr="00EB413A" w:rsidP="00EB413A">
            <w:pPr>
              <w:pStyle w:val="BodyText"/>
            </w:pPr>
            <w:r w:rsidRPr="00EB413A">
              <w:t>Plant may include ladders, elevating work platforms, winches, specialist tension string equipment, cable trailers, work trains, rail mounted overhead wirin</w:t>
            </w:r>
            <w:r w:rsidRPr="00EB413A">
              <w:t>g equipment/vehicles and road rail mounted overhead wiring equipment/vehicles.</w:t>
            </w:r>
          </w:p>
          <w:p w:rsidR="00000000" w:rsidRPr="00EB413A" w:rsidP="00EB413A">
            <w:pPr>
              <w:pStyle w:val="BodyText"/>
            </w:pPr>
            <w:r w:rsidRPr="00EB413A">
              <w:t>Ancillary equipment may include, transformers, switches, and surge diverters.</w:t>
            </w:r>
          </w:p>
          <w:p w:rsidR="00000000" w:rsidRPr="00EB413A" w:rsidP="00EB413A">
            <w:pPr>
              <w:pStyle w:val="BodyText"/>
            </w:pPr>
            <w:r w:rsidRPr="00EB413A">
              <w:t>The following constants and variables included in the element/Performance Criteria in this unit are</w:t>
            </w:r>
            <w:r w:rsidRPr="00EB413A">
              <w:t xml:space="preserve"> fully described in the Definitions Section 1 of this volume and form an integral part of the Range Statement of this unit:</w:t>
            </w:r>
          </w:p>
          <w:p w:rsidR="00000000" w:rsidRPr="00EB413A" w:rsidP="00EB413A">
            <w:pPr>
              <w:pStyle w:val="ListBullet3"/>
            </w:pPr>
            <w:r w:rsidRPr="00EB413A">
              <w:t>Appropriate and relevant persons (see Personnel)</w:t>
            </w:r>
          </w:p>
          <w:p w:rsidR="00000000" w:rsidRPr="00EB413A" w:rsidP="00EB413A">
            <w:pPr>
              <w:pStyle w:val="ListBullet3"/>
            </w:pPr>
            <w:r w:rsidRPr="00EB413A">
              <w:t>Appropriate authorities</w:t>
            </w:r>
          </w:p>
          <w:p w:rsidR="00000000" w:rsidRPr="00EB413A" w:rsidP="00EB413A">
            <w:pPr>
              <w:pStyle w:val="ListBullet3"/>
            </w:pPr>
            <w:r w:rsidRPr="00EB413A">
              <w:t>Appropriate work platform</w:t>
            </w:r>
          </w:p>
          <w:p w:rsidR="00000000" w:rsidRPr="00EB413A" w:rsidP="00EB413A">
            <w:pPr>
              <w:pStyle w:val="ListBullet3"/>
            </w:pPr>
            <w:r w:rsidRPr="00EB413A">
              <w:t>Assessing risk</w:t>
            </w:r>
          </w:p>
          <w:p w:rsidR="00000000" w:rsidRPr="00EB413A" w:rsidP="00EB413A">
            <w:pPr>
              <w:pStyle w:val="ListBullet3"/>
            </w:pPr>
            <w:r w:rsidRPr="00EB413A">
              <w:t>Assessment</w:t>
            </w:r>
          </w:p>
          <w:p w:rsidR="00000000" w:rsidRPr="00EB413A" w:rsidP="00EB413A">
            <w:pPr>
              <w:pStyle w:val="ListBullet3"/>
            </w:pPr>
            <w:r w:rsidRPr="00EB413A">
              <w:t>Authorisation</w:t>
            </w:r>
          </w:p>
          <w:p w:rsidR="00000000" w:rsidRPr="00EB413A" w:rsidP="00EB413A">
            <w:pPr>
              <w:pStyle w:val="ListBullet3"/>
            </w:pPr>
            <w:r w:rsidRPr="00EB413A">
              <w:t>Confined space</w:t>
            </w:r>
          </w:p>
          <w:p w:rsidR="00000000" w:rsidRPr="00EB413A" w:rsidP="00EB413A">
            <w:pPr>
              <w:pStyle w:val="ListBullet3"/>
            </w:pPr>
            <w:r w:rsidRPr="00EB413A">
              <w:t>Diagnostic, testing and restoration</w:t>
            </w:r>
          </w:p>
          <w:p w:rsidR="00000000" w:rsidRPr="00EB413A" w:rsidP="00EB413A">
            <w:pPr>
              <w:pStyle w:val="ListBullet3"/>
            </w:pPr>
            <w:r w:rsidRPr="00EB413A">
              <w:t>Documenting detailed work events, record keeping and or storage of information</w:t>
            </w:r>
          </w:p>
          <w:p w:rsidR="00000000" w:rsidRPr="00EB413A" w:rsidP="00EB413A">
            <w:pPr>
              <w:pStyle w:val="ListBullet3"/>
            </w:pPr>
            <w:r w:rsidRPr="00EB413A">
              <w:t>Drawings and specifications</w:t>
            </w:r>
          </w:p>
          <w:p w:rsidR="00000000" w:rsidRPr="00EB413A" w:rsidP="00EB413A">
            <w:pPr>
              <w:pStyle w:val="ListBullet3"/>
            </w:pPr>
            <w:r w:rsidRPr="00EB413A">
              <w:t>Emergency</w:t>
            </w:r>
          </w:p>
          <w:p w:rsidR="00000000" w:rsidRPr="00EB413A" w:rsidP="00EB413A">
            <w:pPr>
              <w:pStyle w:val="ListBullet3"/>
            </w:pPr>
            <w:r w:rsidRPr="00EB413A">
              <w:t>Environmental and sustainable energy procedures</w:t>
            </w:r>
          </w:p>
          <w:p w:rsidR="00000000" w:rsidRPr="00EB413A" w:rsidP="00EB413A">
            <w:pPr>
              <w:pStyle w:val="ListBullet3"/>
            </w:pPr>
            <w:r w:rsidRPr="00EB413A">
              <w:t>Environmental legislation</w:t>
            </w:r>
          </w:p>
          <w:p w:rsidR="00000000" w:rsidRPr="00EB413A" w:rsidP="00EB413A">
            <w:pPr>
              <w:pStyle w:val="ListBullet3"/>
            </w:pPr>
            <w:r w:rsidRPr="00EB413A">
              <w:t>Environmental management documentation</w:t>
            </w:r>
          </w:p>
          <w:p w:rsidR="00000000" w:rsidRPr="00EB413A" w:rsidP="00EB413A">
            <w:pPr>
              <w:pStyle w:val="ListBullet3"/>
            </w:pPr>
            <w:r w:rsidRPr="00EB413A">
              <w:t>Established procedures</w:t>
            </w:r>
          </w:p>
          <w:p w:rsidR="00000000" w:rsidRPr="00EB413A" w:rsidP="00EB413A">
            <w:pPr>
              <w:pStyle w:val="ListBullet3"/>
            </w:pPr>
            <w:r w:rsidRPr="00EB413A">
              <w:t>Fall prevention</w:t>
            </w:r>
          </w:p>
          <w:p w:rsidR="00000000" w:rsidRPr="00EB413A" w:rsidP="00EB413A">
            <w:pPr>
              <w:pStyle w:val="ListBullet3"/>
            </w:pPr>
            <w:r w:rsidRPr="00EB413A">
              <w:t>Hazards</w:t>
            </w:r>
          </w:p>
          <w:p w:rsidR="00000000" w:rsidRPr="00EB413A" w:rsidP="00EB413A">
            <w:pPr>
              <w:pStyle w:val="ListBullet3"/>
            </w:pPr>
            <w:r w:rsidRPr="00EB413A">
              <w:t>Identifying hazards</w:t>
            </w:r>
          </w:p>
          <w:p w:rsidR="00000000" w:rsidRPr="00EB413A" w:rsidP="00EB413A">
            <w:pPr>
              <w:pStyle w:val="ListBullet3"/>
            </w:pPr>
            <w:r w:rsidRPr="00EB413A">
              <w:t>Inspect</w:t>
            </w:r>
          </w:p>
          <w:p w:rsidR="00000000" w:rsidRPr="00EB413A" w:rsidP="00EB413A">
            <w:pPr>
              <w:pStyle w:val="ListBullet3"/>
            </w:pPr>
            <w:r w:rsidRPr="00EB413A">
              <w:t>Legislation</w:t>
            </w:r>
          </w:p>
          <w:p w:rsidR="00000000" w:rsidRPr="00EB413A" w:rsidP="00EB413A">
            <w:pPr>
              <w:pStyle w:val="ListBullet3"/>
            </w:pPr>
            <w:r w:rsidRPr="00EB413A">
              <w:t>MSDS</w:t>
            </w:r>
          </w:p>
          <w:p w:rsidR="00000000" w:rsidRPr="00EB413A" w:rsidP="00EB413A">
            <w:pPr>
              <w:pStyle w:val="ListBullet3"/>
            </w:pPr>
            <w:r w:rsidRPr="00EB413A">
              <w:t>Notification</w:t>
            </w:r>
          </w:p>
          <w:p w:rsidR="00000000" w:rsidRPr="00EB413A" w:rsidP="00EB413A">
            <w:pPr>
              <w:pStyle w:val="ListBullet3"/>
            </w:pPr>
            <w:r w:rsidRPr="00EB413A">
              <w:t>OHS practices</w:t>
            </w:r>
          </w:p>
          <w:p w:rsidR="00000000" w:rsidRPr="00EB413A" w:rsidP="00EB413A">
            <w:pPr>
              <w:pStyle w:val="ListBullet3"/>
            </w:pPr>
            <w:r w:rsidRPr="00EB413A">
              <w:t>OHS issues</w:t>
            </w:r>
          </w:p>
          <w:p w:rsidR="00000000" w:rsidRPr="00EB413A" w:rsidP="00EB413A">
            <w:pPr>
              <w:pStyle w:val="ListBullet3"/>
            </w:pPr>
            <w:r w:rsidRPr="00EB413A">
              <w:t>Permits and/or permits to work</w:t>
            </w:r>
          </w:p>
          <w:p w:rsidR="00000000" w:rsidRPr="00EB413A" w:rsidP="00EB413A">
            <w:pPr>
              <w:pStyle w:val="ListBullet3"/>
            </w:pPr>
            <w:r w:rsidRPr="00EB413A">
              <w:t>Personnel</w:t>
            </w:r>
          </w:p>
          <w:p w:rsidR="00000000" w:rsidRPr="00EB413A" w:rsidP="00EB413A">
            <w:pPr>
              <w:pStyle w:val="ListBullet3"/>
            </w:pPr>
            <w:r w:rsidRPr="00EB413A">
              <w:t>Quality assurance systems</w:t>
            </w:r>
          </w:p>
          <w:p w:rsidR="00000000" w:rsidRPr="00EB413A" w:rsidP="00EB413A">
            <w:pPr>
              <w:pStyle w:val="ListBullet3"/>
            </w:pPr>
            <w:r w:rsidRPr="00EB413A">
              <w:t>Requirements</w:t>
            </w:r>
          </w:p>
          <w:p w:rsidR="00000000" w:rsidRPr="00EB413A" w:rsidP="00EB413A">
            <w:pPr>
              <w:pStyle w:val="ListBullet3"/>
            </w:pPr>
            <w:r w:rsidRPr="00EB413A">
              <w:t>Testing procedures</w:t>
            </w:r>
          </w:p>
          <w:p w:rsidR="00000000" w:rsidRPr="00EB413A" w:rsidP="00EB413A">
            <w:pPr>
              <w:pStyle w:val="ListBullet3"/>
            </w:pPr>
            <w:r w:rsidRPr="00EB413A">
              <w:t>Work clearance systems</w:t>
            </w:r>
          </w:p>
        </w:tc>
      </w:tr>
    </w:tbl>
    <w:p w:rsidR="00000000" w:rsidRPr="00EB413A" w:rsidP="00EB413A">
      <w:pPr>
        <w:pStyle w:val="BodyText"/>
      </w:pPr>
    </w:p>
    <w:p w:rsidR="00000000" w:rsidRPr="00EB413A" w:rsidP="00EB413A">
      <w:pPr>
        <w:pStyle w:val="AllowPageBreak"/>
      </w:pPr>
    </w:p>
    <w:p w:rsidR="00000000" w:rsidRPr="00EB413A" w:rsidP="00EB413A">
      <w:pPr>
        <w:pStyle w:val="Heading1"/>
      </w:pPr>
      <w:bookmarkStart w:id="12" w:name="O_465334"/>
      <w:bookmarkEnd w:id="12"/>
      <w:r w:rsidRPr="00EB413A">
        <w:t>Unit Sector(s)</w:t>
      </w:r>
    </w:p>
    <w:p w:rsidR="00000000" w:rsidRPr="00EB413A" w:rsidP="00EB413A">
      <w:pPr>
        <w:pStyle w:val="BodyText"/>
      </w:pPr>
      <w:r w:rsidRPr="00EB413A">
        <w:t>Not applicable.</w:t>
      </w:r>
    </w:p>
    <w:p w:rsidR="00000000" w:rsidRPr="00EB413A" w:rsidP="00EB413A">
      <w:pPr>
        <w:pStyle w:val="AllowPageBreak"/>
      </w:pPr>
    </w:p>
    <w:p w:rsidR="00000000" w:rsidRPr="00EB413A" w:rsidP="00EB413A">
      <w:pPr>
        <w:pStyle w:val="Heading1"/>
      </w:pPr>
      <w:bookmarkStart w:id="13" w:name="O_465323"/>
      <w:bookmarkEnd w:id="13"/>
      <w:r w:rsidRPr="00EB413A">
        <w:t>Competency Field</w:t>
      </w:r>
    </w:p>
    <w:tbl>
      <w:tblPr>
        <w:tblW w:w="0" w:type="auto"/>
        <w:tblLayout w:type="fixed"/>
        <w:tblCellMar>
          <w:left w:w="62" w:type="dxa"/>
          <w:right w:w="62" w:type="dxa"/>
        </w:tblCellMar>
        <w:tblLook w:val="0000"/>
      </w:tblPr>
      <w:tblGrid>
        <w:gridCol w:w="2700"/>
        <w:gridCol w:w="5760"/>
      </w:tblGrid>
      <w:tr w:rsidTr="00CE709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B413A">
            <w:pPr>
              <w:pStyle w:val="BodyText"/>
              <w:rPr>
                <w:lang w:val="en-NZ"/>
              </w:rPr>
            </w:pPr>
            <w:r w:rsidRPr="00EB413A">
              <w:rPr>
                <w:rStyle w:val="SpecialBold"/>
              </w:rPr>
              <w:t xml:space="preserve">11) </w:t>
            </w:r>
          </w:p>
        </w:tc>
      </w:tr>
      <w:tr w:rsidTr="00CE7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413A" w:rsidP="00EB413A">
            <w:pPr>
              <w:pStyle w:val="BodyText"/>
            </w:pPr>
            <w:r w:rsidRPr="00EB413A">
              <w:t>Rail Traction Units</w:t>
            </w:r>
          </w:p>
        </w:tc>
      </w:tr>
    </w:tbl>
    <w:p w:rsidR="00000000" w:rsidRPr="00EB413A" w:rsidP="00EB413A">
      <w:pPr>
        <w:pStyle w:val="BodyText"/>
      </w:pPr>
    </w:p>
    <w:p w:rsidR="00000000" w:rsidRPr="00EB413A" w:rsidP="00EB413A"/>
    <w:sectPr w:rsidSect="00EB41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1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7095" w:rsidP="00CE70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1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095" w:rsidP="00EB41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E7095" w:rsidP="00EB41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E7095" w:rsidP="00EB41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1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7095" w:rsidP="00CE709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1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095" w:rsidP="00EB413A">
    <w:pPr>
      <w:pStyle w:val="Header"/>
      <w:framePr w:wrap="around"/>
    </w:pPr>
    <w:r>
      <w:fldChar w:fldCharType="begin"/>
    </w:r>
    <w:r>
      <w:instrText xml:space="preserve"> TITLE   \* MERGEFORMAT </w:instrText>
    </w:r>
    <w:r>
      <w:fldChar w:fldCharType="separate"/>
    </w:r>
    <w:r>
      <w:t>UETTDRRT28A Maintain overhead traction components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E7095" w:rsidP="00EB41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C0CA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60CE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5A79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1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413A"/>
    <w:pPr>
      <w:spacing w:before="360" w:after="60"/>
      <w:outlineLvl w:val="0"/>
    </w:pPr>
    <w:rPr>
      <w:sz w:val="32"/>
    </w:rPr>
  </w:style>
  <w:style w:type="paragraph" w:styleId="Heading2">
    <w:name w:val="heading 2"/>
    <w:basedOn w:val="HeadingBase"/>
    <w:next w:val="BodyText"/>
    <w:link w:val="Heading2Char"/>
    <w:qFormat/>
    <w:rsid w:val="00EB413A"/>
    <w:pPr>
      <w:keepLines/>
      <w:spacing w:before="240" w:after="120"/>
      <w:outlineLvl w:val="1"/>
    </w:pPr>
    <w:rPr>
      <w:sz w:val="28"/>
      <w:szCs w:val="40"/>
    </w:rPr>
  </w:style>
  <w:style w:type="paragraph" w:styleId="Heading3">
    <w:name w:val="heading 3"/>
    <w:basedOn w:val="HeadingBase"/>
    <w:next w:val="BodyText"/>
    <w:link w:val="Heading3Char"/>
    <w:qFormat/>
    <w:rsid w:val="00EB413A"/>
    <w:pPr>
      <w:spacing w:before="180" w:after="120"/>
      <w:outlineLvl w:val="2"/>
    </w:pPr>
    <w:rPr>
      <w:spacing w:val="-10"/>
      <w:kern w:val="32"/>
    </w:rPr>
  </w:style>
  <w:style w:type="paragraph" w:styleId="Heading4">
    <w:name w:val="heading 4"/>
    <w:basedOn w:val="HeadingBase"/>
    <w:next w:val="BodyText"/>
    <w:link w:val="Heading4Char"/>
    <w:qFormat/>
    <w:rsid w:val="00EB413A"/>
    <w:pPr>
      <w:spacing w:before="160" w:after="120"/>
      <w:outlineLvl w:val="3"/>
    </w:pPr>
    <w:rPr>
      <w:sz w:val="22"/>
    </w:rPr>
  </w:style>
  <w:style w:type="paragraph" w:styleId="Heading5">
    <w:name w:val="heading 5"/>
    <w:basedOn w:val="HeadingBase"/>
    <w:next w:val="Normal"/>
    <w:link w:val="Heading5Char"/>
    <w:qFormat/>
    <w:rsid w:val="00EB413A"/>
    <w:pPr>
      <w:spacing w:before="80"/>
      <w:outlineLvl w:val="4"/>
    </w:pPr>
    <w:rPr>
      <w:color w:val="918585"/>
      <w:sz w:val="20"/>
    </w:rPr>
  </w:style>
  <w:style w:type="paragraph" w:styleId="Heading6">
    <w:name w:val="heading 6"/>
    <w:basedOn w:val="HeadingBase"/>
    <w:next w:val="Normal"/>
    <w:link w:val="Heading6Char"/>
    <w:qFormat/>
    <w:rsid w:val="00EB413A"/>
    <w:pPr>
      <w:spacing w:before="60"/>
      <w:outlineLvl w:val="5"/>
    </w:pPr>
    <w:rPr>
      <w:color w:val="918585"/>
      <w:sz w:val="20"/>
    </w:rPr>
  </w:style>
  <w:style w:type="paragraph" w:styleId="Heading7">
    <w:name w:val="heading 7"/>
    <w:basedOn w:val="Normal"/>
    <w:next w:val="Normal"/>
    <w:link w:val="Heading7Char"/>
    <w:qFormat/>
    <w:rsid w:val="00EB413A"/>
    <w:pPr>
      <w:ind w:left="720"/>
      <w:outlineLvl w:val="6"/>
    </w:pPr>
    <w:rPr>
      <w:i/>
    </w:rPr>
  </w:style>
  <w:style w:type="paragraph" w:styleId="Heading8">
    <w:name w:val="heading 8"/>
    <w:basedOn w:val="Normal"/>
    <w:next w:val="Normal"/>
    <w:link w:val="Heading8Char"/>
    <w:qFormat/>
    <w:rsid w:val="00EB413A"/>
    <w:pPr>
      <w:ind w:left="720"/>
      <w:outlineLvl w:val="7"/>
    </w:pPr>
    <w:rPr>
      <w:i/>
    </w:rPr>
  </w:style>
  <w:style w:type="paragraph" w:styleId="Heading9">
    <w:name w:val="heading 9"/>
    <w:basedOn w:val="Normal"/>
    <w:next w:val="Normal"/>
    <w:link w:val="Heading9Char"/>
    <w:qFormat/>
    <w:rsid w:val="00EB413A"/>
    <w:pPr>
      <w:ind w:left="720"/>
      <w:outlineLvl w:val="8"/>
    </w:pPr>
    <w:rPr>
      <w:i/>
    </w:rPr>
  </w:style>
  <w:style w:type="character" w:default="1" w:styleId="DefaultParagraphFont">
    <w:name w:val="Default Paragraph Font"/>
    <w:uiPriority w:val="1"/>
    <w:unhideWhenUsed/>
    <w:rsid w:val="00EB41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13A"/>
  </w:style>
  <w:style w:type="character" w:customStyle="1" w:styleId="Heading1Char">
    <w:name w:val="Heading 1 Char"/>
    <w:link w:val="Heading1"/>
    <w:rsid w:val="00EB413A"/>
    <w:rPr>
      <w:rFonts w:ascii="Times New Roman" w:eastAsia="Times New Roman" w:hAnsi="Times New Roman" w:cs="Times New Roman"/>
      <w:b/>
      <w:sz w:val="32"/>
      <w:szCs w:val="20"/>
      <w:lang w:eastAsia="en-US"/>
    </w:rPr>
  </w:style>
  <w:style w:type="paragraph" w:styleId="BodyText">
    <w:name w:val="Body Text"/>
    <w:basedOn w:val="Normal"/>
    <w:link w:val="BodyTextChar"/>
    <w:rsid w:val="00EB413A"/>
    <w:pPr>
      <w:spacing w:before="120" w:after="120"/>
      <w:contextualSpacing/>
    </w:pPr>
    <w:rPr>
      <w:rFonts w:ascii="Times New Roman" w:hAnsi="Times New Roman"/>
      <w:sz w:val="24"/>
      <w:szCs w:val="22"/>
    </w:rPr>
  </w:style>
  <w:style w:type="character" w:customStyle="1" w:styleId="BodyTextChar">
    <w:name w:val="Body Text Char"/>
    <w:link w:val="BodyText"/>
    <w:rsid w:val="00EB413A"/>
    <w:rPr>
      <w:rFonts w:ascii="Times New Roman" w:eastAsia="Times New Roman" w:hAnsi="Times New Roman" w:cs="Times New Roman"/>
      <w:sz w:val="24"/>
      <w:lang w:val="en-US" w:eastAsia="en-US"/>
    </w:rPr>
  </w:style>
  <w:style w:type="paragraph" w:styleId="Footer">
    <w:name w:val="footer"/>
    <w:basedOn w:val="Normal"/>
    <w:link w:val="FooterChar"/>
    <w:rsid w:val="00EB41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B413A"/>
    <w:rPr>
      <w:rFonts w:ascii="Times New Roman" w:eastAsia="Times New Roman" w:hAnsi="Times New Roman" w:cs="Times New Roman"/>
      <w:sz w:val="16"/>
      <w:lang w:val="en-US" w:eastAsia="en-US"/>
    </w:rPr>
  </w:style>
  <w:style w:type="paragraph" w:styleId="ListBullet">
    <w:name w:val="List Bullet"/>
    <w:basedOn w:val="List"/>
    <w:rsid w:val="00EB413A"/>
    <w:pPr>
      <w:numPr>
        <w:numId w:val="14"/>
      </w:numPr>
      <w:tabs>
        <w:tab w:val="clear" w:pos="340"/>
      </w:tabs>
      <w:spacing w:before="40" w:after="40"/>
    </w:pPr>
  </w:style>
  <w:style w:type="character" w:customStyle="1" w:styleId="SpecialBold">
    <w:name w:val="Special Bold"/>
    <w:rsid w:val="00EB413A"/>
    <w:rPr>
      <w:b/>
      <w:spacing w:val="0"/>
    </w:rPr>
  </w:style>
  <w:style w:type="paragraph" w:styleId="ListBullet2">
    <w:name w:val="List Bullet 2"/>
    <w:basedOn w:val="List2"/>
    <w:rsid w:val="00EB413A"/>
    <w:pPr>
      <w:numPr>
        <w:numId w:val="15"/>
      </w:numPr>
      <w:tabs>
        <w:tab w:val="clear" w:pos="680"/>
      </w:tabs>
    </w:pPr>
  </w:style>
  <w:style w:type="paragraph" w:styleId="Header">
    <w:name w:val="header"/>
    <w:basedOn w:val="Normal"/>
    <w:link w:val="HeaderChar"/>
    <w:rsid w:val="00EB41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B41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413A"/>
    <w:pPr>
      <w:spacing w:before="240" w:after="120"/>
      <w:outlineLvl w:val="0"/>
    </w:pPr>
    <w:rPr>
      <w:rFonts w:ascii="Times New Roman" w:hAnsi="Times New Roman"/>
      <w:b/>
      <w:sz w:val="28"/>
    </w:rPr>
  </w:style>
  <w:style w:type="paragraph" w:customStyle="1" w:styleId="AllowPageBreak">
    <w:name w:val="AllowPageBreak"/>
    <w:rsid w:val="00EB413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B413A"/>
    <w:pPr>
      <w:numPr>
        <w:numId w:val="3"/>
      </w:numPr>
      <w:tabs>
        <w:tab w:val="clear" w:pos="1021"/>
      </w:tabs>
      <w:ind w:left="1037" w:hanging="357"/>
    </w:pPr>
  </w:style>
  <w:style w:type="character" w:customStyle="1" w:styleId="Heading2Char">
    <w:name w:val="Heading 2 Char"/>
    <w:link w:val="Heading2"/>
    <w:rsid w:val="00EB413A"/>
    <w:rPr>
      <w:rFonts w:ascii="Times New Roman" w:eastAsia="Times New Roman" w:hAnsi="Times New Roman" w:cs="Times New Roman"/>
      <w:b/>
      <w:sz w:val="28"/>
      <w:szCs w:val="40"/>
      <w:lang w:eastAsia="en-US"/>
    </w:rPr>
  </w:style>
  <w:style w:type="character" w:customStyle="1" w:styleId="Heading3Char">
    <w:name w:val="Heading 3 Char"/>
    <w:link w:val="Heading3"/>
    <w:rsid w:val="00EB413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B413A"/>
    <w:rPr>
      <w:rFonts w:ascii="Times New Roman" w:eastAsia="Times New Roman" w:hAnsi="Times New Roman" w:cs="Times New Roman"/>
      <w:b/>
      <w:szCs w:val="20"/>
      <w:lang w:eastAsia="en-US"/>
    </w:rPr>
  </w:style>
  <w:style w:type="character" w:customStyle="1" w:styleId="Heading5Char">
    <w:name w:val="Heading 5 Char"/>
    <w:link w:val="Heading5"/>
    <w:rsid w:val="00EB413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B41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1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41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413A"/>
    <w:rPr>
      <w:rFonts w:ascii="Courier New" w:eastAsia="Times New Roman" w:hAnsi="Courier New" w:cs="Times New Roman"/>
      <w:i/>
      <w:szCs w:val="20"/>
      <w:lang w:val="en-US" w:eastAsia="en-US"/>
    </w:rPr>
  </w:style>
  <w:style w:type="paragraph" w:customStyle="1" w:styleId="HeadingBase">
    <w:name w:val="Heading Base"/>
    <w:rsid w:val="00EB41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13A"/>
    <w:pPr>
      <w:tabs>
        <w:tab w:val="right" w:leader="dot" w:pos="9072"/>
      </w:tabs>
      <w:ind w:left="567"/>
    </w:pPr>
    <w:rPr>
      <w:szCs w:val="22"/>
    </w:rPr>
  </w:style>
  <w:style w:type="paragraph" w:customStyle="1" w:styleId="TOCBase">
    <w:name w:val="TOC Base"/>
    <w:rsid w:val="00EB41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13A"/>
    <w:pPr>
      <w:tabs>
        <w:tab w:val="right" w:leader="dot" w:pos="9072"/>
      </w:tabs>
      <w:spacing w:before="40" w:after="40"/>
      <w:ind w:left="284"/>
    </w:pPr>
    <w:rPr>
      <w:rFonts w:ascii="Times New Roman" w:hAnsi="Times New Roman"/>
    </w:rPr>
  </w:style>
  <w:style w:type="paragraph" w:styleId="TOC1">
    <w:name w:val="toc 1"/>
    <w:basedOn w:val="TOCBase"/>
    <w:next w:val="Normal"/>
    <w:rsid w:val="00EB41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413A"/>
    <w:pPr>
      <w:spacing w:before="5040"/>
      <w:jc w:val="center"/>
    </w:pPr>
    <w:rPr>
      <w:sz w:val="48"/>
      <w:szCs w:val="72"/>
      <w:lang w:val="en-US"/>
    </w:rPr>
  </w:style>
  <w:style w:type="character" w:customStyle="1" w:styleId="TitleChar">
    <w:name w:val="Title Char"/>
    <w:link w:val="Title"/>
    <w:rsid w:val="00EB41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13A"/>
    <w:pPr>
      <w:tabs>
        <w:tab w:val="left" w:pos="3600"/>
        <w:tab w:val="left" w:pos="3958"/>
      </w:tabs>
    </w:pPr>
  </w:style>
  <w:style w:type="paragraph" w:styleId="List">
    <w:name w:val="List"/>
    <w:basedOn w:val="BodyText"/>
    <w:next w:val="BodyText"/>
    <w:rsid w:val="00EB413A"/>
    <w:pPr>
      <w:tabs>
        <w:tab w:val="left" w:pos="340"/>
      </w:tabs>
      <w:spacing w:before="60" w:after="60"/>
      <w:ind w:left="340" w:hanging="340"/>
    </w:pPr>
  </w:style>
  <w:style w:type="paragraph" w:customStyle="1" w:styleId="Note">
    <w:name w:val="Note"/>
    <w:basedOn w:val="BodyText"/>
    <w:rsid w:val="00EB41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13A"/>
    <w:pPr>
      <w:framePr w:wrap="auto" w:hAnchor="text" w:y="6049"/>
    </w:pPr>
    <w:rPr>
      <w:color w:val="000000"/>
      <w:sz w:val="40"/>
    </w:rPr>
  </w:style>
  <w:style w:type="paragraph" w:customStyle="1" w:styleId="TOCTitle">
    <w:name w:val="TOCTitle"/>
    <w:basedOn w:val="Heading1"/>
    <w:rsid w:val="00EB413A"/>
    <w:pPr>
      <w:spacing w:after="240"/>
      <w:jc w:val="center"/>
      <w:outlineLvl w:val="9"/>
    </w:pPr>
    <w:rPr>
      <w:caps/>
    </w:rPr>
  </w:style>
  <w:style w:type="paragraph" w:customStyle="1" w:styleId="Version">
    <w:name w:val="Version"/>
    <w:rsid w:val="00EB41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413A"/>
    <w:pPr>
      <w:keepNext w:val="0"/>
      <w:tabs>
        <w:tab w:val="right" w:pos="4176"/>
      </w:tabs>
      <w:ind w:left="198" w:hanging="198"/>
    </w:pPr>
    <w:rPr>
      <w:rFonts w:ascii="Garamond" w:hAnsi="Garamond"/>
    </w:rPr>
  </w:style>
  <w:style w:type="paragraph" w:styleId="IndexHeading">
    <w:name w:val="index heading"/>
    <w:basedOn w:val="Normal"/>
    <w:next w:val="Index1"/>
    <w:semiHidden/>
    <w:rsid w:val="00EB413A"/>
    <w:pPr>
      <w:spacing w:before="120" w:after="120"/>
    </w:pPr>
    <w:rPr>
      <w:rFonts w:ascii="Arial" w:hAnsi="Arial"/>
      <w:b/>
      <w:color w:val="918585"/>
      <w:sz w:val="24"/>
    </w:rPr>
  </w:style>
  <w:style w:type="paragraph" w:customStyle="1" w:styleId="Chapter">
    <w:name w:val="Chapter"/>
    <w:basedOn w:val="Normal"/>
    <w:rsid w:val="00EB413A"/>
    <w:pPr>
      <w:spacing w:before="240"/>
    </w:pPr>
    <w:rPr>
      <w:rFonts w:ascii="Times New Roman" w:hAnsi="Times New Roman"/>
      <w:smallCaps/>
      <w:spacing w:val="80"/>
      <w:sz w:val="28"/>
    </w:rPr>
  </w:style>
  <w:style w:type="paragraph" w:customStyle="1" w:styleId="InChapter">
    <w:name w:val="InChapter"/>
    <w:basedOn w:val="Heading3"/>
    <w:rsid w:val="00EB413A"/>
    <w:pPr>
      <w:spacing w:after="240"/>
      <w:outlineLvl w:val="9"/>
    </w:pPr>
    <w:rPr>
      <w:noProof/>
    </w:rPr>
  </w:style>
  <w:style w:type="paragraph" w:styleId="Index2">
    <w:name w:val="index 2"/>
    <w:basedOn w:val="Normal"/>
    <w:next w:val="Normal"/>
    <w:semiHidden/>
    <w:rsid w:val="00EB413A"/>
    <w:pPr>
      <w:tabs>
        <w:tab w:val="right" w:pos="4176"/>
      </w:tabs>
      <w:ind w:left="568" w:hanging="284"/>
    </w:pPr>
    <w:rPr>
      <w:rFonts w:ascii="Garamond" w:hAnsi="Garamond"/>
    </w:rPr>
  </w:style>
  <w:style w:type="paragraph" w:customStyle="1" w:styleId="Byline">
    <w:name w:val="Byline"/>
    <w:rsid w:val="00EB41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13A"/>
    <w:pPr>
      <w:tabs>
        <w:tab w:val="clear" w:pos="3600"/>
        <w:tab w:val="clear" w:pos="3958"/>
      </w:tabs>
      <w:jc w:val="right"/>
    </w:pPr>
  </w:style>
  <w:style w:type="character" w:styleId="Emphasis">
    <w:name w:val="Emphasis"/>
    <w:qFormat/>
    <w:rsid w:val="00EB413A"/>
    <w:rPr>
      <w:i/>
    </w:rPr>
  </w:style>
  <w:style w:type="paragraph" w:styleId="Caption">
    <w:name w:val="caption"/>
    <w:basedOn w:val="BodyText"/>
    <w:next w:val="Normal"/>
    <w:qFormat/>
    <w:rsid w:val="00EB413A"/>
    <w:pPr>
      <w:framePr w:w="2268" w:hSpace="181" w:vSpace="181" w:wrap="around" w:vAnchor="text" w:hAnchor="page" w:x="1135" w:y="285" w:anchorLock="1"/>
    </w:pPr>
    <w:rPr>
      <w:i/>
    </w:rPr>
  </w:style>
  <w:style w:type="paragraph" w:customStyle="1" w:styleId="MiniTOCTitle">
    <w:name w:val="MiniTOCTitle"/>
    <w:basedOn w:val="Heading4"/>
    <w:rsid w:val="00EB413A"/>
    <w:pPr>
      <w:spacing w:before="240"/>
      <w:outlineLvl w:val="9"/>
    </w:pPr>
    <w:rPr>
      <w:noProof/>
      <w:sz w:val="24"/>
    </w:rPr>
  </w:style>
  <w:style w:type="paragraph" w:customStyle="1" w:styleId="MiniTOCItem">
    <w:name w:val="MiniTOCItem"/>
    <w:basedOn w:val="ListBullet"/>
    <w:rsid w:val="00EB413A"/>
    <w:pPr>
      <w:numPr>
        <w:numId w:val="0"/>
      </w:numPr>
      <w:tabs>
        <w:tab w:val="right" w:leader="dot" w:pos="6521"/>
      </w:tabs>
      <w:spacing w:before="0" w:after="0"/>
    </w:pPr>
  </w:style>
  <w:style w:type="paragraph" w:customStyle="1" w:styleId="TOFTitle">
    <w:name w:val="TOFTitle"/>
    <w:basedOn w:val="TOCTitle"/>
    <w:rsid w:val="00EB413A"/>
  </w:style>
  <w:style w:type="paragraph" w:styleId="TableofFigures">
    <w:name w:val="table of figures"/>
    <w:basedOn w:val="Normal"/>
    <w:next w:val="Normal"/>
    <w:semiHidden/>
    <w:rsid w:val="00EB413A"/>
    <w:pPr>
      <w:tabs>
        <w:tab w:val="right" w:leader="dot" w:pos="9072"/>
      </w:tabs>
      <w:ind w:left="970" w:hanging="403"/>
    </w:pPr>
    <w:rPr>
      <w:rFonts w:ascii="Times New Roman" w:hAnsi="Times New Roman"/>
      <w:b/>
    </w:rPr>
  </w:style>
  <w:style w:type="paragraph" w:styleId="ListNumber">
    <w:name w:val="List Number"/>
    <w:basedOn w:val="List"/>
    <w:rsid w:val="00EB413A"/>
    <w:pPr>
      <w:numPr>
        <w:numId w:val="12"/>
      </w:numPr>
    </w:pPr>
  </w:style>
  <w:style w:type="character" w:customStyle="1" w:styleId="WingdingSymbols">
    <w:name w:val="Wingding Symbols"/>
    <w:rsid w:val="00EB413A"/>
    <w:rPr>
      <w:rFonts w:ascii="Wingdings" w:hAnsi="Wingdings"/>
    </w:rPr>
  </w:style>
  <w:style w:type="paragraph" w:customStyle="1" w:styleId="TableHeading">
    <w:name w:val="Table Heading"/>
    <w:basedOn w:val="HeadingBase"/>
    <w:rsid w:val="00EB413A"/>
    <w:pPr>
      <w:keepLines/>
      <w:pBdr>
        <w:bottom w:val="single" w:sz="6" w:space="1" w:color="918585"/>
      </w:pBdr>
      <w:spacing w:before="240"/>
    </w:pPr>
  </w:style>
  <w:style w:type="character" w:customStyle="1" w:styleId="HotSpot">
    <w:name w:val="HotSpot"/>
    <w:rsid w:val="00EB413A"/>
    <w:rPr>
      <w:color w:val="0033CC"/>
      <w:u w:val="none"/>
    </w:rPr>
  </w:style>
  <w:style w:type="paragraph" w:customStyle="1" w:styleId="BodyTextRight">
    <w:name w:val="Body Text Right"/>
    <w:basedOn w:val="BodyText"/>
    <w:rsid w:val="00EB413A"/>
    <w:pPr>
      <w:spacing w:before="0" w:after="0"/>
      <w:jc w:val="right"/>
    </w:pPr>
  </w:style>
  <w:style w:type="paragraph" w:styleId="Index3">
    <w:name w:val="index 3"/>
    <w:basedOn w:val="ListNumber2"/>
    <w:next w:val="Normal"/>
    <w:semiHidden/>
    <w:rsid w:val="00EB413A"/>
    <w:pPr>
      <w:numPr>
        <w:numId w:val="0"/>
      </w:numPr>
      <w:tabs>
        <w:tab w:val="right" w:leader="dot" w:pos="4176"/>
      </w:tabs>
    </w:pPr>
  </w:style>
  <w:style w:type="paragraph" w:styleId="ListNumber2">
    <w:name w:val="List Number 2"/>
    <w:basedOn w:val="List2"/>
    <w:rsid w:val="00EB413A"/>
    <w:pPr>
      <w:numPr>
        <w:numId w:val="11"/>
      </w:numPr>
      <w:tabs>
        <w:tab w:val="clear" w:pos="1060"/>
      </w:tabs>
    </w:pPr>
  </w:style>
  <w:style w:type="paragraph" w:customStyle="1" w:styleId="MarginNote">
    <w:name w:val="Margin Note"/>
    <w:basedOn w:val="BodyText"/>
    <w:rsid w:val="00EB41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1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B41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413A"/>
    <w:rPr>
      <w:sz w:val="32"/>
    </w:rPr>
  </w:style>
  <w:style w:type="paragraph" w:customStyle="1" w:styleId="HeadingProcedure">
    <w:name w:val="Heading Procedure"/>
    <w:basedOn w:val="HeadingBase"/>
    <w:next w:val="Normal"/>
    <w:rsid w:val="00EB413A"/>
    <w:pPr>
      <w:tabs>
        <w:tab w:val="left" w:pos="0"/>
      </w:tabs>
      <w:spacing w:before="120" w:after="60"/>
    </w:pPr>
    <w:rPr>
      <w:i/>
      <w:color w:val="918585"/>
      <w:sz w:val="22"/>
    </w:rPr>
  </w:style>
  <w:style w:type="paragraph" w:customStyle="1" w:styleId="TableBodyText">
    <w:name w:val="Table Body Text"/>
    <w:basedOn w:val="BodyText"/>
    <w:rsid w:val="00EB413A"/>
    <w:pPr>
      <w:spacing w:before="60" w:after="60"/>
    </w:pPr>
  </w:style>
  <w:style w:type="paragraph" w:styleId="ListContinue">
    <w:name w:val="List Continue"/>
    <w:basedOn w:val="List"/>
    <w:rsid w:val="00EB413A"/>
    <w:pPr>
      <w:ind w:firstLine="0"/>
    </w:pPr>
  </w:style>
  <w:style w:type="paragraph" w:customStyle="1" w:styleId="ListNote">
    <w:name w:val="List Note"/>
    <w:basedOn w:val="List"/>
    <w:rsid w:val="00EB413A"/>
    <w:pPr>
      <w:pBdr>
        <w:top w:val="single" w:sz="6" w:space="2" w:color="918585"/>
        <w:bottom w:val="single" w:sz="6" w:space="2" w:color="918585"/>
      </w:pBdr>
      <w:tabs>
        <w:tab w:val="left" w:pos="1021"/>
      </w:tabs>
      <w:ind w:firstLine="0"/>
    </w:pPr>
  </w:style>
  <w:style w:type="paragraph" w:customStyle="1" w:styleId="Warning">
    <w:name w:val="Warning"/>
    <w:basedOn w:val="BodyText"/>
    <w:rsid w:val="00EB413A"/>
    <w:pPr>
      <w:shd w:val="clear" w:color="auto" w:fill="D9D9D9"/>
      <w:tabs>
        <w:tab w:val="left" w:pos="992"/>
      </w:tabs>
      <w:ind w:left="119" w:right="119"/>
    </w:pPr>
    <w:rPr>
      <w:sz w:val="20"/>
    </w:rPr>
  </w:style>
  <w:style w:type="paragraph" w:customStyle="1" w:styleId="MarginIcons">
    <w:name w:val="Margin Icons"/>
    <w:basedOn w:val="BodyText"/>
    <w:rsid w:val="00EB413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B413A"/>
    <w:rPr>
      <w:rFonts w:ascii="Courier New" w:hAnsi="Courier New"/>
    </w:rPr>
  </w:style>
  <w:style w:type="paragraph" w:customStyle="1" w:styleId="NoteBullet">
    <w:name w:val="Note Bullet"/>
    <w:basedOn w:val="Note"/>
    <w:rsid w:val="00EB413A"/>
    <w:pPr>
      <w:tabs>
        <w:tab w:val="clear" w:pos="680"/>
      </w:tabs>
      <w:spacing w:before="60" w:after="60"/>
    </w:pPr>
  </w:style>
  <w:style w:type="paragraph" w:customStyle="1" w:styleId="SubHeading2">
    <w:name w:val="SubHeading2"/>
    <w:basedOn w:val="HeadingBase"/>
    <w:rsid w:val="00EB413A"/>
    <w:pPr>
      <w:spacing w:before="240" w:after="60"/>
    </w:pPr>
    <w:rPr>
      <w:sz w:val="20"/>
    </w:rPr>
  </w:style>
  <w:style w:type="paragraph" w:customStyle="1" w:styleId="SubHeading1">
    <w:name w:val="SubHeading1"/>
    <w:basedOn w:val="HeadingBase"/>
    <w:rsid w:val="00EB413A"/>
    <w:pPr>
      <w:spacing w:before="240" w:after="60"/>
    </w:pPr>
    <w:rPr>
      <w:color w:val="918585"/>
      <w:sz w:val="22"/>
    </w:rPr>
  </w:style>
  <w:style w:type="paragraph" w:customStyle="1" w:styleId="SideHeading">
    <w:name w:val="Side Heading"/>
    <w:basedOn w:val="HeadingBase"/>
    <w:rsid w:val="00EB41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13A"/>
    <w:pPr>
      <w:numPr>
        <w:numId w:val="13"/>
      </w:numPr>
    </w:pPr>
  </w:style>
  <w:style w:type="paragraph" w:styleId="PlainText">
    <w:name w:val="Plain Text"/>
    <w:basedOn w:val="Normal"/>
    <w:link w:val="PlainTextChar"/>
    <w:rsid w:val="00EB413A"/>
    <w:rPr>
      <w:sz w:val="20"/>
    </w:rPr>
  </w:style>
  <w:style w:type="character" w:customStyle="1" w:styleId="PlainTextChar">
    <w:name w:val="Plain Text Char"/>
    <w:basedOn w:val="DefaultParagraphFont"/>
    <w:link w:val="PlainText"/>
    <w:rsid w:val="00EB413A"/>
    <w:rPr>
      <w:rFonts w:ascii="Courier New" w:eastAsia="Times New Roman" w:hAnsi="Courier New" w:cs="Times New Roman"/>
      <w:sz w:val="20"/>
      <w:szCs w:val="20"/>
      <w:lang w:val="en-US" w:eastAsia="en-US"/>
    </w:rPr>
  </w:style>
  <w:style w:type="character" w:customStyle="1" w:styleId="MenuOption">
    <w:name w:val="Menu Option"/>
    <w:rsid w:val="00EB413A"/>
    <w:rPr>
      <w:b/>
      <w:smallCaps/>
    </w:rPr>
  </w:style>
  <w:style w:type="paragraph" w:customStyle="1" w:styleId="TableListNumber">
    <w:name w:val="Table List Number"/>
    <w:basedOn w:val="ListNumber"/>
    <w:rsid w:val="00EB413A"/>
    <w:pPr>
      <w:numPr>
        <w:numId w:val="0"/>
      </w:numPr>
    </w:pPr>
  </w:style>
  <w:style w:type="paragraph" w:styleId="TOC4">
    <w:name w:val="toc 4"/>
    <w:basedOn w:val="TOCBase"/>
    <w:next w:val="Normal"/>
    <w:semiHidden/>
    <w:rsid w:val="00EB413A"/>
    <w:pPr>
      <w:tabs>
        <w:tab w:val="right" w:leader="dot" w:pos="9071"/>
      </w:tabs>
      <w:ind w:left="1701"/>
    </w:pPr>
  </w:style>
  <w:style w:type="paragraph" w:customStyle="1" w:styleId="ListAlpha">
    <w:name w:val="List Alpha"/>
    <w:basedOn w:val="List"/>
    <w:rsid w:val="00EB413A"/>
    <w:pPr>
      <w:numPr>
        <w:numId w:val="10"/>
      </w:numPr>
    </w:pPr>
  </w:style>
  <w:style w:type="paragraph" w:customStyle="1" w:styleId="ListAlpha2">
    <w:name w:val="List Alpha 2"/>
    <w:basedOn w:val="List2"/>
    <w:rsid w:val="00EB413A"/>
    <w:pPr>
      <w:numPr>
        <w:numId w:val="9"/>
      </w:numPr>
    </w:pPr>
  </w:style>
  <w:style w:type="paragraph" w:styleId="List2">
    <w:name w:val="List 2"/>
    <w:basedOn w:val="BodyText"/>
    <w:rsid w:val="00EB413A"/>
    <w:pPr>
      <w:tabs>
        <w:tab w:val="left" w:pos="680"/>
      </w:tabs>
      <w:spacing w:before="60" w:after="60"/>
      <w:ind w:left="680" w:hanging="340"/>
    </w:pPr>
  </w:style>
  <w:style w:type="paragraph" w:styleId="List3">
    <w:name w:val="List 3"/>
    <w:basedOn w:val="BodyText"/>
    <w:rsid w:val="00EB413A"/>
    <w:pPr>
      <w:tabs>
        <w:tab w:val="left" w:pos="1021"/>
      </w:tabs>
      <w:spacing w:before="60" w:after="60"/>
      <w:ind w:left="1020" w:hanging="340"/>
    </w:pPr>
  </w:style>
  <w:style w:type="paragraph" w:styleId="List4">
    <w:name w:val="List 4"/>
    <w:basedOn w:val="BodyText"/>
    <w:rsid w:val="00EB413A"/>
    <w:pPr>
      <w:tabs>
        <w:tab w:val="left" w:pos="1361"/>
      </w:tabs>
      <w:spacing w:before="60" w:after="60"/>
      <w:ind w:left="1361" w:hanging="340"/>
    </w:pPr>
  </w:style>
  <w:style w:type="paragraph" w:styleId="List5">
    <w:name w:val="List 5"/>
    <w:basedOn w:val="BodyText"/>
    <w:rsid w:val="00EB413A"/>
    <w:pPr>
      <w:tabs>
        <w:tab w:val="left" w:pos="1701"/>
      </w:tabs>
      <w:spacing w:before="60" w:after="60"/>
      <w:ind w:left="1701" w:hanging="340"/>
    </w:pPr>
  </w:style>
  <w:style w:type="paragraph" w:styleId="ListBullet4">
    <w:name w:val="List Bullet 4"/>
    <w:basedOn w:val="List4"/>
    <w:rsid w:val="00EB413A"/>
    <w:pPr>
      <w:numPr>
        <w:numId w:val="4"/>
      </w:numPr>
    </w:pPr>
  </w:style>
  <w:style w:type="paragraph" w:styleId="ListBullet5">
    <w:name w:val="List Bullet 5"/>
    <w:basedOn w:val="List5"/>
    <w:rsid w:val="00EB413A"/>
    <w:pPr>
      <w:numPr>
        <w:numId w:val="5"/>
      </w:numPr>
    </w:pPr>
  </w:style>
  <w:style w:type="paragraph" w:styleId="ListContinue2">
    <w:name w:val="List Continue 2"/>
    <w:basedOn w:val="List2"/>
    <w:rsid w:val="00EB413A"/>
    <w:pPr>
      <w:ind w:firstLine="0"/>
    </w:pPr>
  </w:style>
  <w:style w:type="paragraph" w:styleId="ListContinue3">
    <w:name w:val="List Continue 3"/>
    <w:basedOn w:val="List3"/>
    <w:rsid w:val="00EB413A"/>
    <w:pPr>
      <w:ind w:left="1021" w:firstLine="0"/>
    </w:pPr>
  </w:style>
  <w:style w:type="paragraph" w:styleId="ListContinue4">
    <w:name w:val="List Continue 4"/>
    <w:basedOn w:val="List4"/>
    <w:rsid w:val="00EB413A"/>
    <w:pPr>
      <w:ind w:firstLine="0"/>
    </w:pPr>
  </w:style>
  <w:style w:type="paragraph" w:styleId="ListContinue5">
    <w:name w:val="List Continue 5"/>
    <w:basedOn w:val="List5"/>
    <w:rsid w:val="00EB413A"/>
    <w:pPr>
      <w:ind w:firstLine="0"/>
    </w:pPr>
  </w:style>
  <w:style w:type="paragraph" w:styleId="ListNumber3">
    <w:name w:val="List Number 3"/>
    <w:basedOn w:val="List3"/>
    <w:rsid w:val="00EB413A"/>
    <w:pPr>
      <w:numPr>
        <w:numId w:val="6"/>
      </w:numPr>
    </w:pPr>
  </w:style>
  <w:style w:type="paragraph" w:styleId="ListNumber4">
    <w:name w:val="List Number 4"/>
    <w:basedOn w:val="List4"/>
    <w:rsid w:val="00EB413A"/>
    <w:pPr>
      <w:numPr>
        <w:numId w:val="7"/>
      </w:numPr>
    </w:pPr>
  </w:style>
  <w:style w:type="paragraph" w:styleId="ListNumber5">
    <w:name w:val="List Number 5"/>
    <w:basedOn w:val="List5"/>
    <w:rsid w:val="00EB413A"/>
    <w:pPr>
      <w:numPr>
        <w:numId w:val="8"/>
      </w:numPr>
    </w:pPr>
  </w:style>
  <w:style w:type="paragraph" w:styleId="BlockText">
    <w:name w:val="Block Text"/>
    <w:basedOn w:val="Normal"/>
    <w:rsid w:val="00EB413A"/>
    <w:pPr>
      <w:spacing w:after="120"/>
      <w:ind w:left="1440" w:right="1440"/>
    </w:pPr>
  </w:style>
  <w:style w:type="character" w:customStyle="1" w:styleId="Subscript">
    <w:name w:val="Subscript"/>
    <w:rsid w:val="00EB413A"/>
    <w:rPr>
      <w:sz w:val="16"/>
      <w:vertAlign w:val="subscript"/>
    </w:rPr>
  </w:style>
  <w:style w:type="character" w:customStyle="1" w:styleId="Superscript">
    <w:name w:val="Superscript"/>
    <w:rsid w:val="00EB413A"/>
    <w:rPr>
      <w:sz w:val="16"/>
      <w:vertAlign w:val="superscript"/>
    </w:rPr>
  </w:style>
  <w:style w:type="character" w:customStyle="1" w:styleId="Symbols">
    <w:name w:val="Symbols"/>
    <w:rsid w:val="00EB413A"/>
    <w:rPr>
      <w:rFonts w:ascii="Symbol" w:hAnsi="Symbol"/>
    </w:rPr>
  </w:style>
  <w:style w:type="character" w:customStyle="1" w:styleId="MenuOptions">
    <w:name w:val="Menu Options"/>
    <w:rsid w:val="00EB413A"/>
    <w:rPr>
      <w:rFonts w:ascii="Arial Narrow" w:hAnsi="Arial Narrow"/>
      <w:smallCaps/>
    </w:rPr>
  </w:style>
  <w:style w:type="character" w:customStyle="1" w:styleId="Buttons">
    <w:name w:val="Buttons"/>
    <w:rsid w:val="00EB413A"/>
    <w:rPr>
      <w:b/>
    </w:rPr>
  </w:style>
  <w:style w:type="character" w:customStyle="1" w:styleId="Underlined">
    <w:name w:val="Underlined"/>
    <w:rsid w:val="00EB413A"/>
    <w:rPr>
      <w:u w:val="single"/>
    </w:rPr>
  </w:style>
  <w:style w:type="paragraph" w:customStyle="1" w:styleId="TableBodyTextRight">
    <w:name w:val="Table Body Text Right"/>
    <w:basedOn w:val="TableBodyText"/>
    <w:rsid w:val="00EB413A"/>
    <w:pPr>
      <w:widowControl w:val="0"/>
      <w:autoSpaceDE w:val="0"/>
      <w:autoSpaceDN w:val="0"/>
      <w:adjustRightInd w:val="0"/>
      <w:jc w:val="right"/>
    </w:pPr>
    <w:rPr>
      <w:rFonts w:cs="Arial"/>
      <w:szCs w:val="18"/>
    </w:rPr>
  </w:style>
  <w:style w:type="paragraph" w:customStyle="1" w:styleId="CopyrightText">
    <w:name w:val="Copyright Text"/>
    <w:basedOn w:val="BodyText"/>
    <w:rsid w:val="00EB413A"/>
    <w:rPr>
      <w:sz w:val="18"/>
    </w:rPr>
  </w:style>
  <w:style w:type="paragraph" w:customStyle="1" w:styleId="BodySmallRight">
    <w:name w:val="Body Small Right"/>
    <w:basedOn w:val="BodyTextRight"/>
    <w:rsid w:val="00EB413A"/>
    <w:rPr>
      <w:sz w:val="18"/>
      <w:szCs w:val="18"/>
    </w:rPr>
  </w:style>
  <w:style w:type="paragraph" w:customStyle="1" w:styleId="MarginEdition">
    <w:name w:val="Margin Edition"/>
    <w:basedOn w:val="MarginNote"/>
    <w:rsid w:val="00EB413A"/>
    <w:pPr>
      <w:spacing w:before="0" w:after="0"/>
    </w:pPr>
    <w:rPr>
      <w:rFonts w:ascii="Times New Roman" w:hAnsi="Times New Roman"/>
      <w:color w:val="999999"/>
    </w:rPr>
  </w:style>
  <w:style w:type="paragraph" w:customStyle="1" w:styleId="Spacer">
    <w:name w:val="Spacer"/>
    <w:basedOn w:val="Normal"/>
    <w:rsid w:val="00EB413A"/>
    <w:rPr>
      <w:sz w:val="2"/>
      <w:szCs w:val="2"/>
    </w:rPr>
  </w:style>
  <w:style w:type="character" w:customStyle="1" w:styleId="Small">
    <w:name w:val="Small"/>
    <w:rsid w:val="00EB413A"/>
    <w:rPr>
      <w:sz w:val="16"/>
    </w:rPr>
  </w:style>
  <w:style w:type="paragraph" w:customStyle="1" w:styleId="WideTable">
    <w:name w:val="Wide Table"/>
    <w:basedOn w:val="Normal"/>
    <w:rsid w:val="00EB413A"/>
    <w:pPr>
      <w:ind w:left="-1418"/>
    </w:pPr>
    <w:rPr>
      <w:sz w:val="2"/>
      <w:szCs w:val="2"/>
    </w:rPr>
  </w:style>
  <w:style w:type="character" w:styleId="PageNumber">
    <w:name w:val="page number"/>
    <w:rsid w:val="00EB413A"/>
  </w:style>
  <w:style w:type="paragraph" w:styleId="Quote">
    <w:name w:val="Quote"/>
    <w:basedOn w:val="Heading1"/>
    <w:link w:val="QuoteChar"/>
    <w:qFormat/>
    <w:rsid w:val="00EB413A"/>
    <w:rPr>
      <w:b w:val="0"/>
      <w:sz w:val="72"/>
      <w:szCs w:val="72"/>
      <w:lang w:val="en-NZ"/>
    </w:rPr>
  </w:style>
  <w:style w:type="character" w:customStyle="1" w:styleId="QuoteChar">
    <w:name w:val="Quote Char"/>
    <w:link w:val="Quote"/>
    <w:rsid w:val="00EB41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13A"/>
    <w:pPr>
      <w:pageBreakBefore/>
    </w:pPr>
  </w:style>
  <w:style w:type="paragraph" w:customStyle="1" w:styleId="Border">
    <w:name w:val="Border"/>
    <w:basedOn w:val="Normal"/>
    <w:qFormat/>
    <w:rsid w:val="00EB413A"/>
    <w:pPr>
      <w:pBdr>
        <w:top w:val="single" w:sz="18" w:space="1" w:color="auto"/>
      </w:pBdr>
    </w:pPr>
    <w:rPr>
      <w:rFonts w:ascii="Times New Roman" w:hAnsi="Times New Roman"/>
      <w:color w:val="FFFFFF"/>
      <w:sz w:val="2"/>
    </w:rPr>
  </w:style>
  <w:style w:type="character" w:styleId="IntenseEmphasis">
    <w:name w:val="Intense Emphasis"/>
    <w:uiPriority w:val="21"/>
    <w:qFormat/>
    <w:rsid w:val="00EB413A"/>
    <w:rPr>
      <w:b/>
      <w:bCs/>
      <w:i/>
      <w:iCs/>
      <w:color w:val="auto"/>
    </w:rPr>
  </w:style>
  <w:style w:type="paragraph" w:styleId="IntenseQuote">
    <w:name w:val="Intense Quote"/>
    <w:basedOn w:val="Normal"/>
    <w:next w:val="Normal"/>
    <w:link w:val="IntenseQuoteChar"/>
    <w:uiPriority w:val="30"/>
    <w:qFormat/>
    <w:rsid w:val="00EB413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B413A"/>
    <w:rPr>
      <w:rFonts w:ascii="Courier New" w:eastAsia="Times New Roman" w:hAnsi="Courier New" w:cs="Times New Roman"/>
      <w:b/>
      <w:bCs/>
      <w:i/>
      <w:iCs/>
      <w:szCs w:val="20"/>
      <w:lang w:val="en-US" w:eastAsia="en-US"/>
    </w:rPr>
  </w:style>
  <w:style w:type="character" w:styleId="SubtleReference">
    <w:name w:val="Subtle Reference"/>
    <w:uiPriority w:val="31"/>
    <w:qFormat/>
    <w:rsid w:val="00EB413A"/>
    <w:rPr>
      <w:smallCaps/>
      <w:color w:val="auto"/>
      <w:u w:val="single"/>
    </w:rPr>
  </w:style>
  <w:style w:type="character" w:styleId="IntenseReference">
    <w:name w:val="Intense Reference"/>
    <w:uiPriority w:val="32"/>
    <w:qFormat/>
    <w:rsid w:val="00EB413A"/>
    <w:rPr>
      <w:b/>
      <w:bCs/>
      <w:smallCaps/>
      <w:color w:val="auto"/>
      <w:spacing w:val="5"/>
      <w:u w:val="single"/>
    </w:rPr>
  </w:style>
  <w:style w:type="paragraph" w:customStyle="1" w:styleId="2ColumnHeading">
    <w:name w:val="2Column Heading"/>
    <w:basedOn w:val="BodyText"/>
    <w:qFormat/>
    <w:rsid w:val="00EB413A"/>
    <w:pPr>
      <w:spacing w:after="60"/>
      <w:ind w:left="-2268"/>
    </w:pPr>
    <w:rPr>
      <w:b/>
    </w:rPr>
  </w:style>
  <w:style w:type="paragraph" w:customStyle="1" w:styleId="Heading1TOC">
    <w:name w:val="Heading1 TOC"/>
    <w:basedOn w:val="Normal"/>
    <w:qFormat/>
    <w:rsid w:val="00EB413A"/>
    <w:pPr>
      <w:spacing w:before="240" w:after="120"/>
    </w:pPr>
    <w:rPr>
      <w:rFonts w:ascii="Times New Roman" w:hAnsi="Times New Roman"/>
      <w:b/>
      <w:sz w:val="32"/>
    </w:rPr>
  </w:style>
  <w:style w:type="paragraph" w:customStyle="1" w:styleId="Heading2TOC">
    <w:name w:val="Heading2 TOC"/>
    <w:basedOn w:val="Normal"/>
    <w:qFormat/>
    <w:rsid w:val="00EB413A"/>
    <w:pPr>
      <w:spacing w:before="240" w:after="60"/>
    </w:pPr>
    <w:rPr>
      <w:rFonts w:ascii="Times New Roman" w:hAnsi="Times New Roman"/>
      <w:b/>
      <w:sz w:val="28"/>
    </w:rPr>
  </w:style>
  <w:style w:type="character" w:customStyle="1" w:styleId="Underline">
    <w:name w:val="Underline"/>
    <w:qFormat/>
    <w:rsid w:val="00EB413A"/>
    <w:rPr>
      <w:u w:val="single"/>
    </w:rPr>
  </w:style>
  <w:style w:type="character" w:customStyle="1" w:styleId="BoldandItalics">
    <w:name w:val="Bold and Italics"/>
    <w:qFormat/>
    <w:rsid w:val="00EB413A"/>
    <w:rPr>
      <w:b/>
      <w:i/>
      <w:u w:val="none"/>
    </w:rPr>
  </w:style>
  <w:style w:type="paragraph" w:styleId="BalloonText">
    <w:name w:val="Balloon Text"/>
    <w:basedOn w:val="Normal"/>
    <w:link w:val="BalloonTextChar"/>
    <w:rsid w:val="00EB413A"/>
    <w:rPr>
      <w:rFonts w:ascii="Tahoma" w:hAnsi="Tahoma" w:cs="Tahoma"/>
      <w:sz w:val="16"/>
      <w:szCs w:val="16"/>
    </w:rPr>
  </w:style>
  <w:style w:type="character" w:customStyle="1" w:styleId="BalloonTextChar">
    <w:name w:val="Balloon Text Char"/>
    <w:link w:val="BalloonText"/>
    <w:rsid w:val="00EB41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413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B413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2859</Words>
  <Characters>18271</Characters>
  <Application>Microsoft Office Word</Application>
  <DocSecurity>0</DocSecurity>
  <Lines>743</Lines>
  <Paragraphs>327</Paragraphs>
  <ScaleCrop>false</ScaleCrop>
  <Company>Author-it Software Corporation Ltd.</Company>
  <LinksUpToDate>false</LinksUpToDate>
  <CharactersWithSpaces>20896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UETTDRRT28A Maintain overhead traction components and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2012-05-26T12:17:00Z</dcterms:created>
  <dcterms:modified xsi:type="dcterms:W3CDTF">2012-05-26T12:17:00Z</dcterms:modified>
</cp:coreProperties>
</file>