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04E" w:rsidP="00C1604E">
      <w:pPr>
        <w:pStyle w:val="Title"/>
      </w:pPr>
      <w:r>
        <w:fldChar w:fldCharType="begin"/>
      </w:r>
      <w:r>
        <w:instrText xml:space="preserve"> TITLE   \* MERGEFORMAT </w:instrText>
      </w:r>
      <w:r>
        <w:fldChar w:fldCharType="separate"/>
      </w:r>
      <w:r>
        <w:t>UETTDRRT27A Install overhead traction components and equipment</w:t>
      </w:r>
      <w:r>
        <w:fldChar w:fldCharType="end"/>
      </w:r>
    </w:p>
    <w:p w:rsidR="00C1604E" w:rsidP="00C1604E">
      <w:pPr>
        <w:pStyle w:val="Version"/>
        <w:sectPr w:rsidSect="004C6A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AB9" w:rsidP="004C6AB9">
      <w:pPr>
        <w:pStyle w:val="SuperHeading"/>
      </w:pPr>
      <w:r w:rsidRPr="004C6AB9">
        <w:t>UETTDRRT27A Install overhead traction components and equipment</w:t>
      </w:r>
    </w:p>
    <w:p w:rsidR="00000000" w:rsidRPr="004C6AB9" w:rsidP="004C6AB9">
      <w:pPr>
        <w:pStyle w:val="Heading1"/>
      </w:pPr>
      <w:bookmarkStart w:id="1" w:name="O_465320"/>
      <w:bookmarkEnd w:id="1"/>
      <w:r w:rsidRPr="004C6AB9">
        <w:t>Modification History</w:t>
      </w:r>
    </w:p>
    <w:p w:rsidR="00000000" w:rsidRPr="004C6AB9" w:rsidP="004C6AB9">
      <w:pPr>
        <w:pStyle w:val="BodyText"/>
      </w:pPr>
      <w:r w:rsidRPr="004C6AB9">
        <w:t>Not applicable.</w:t>
      </w:r>
    </w:p>
    <w:p w:rsidR="00000000" w:rsidRPr="004C6AB9" w:rsidP="004C6AB9">
      <w:pPr>
        <w:pStyle w:val="AllowPageBreak"/>
      </w:pPr>
    </w:p>
    <w:p w:rsidR="00000000" w:rsidRPr="004C6AB9" w:rsidP="004C6AB9">
      <w:pPr>
        <w:pStyle w:val="Heading1"/>
      </w:pPr>
      <w:bookmarkStart w:id="2" w:name="O_465318"/>
      <w:bookmarkEnd w:id="2"/>
      <w:r w:rsidRPr="004C6AB9">
        <w:t>Unit Descriptor</w:t>
      </w:r>
    </w:p>
    <w:tbl>
      <w:tblPr>
        <w:tblW w:w="0" w:type="auto"/>
        <w:tblLayout w:type="fixed"/>
        <w:tblCellMar>
          <w:left w:w="62" w:type="dxa"/>
          <w:right w:w="62" w:type="dxa"/>
        </w:tblCellMar>
        <w:tblLook w:val="0000"/>
      </w:tblPr>
      <w:tblGrid>
        <w:gridCol w:w="2700"/>
        <w:gridCol w:w="5760"/>
      </w:tblGrid>
      <w:tr w:rsidTr="00C16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1)</w:t>
            </w:r>
            <w:r w:rsidRPr="004C6AB9">
              <w:t xml:space="preserve"> </w:t>
            </w:r>
            <w:r w:rsidRPr="004C6AB9">
              <w:rPr>
                <w:rStyle w:val="SpecialBold"/>
              </w:rPr>
              <w:t>Scope:</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6AB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1.1) Descriptor</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This Competency Standard Unit covers the installation of the overhead traction electrical equipment and components as well as associated hardware including ancillary equipment. It includes the undertaking of safe working practices on or about the running l</w:t>
            </w:r>
            <w:r w:rsidRPr="004C6AB9">
              <w:t>ine/track. It also encompasses the isolation of systems and circuits for safe working according to work plans and the correct positioning of road signs, barriers and or warning devices and the procedure of issuing/accepting electrical permits. It also incl</w:t>
            </w:r>
            <w:r w:rsidRPr="004C6AB9">
              <w:t>udes the visual inspection and necessary checks to confirm that equipment, components and associated hardware have been correctly installed according to design and are in a safe condition to test prior to putting to service, the undertaking of pre-commissi</w:t>
            </w:r>
            <w:r w:rsidRPr="004C6AB9">
              <w:t>oning tests as required to ensure the integrity of the traction system prior to putting back into service and the updating of installation data and relevant quality assurance documentation.</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3" w:name="O_465307"/>
      <w:bookmarkEnd w:id="3"/>
      <w:r w:rsidRPr="004C6AB9">
        <w:t>Application of the Unit</w:t>
      </w:r>
    </w:p>
    <w:tbl>
      <w:tblPr>
        <w:tblW w:w="0" w:type="auto"/>
        <w:tblLayout w:type="fixed"/>
        <w:tblCellMar>
          <w:left w:w="62" w:type="dxa"/>
          <w:right w:w="62" w:type="dxa"/>
        </w:tblCellMar>
        <w:tblLook w:val="0000"/>
      </w:tblPr>
      <w:tblGrid>
        <w:gridCol w:w="2672"/>
        <w:gridCol w:w="5699"/>
      </w:tblGrid>
      <w:tr w:rsidTr="00C160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2)</w:t>
            </w:r>
          </w:p>
        </w:tc>
      </w:tr>
      <w:tr w:rsidTr="00C160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This Competency Standard Unit is intended to augment formally acquired competencies. It is suitable for employment-based programs under an approved contract of training.</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4" w:name="O_465314"/>
      <w:bookmarkEnd w:id="4"/>
      <w:r w:rsidRPr="004C6AB9">
        <w:t>Licensing/Regulatory Information</w:t>
      </w:r>
    </w:p>
    <w:tbl>
      <w:tblPr>
        <w:tblW w:w="0" w:type="auto"/>
        <w:tblLayout w:type="fixed"/>
        <w:tblCellMar>
          <w:left w:w="62" w:type="dxa"/>
          <w:right w:w="62" w:type="dxa"/>
        </w:tblCellMar>
        <w:tblLook w:val="0000"/>
      </w:tblPr>
      <w:tblGrid>
        <w:gridCol w:w="2700"/>
        <w:gridCol w:w="5760"/>
      </w:tblGrid>
      <w:tr w:rsidTr="00C16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 xml:space="preserve">3) </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The skills and knowledge described in this unit may require a licence/registration to practice in the work place subject to regulations for undertaking of electrical work. Practice in workplace and during training is also subject to regulations directly re</w:t>
            </w:r>
            <w:r w:rsidRPr="004C6AB9">
              <w:t>lated to Occupational Health and Safety, electricity/telecommunications/gas/water industry safety and compliance, industrial relations, environmental protection, anti discrimination and training. Commonwealth, State/Territory or Local Government legislatio</w:t>
            </w:r>
            <w:r w:rsidRPr="004C6AB9">
              <w:t>n and regulations may exist that limits the age of operating certain equipment.</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5" w:name="O_465315"/>
      <w:bookmarkEnd w:id="5"/>
      <w:r w:rsidRPr="004C6AB9">
        <w:t>Pre-Requisites</w:t>
      </w:r>
    </w:p>
    <w:tbl>
      <w:tblPr>
        <w:tblW w:w="0" w:type="auto"/>
        <w:tblLayout w:type="fixed"/>
        <w:tblCellMar>
          <w:left w:w="62" w:type="dxa"/>
          <w:right w:w="62" w:type="dxa"/>
        </w:tblCellMar>
        <w:tblLook w:val="0000"/>
      </w:tblPr>
      <w:tblGrid>
        <w:gridCol w:w="2700"/>
        <w:gridCol w:w="1800"/>
        <w:gridCol w:w="3960"/>
      </w:tblGrid>
      <w:tr w:rsidTr="00C16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 xml:space="preserve">4) </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4.1)</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Granting of competency in this unit shall be made only after competency in the following unit(s) has/have been confirmed.</w:t>
            </w:r>
          </w:p>
          <w:p w:rsidR="00000000" w:rsidRPr="004C6AB9" w:rsidP="004C6AB9">
            <w:pPr>
              <w:pStyle w:val="BodyText"/>
            </w:pPr>
            <w:r w:rsidRPr="004C6AB9">
              <w:t>Where pre-requisite pathways have been identified. All competencies in the Common Unit Group must be have been completed.</w:t>
            </w:r>
          </w:p>
          <w:p w:rsidR="00000000" w:rsidP="004C6AB9">
            <w:pPr>
              <w:pStyle w:val="BodyText"/>
              <w:rPr>
                <w:lang w:val="en-NZ"/>
              </w:rPr>
            </w:pPr>
            <w:r w:rsidRPr="004C6AB9">
              <w:t xml:space="preserve">Common Unit </w:t>
            </w:r>
            <w:r w:rsidRPr="004C6AB9">
              <w:t>Group</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Unit Code</w:t>
            </w:r>
            <w:r w:rsidRPr="004C6AB9">
              <w:tab/>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Unit Title</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Apply Occupational Health and Safety regulations, codes and practices in the workplace</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Fabricate, assemble and dismantle utilities industry components</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Solve problems in d.c. Circuits</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Fix and secure electrotechnology equipment</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 xml:space="preserve">Use drawings, diagrams, schedules, </w:t>
            </w:r>
            <w:r w:rsidRPr="004C6AB9">
              <w:t>standards, codes and specifications</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Solve problems in electromagnetic devices and related circuits</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Solve problems in low voltage a.c. Circuits</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 xml:space="preserve">Apply sustainable energy and environmental procedures </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 xml:space="preserve">Operate plant and equipment near live electrical conductors and apparatus </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Working safely near live electrical appa</w:t>
            </w:r>
            <w:r w:rsidRPr="004C6AB9">
              <w:t xml:space="preserve">ratus </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4C6AB9">
            <w:pPr>
              <w:pStyle w:val="BodyText"/>
              <w:rPr>
                <w:lang w:val="en-NZ"/>
              </w:rPr>
            </w:pPr>
            <w:r w:rsidRPr="004C6AB9">
              <w:t>Install and maintain poles, structures and associated hardware</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RPr="004C6AB9" w:rsidP="004C6AB9">
            <w:pPr>
              <w:pStyle w:val="BodyText"/>
            </w:pPr>
            <w:r w:rsidRPr="004C6AB9">
              <w:t xml:space="preserve">Install and maintain poles, structures, overhead conductors and cables </w:t>
            </w:r>
          </w:p>
        </w:tc>
      </w:tr>
    </w:tbl>
    <w:p w:rsidR="00000000" w:rsidRPr="004C6AB9" w:rsidP="004C6AB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1604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 xml:space="preserve">4.2) </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Participants are best equipped to achieve this unit if they have reading, writing and numeracy skills indicated by the following scales. Description of each scale is given in Volume 2, Part 3 “Literacy and Numeracy”.</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Reading</w:t>
            </w:r>
          </w:p>
        </w:tc>
        <w:tc>
          <w:tcPr>
            <w:tcW w:w="81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3</w:t>
            </w:r>
          </w:p>
        </w:tc>
        <w:tc>
          <w:tcPr>
            <w:tcW w:w="99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Writing</w:t>
            </w:r>
          </w:p>
        </w:tc>
        <w:tc>
          <w:tcPr>
            <w:tcW w:w="9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3</w:t>
            </w:r>
          </w:p>
        </w:tc>
        <w:tc>
          <w:tcPr>
            <w:tcW w:w="126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Numeracy</w:t>
            </w:r>
          </w:p>
        </w:tc>
        <w:tc>
          <w:tcPr>
            <w:tcW w:w="72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3</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6" w:name="O_465311"/>
      <w:bookmarkEnd w:id="6"/>
      <w:r w:rsidRPr="004C6AB9">
        <w:t>Employability Skills Information</w:t>
      </w:r>
    </w:p>
    <w:tbl>
      <w:tblPr>
        <w:tblW w:w="0" w:type="auto"/>
        <w:tblLayout w:type="fixed"/>
        <w:tblCellMar>
          <w:left w:w="62" w:type="dxa"/>
          <w:right w:w="62" w:type="dxa"/>
        </w:tblCellMar>
        <w:tblLook w:val="0000"/>
      </w:tblPr>
      <w:tblGrid>
        <w:gridCol w:w="2700"/>
        <w:gridCol w:w="5760"/>
      </w:tblGrid>
      <w:tr w:rsidTr="00C16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 xml:space="preserve">5) </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 xml:space="preserve">The required outcomes described in this unit of competency contain applicable facets of Employability Skills. The Employability Skills Summary </w:t>
            </w:r>
            <w:r w:rsidRPr="004C6AB9">
              <w:t>of the qualification in which this unit of competency is packaged will assist in identifying Employability Skill requirements.</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7" w:name="O_465310"/>
      <w:bookmarkEnd w:id="7"/>
      <w:r w:rsidRPr="004C6AB9">
        <w:t>Elements and Performance Criteria Pre-Content</w:t>
      </w:r>
    </w:p>
    <w:tbl>
      <w:tblPr>
        <w:tblW w:w="0" w:type="auto"/>
        <w:tblLayout w:type="fixed"/>
        <w:tblCellMar>
          <w:left w:w="62" w:type="dxa"/>
          <w:right w:w="62" w:type="dxa"/>
        </w:tblCellMar>
        <w:tblLook w:val="0000"/>
      </w:tblPr>
      <w:tblGrid>
        <w:gridCol w:w="2700"/>
        <w:gridCol w:w="5760"/>
      </w:tblGrid>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6)</w:t>
            </w:r>
            <w:r w:rsidRPr="004C6AB9">
              <w:t xml:space="preserve"> Elements describe the essential outcomes of a competency stan</w:t>
            </w:r>
            <w:r w:rsidRPr="004C6AB9">
              <w:t>dard unit</w:t>
            </w:r>
          </w:p>
        </w:tc>
        <w:tc>
          <w:tcPr>
            <w:tcW w:w="576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Performance Criteria describe the required performance needed to demonstrate achievement of the element. Assessment of performance is to be consistent with the Evidence Guide.</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8" w:name="O_465309"/>
      <w:bookmarkEnd w:id="8"/>
      <w:r w:rsidRPr="004C6AB9">
        <w:t>Elements and Performance Criteria</w:t>
      </w:r>
    </w:p>
    <w:tbl>
      <w:tblPr>
        <w:tblW w:w="0" w:type="auto"/>
        <w:tblLayout w:type="fixed"/>
        <w:tblCellMar>
          <w:left w:w="62" w:type="dxa"/>
          <w:right w:w="62" w:type="dxa"/>
        </w:tblCellMar>
        <w:tblLook w:val="0000"/>
      </w:tblPr>
      <w:tblGrid>
        <w:gridCol w:w="409"/>
        <w:gridCol w:w="2291"/>
        <w:gridCol w:w="851"/>
        <w:gridCol w:w="4909"/>
      </w:tblGrid>
      <w:tr w:rsidTr="00C160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PERFORMANCE CRITERIA</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w:t>
            </w:r>
          </w:p>
        </w:tc>
        <w:tc>
          <w:tcPr>
            <w:tcW w:w="2291" w:type="dxa"/>
            <w:vMerge w:val="restart"/>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Prepare for the installation of overhead traction equipment/components</w:t>
            </w: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1.1</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 xml:space="preserve">Works schedule(s), including drawings, plans, requirements, established procedures, and material lists, are received, analysed and confirmed, if necessary, </w:t>
            </w:r>
            <w:r w:rsidRPr="004C6AB9">
              <w:t>by site inspection.</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1.2</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Relevant requirements and established procedures for the work are communicated to all personnel and identified for all work sites.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1.3</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OHS policies and procedures related to requirements and established procedures for the installation of overhead traction equipment/components are obtained and confirmed for the purposes of the work to be performed and communicated.</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1.4</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Work is prioritised and sequenced following consultation with others for completion within acceptable timeframes and in accordance with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1.5</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Hazards are identified; OHS risks assessed and control measures are prioritised, implemen</w:t>
            </w:r>
            <w:r w:rsidRPr="004C6AB9">
              <w:t>ted and monitored including emergency exits kept clear according to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1.6</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Relevant work permits are obtained to access and perform work according to requirements and/or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1.7</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 xml:space="preserve">Resources including personnel, </w:t>
            </w:r>
            <w:r w:rsidRPr="004C6AB9">
              <w:t xml:space="preserve">equipment, tools and personal protective equipment required for the job are obtained and confirmed in working </w:t>
            </w:r>
            <w:r w:rsidRPr="004C6AB9">
              <w:t>order.</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1.8</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Relevant personnel at worksite are confirmed current in CPR, First Aid, and other rescue procedures according to requirements.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1.9</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Liaison and communication issues with other authorised personnel, authorities, clients and land owners are resolved to carry out work where necessary.</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1.10</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 xml:space="preserve">Site is prepared according to the work schedule and to minimise risk and damage to property, </w:t>
            </w:r>
            <w:r w:rsidRPr="004C6AB9">
              <w:t>commerce, and individuals in accordance with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1.11</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Rail/road signs, barriers and warning devices are positioned in accordance with requirements.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1.12</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Environmental constraints applicable to work are identified and control measur</w:t>
            </w:r>
            <w:r w:rsidRPr="004C6AB9">
              <w:t>es applied.</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w:t>
            </w:r>
          </w:p>
        </w:tc>
        <w:tc>
          <w:tcPr>
            <w:tcW w:w="229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Carry out the installation of overhead traction equipment/components</w:t>
            </w: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2.1</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 xml:space="preserve">OHS and sustainable energy principles and practices to reduce the incidents of accidents and minimise waste are monitored and followed in accordance </w:t>
            </w:r>
            <w:r w:rsidRPr="004C6AB9">
              <w:t>with requirements and/or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2.2</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Lifting, climbing, working aloft, and use of power tools/equipment, techniques and practices are safely followed and, currency according to requirements confirmed.</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2.3</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Systems and circuits are isol</w:t>
            </w:r>
            <w:r w:rsidRPr="004C6AB9">
              <w:t>ated as required, proved safe to work on in accordance with the requirements/permits and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2.4</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Essential knowledge and associated skills are applied in the safe installation of overhead traction equipment/components to ensure compl</w:t>
            </w:r>
            <w:r w:rsidRPr="004C6AB9">
              <w:t>etion in an agreed timeframe and, to quality standards with a minimum of waste according to requirements.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2.5</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 xml:space="preserve">Electrical components/equipment and associated hardware are positioned, secured and terminated/connected in accordance with requirements and </w:t>
            </w:r>
            <w:r w:rsidRPr="004C6AB9">
              <w:t>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2.6</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Hazard warnings and safety signs are recognised and hazards and assessed OHS risks are reported to the immediate authorised persons for directions according to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2.7</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Unplanned events during the instal</w:t>
            </w:r>
            <w:r w:rsidRPr="004C6AB9">
              <w:t>lation of overhead traction equipment/components are undertaken within the scope of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2.8</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Known solutions to a variety of problems are applied using acquired essential knowledge and associated skills.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2.9</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Ongoing checks of quality of the work are undertaken in accordance with instructions and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3</w:t>
            </w:r>
          </w:p>
        </w:tc>
        <w:tc>
          <w:tcPr>
            <w:tcW w:w="229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Complete the installation of overhead traction equipment/components</w:t>
            </w: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3.1</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Work undertaken is checked against design drawings and works schedul</w:t>
            </w:r>
            <w:r w:rsidRPr="004C6AB9">
              <w:t>e for conformance with requirements and anomalies reported in accordance with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3.2</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Work site is rehabilitated, cleaned up and made safe in accordance with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3.3</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Tools, equipment and any surplus resources a</w:t>
            </w:r>
            <w:r w:rsidRPr="004C6AB9">
              <w:t>nd materials are, where appropriate, cleaned, checked and returned to storage in accordance with established procedures.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3.4</w:t>
            </w:r>
          </w:p>
        </w:tc>
        <w:tc>
          <w:tcPr>
            <w:tcW w:w="4909"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Relevant work permit(s) are signed off and, overhead traction equipment/components are commissioned in accordance with requireme</w:t>
            </w:r>
            <w:r w:rsidRPr="004C6AB9">
              <w:t>nts.</w:t>
            </w:r>
          </w:p>
        </w:tc>
      </w:tr>
      <w:tr w:rsidTr="00C1604E">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3.5</w:t>
            </w:r>
          </w:p>
        </w:tc>
        <w:tc>
          <w:tcPr>
            <w:tcW w:w="4909"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Works completion records, reports, as installed /modified drawing and/or documentation and information are finalised and processed and appropriate personnel notified.</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9" w:name="O_465317"/>
      <w:bookmarkEnd w:id="9"/>
      <w:r w:rsidRPr="004C6AB9">
        <w:t>Required Skills and Knowledge</w:t>
      </w:r>
    </w:p>
    <w:tbl>
      <w:tblPr>
        <w:tblW w:w="0" w:type="auto"/>
        <w:tblLayout w:type="fixed"/>
        <w:tblCellMar>
          <w:left w:w="62" w:type="dxa"/>
          <w:right w:w="62" w:type="dxa"/>
        </w:tblCellMar>
        <w:tblLook w:val="0000"/>
      </w:tblPr>
      <w:tblGrid>
        <w:gridCol w:w="8460"/>
      </w:tblGrid>
      <w:tr w:rsidTr="00C160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REQUIRED SKILLS AND KNOWLEDGE</w:t>
            </w:r>
          </w:p>
        </w:tc>
      </w:tr>
      <w:tr w:rsidTr="00C1604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8)</w:t>
            </w:r>
            <w:r w:rsidRPr="004C6AB9">
              <w:t xml:space="preserve"> Essential Knowledge and Associated Skills (EKAS): This describes the essential skills and knowledge and their level, required for this unit.</w:t>
            </w:r>
          </w:p>
          <w:p w:rsidR="00000000" w:rsidRPr="004C6AB9" w:rsidP="004C6AB9">
            <w:pPr>
              <w:pStyle w:val="BodyText"/>
            </w:pPr>
            <w:r w:rsidRPr="004C6AB9">
              <w:t xml:space="preserve">Evidence shall show that knowledge of installing overhead traction equipment and </w:t>
            </w:r>
            <w:r w:rsidRPr="004C6AB9">
              <w:t>components has been acquired.</w:t>
            </w:r>
          </w:p>
          <w:p w:rsidR="00000000" w:rsidRPr="004C6AB9" w:rsidP="004C6AB9">
            <w:pPr>
              <w:pStyle w:val="BodyText"/>
            </w:pPr>
            <w:r w:rsidRPr="004C6AB9">
              <w:t>All knowledge and skills detailed in this unit should be contextualised to current industry practices and technologies.</w:t>
            </w:r>
          </w:p>
          <w:p w:rsidR="00000000" w:rsidRPr="004C6AB9" w:rsidP="004C6AB9">
            <w:pPr>
              <w:pStyle w:val="BodyText"/>
            </w:pPr>
            <w:r w:rsidRPr="004C6AB9">
              <w:t>KS01-TRT27A</w:t>
            </w:r>
            <w:r w:rsidRPr="004C6AB9">
              <w:tab/>
              <w:t>Overhead traction equipment and components</w:t>
            </w:r>
          </w:p>
          <w:p w:rsidR="00000000" w:rsidRPr="004C6AB9" w:rsidP="004C6AB9">
            <w:pPr>
              <w:pStyle w:val="BodyText"/>
            </w:pPr>
            <w:r w:rsidRPr="004C6AB9">
              <w:t>Evidence shall show an understanding of the install</w:t>
            </w:r>
            <w:r w:rsidRPr="004C6AB9">
              <w:t>ation of overhead traction equipment and components indicated by the following aspects:</w:t>
            </w:r>
          </w:p>
          <w:p w:rsidR="00000000" w:rsidRPr="004C6AB9" w:rsidP="004C6AB9">
            <w:pPr>
              <w:pStyle w:val="BodyText"/>
            </w:pPr>
            <w:r w:rsidRPr="004C6AB9">
              <w:t>T1</w:t>
            </w:r>
            <w:r w:rsidRPr="004C6AB9">
              <w:tab/>
              <w:t>Overhead traction equipment encompassing:</w:t>
            </w:r>
          </w:p>
          <w:p w:rsidR="00000000" w:rsidRPr="004C6AB9" w:rsidP="004C6AB9">
            <w:pPr>
              <w:pStyle w:val="ListBullet"/>
            </w:pPr>
            <w:r w:rsidRPr="004C6AB9">
              <w:t>Types</w:t>
            </w:r>
          </w:p>
          <w:p w:rsidR="00000000" w:rsidRPr="004C6AB9" w:rsidP="004C6AB9">
            <w:pPr>
              <w:pStyle w:val="ListBullet"/>
            </w:pPr>
            <w:r w:rsidRPr="004C6AB9">
              <w:t>Purpose</w:t>
            </w:r>
          </w:p>
          <w:p w:rsidR="00000000" w:rsidRPr="004C6AB9" w:rsidP="004C6AB9">
            <w:pPr>
              <w:pStyle w:val="ListBullet"/>
            </w:pPr>
            <w:r w:rsidRPr="004C6AB9">
              <w:t>(Note: Examples include switches/isolators, fuse switches, links, section insulators, and fuses)</w:t>
            </w:r>
          </w:p>
          <w:p w:rsidR="00000000" w:rsidRPr="004C6AB9" w:rsidP="004C6AB9">
            <w:pPr>
              <w:pStyle w:val="BodyText"/>
            </w:pPr>
            <w:r w:rsidRPr="004C6AB9">
              <w:t>T2</w:t>
            </w:r>
            <w:r w:rsidRPr="004C6AB9">
              <w:tab/>
            </w:r>
            <w:r w:rsidRPr="004C6AB9">
              <w:t>Types of overhead components encompassing:</w:t>
            </w:r>
          </w:p>
          <w:p w:rsidR="00000000" w:rsidRPr="004C6AB9" w:rsidP="004C6AB9">
            <w:pPr>
              <w:pStyle w:val="ListBullet"/>
            </w:pPr>
            <w:r w:rsidRPr="004C6AB9">
              <w:t>Types</w:t>
            </w:r>
          </w:p>
          <w:p w:rsidR="00000000" w:rsidRPr="004C6AB9" w:rsidP="004C6AB9">
            <w:pPr>
              <w:pStyle w:val="ListBullet"/>
            </w:pPr>
            <w:r w:rsidRPr="004C6AB9">
              <w:t>Purpose</w:t>
            </w:r>
          </w:p>
          <w:p w:rsidR="00000000" w:rsidRPr="004C6AB9" w:rsidP="004C6AB9">
            <w:pPr>
              <w:pStyle w:val="ListBullet"/>
            </w:pPr>
            <w:r w:rsidRPr="004C6AB9">
              <w:t>(Note: Examples include cantilever hardware, droppers, bay components, portal hardware, head span hardware, section insulators, neutral sections, registration fittings, steady span, tension regulato</w:t>
            </w:r>
            <w:r w:rsidRPr="004C6AB9">
              <w:t>rs and cross spans)</w:t>
            </w:r>
          </w:p>
          <w:p w:rsidR="00000000" w:rsidRPr="004C6AB9" w:rsidP="004C6AB9">
            <w:pPr>
              <w:pStyle w:val="BodyText"/>
            </w:pPr>
            <w:r w:rsidRPr="004C6AB9">
              <w:t>T3</w:t>
            </w:r>
            <w:r w:rsidRPr="004C6AB9">
              <w:tab/>
              <w:t>Types of conductors used for overheads wiring such as hard-drawn, CAD, and tin-bearing copper, aluminium, steel, and other alloyed conductors</w:t>
            </w:r>
          </w:p>
          <w:p w:rsidR="00000000" w:rsidRPr="004C6AB9" w:rsidP="004C6AB9">
            <w:pPr>
              <w:pStyle w:val="BodyText"/>
            </w:pPr>
            <w:r w:rsidRPr="004C6AB9">
              <w:t>T4</w:t>
            </w:r>
            <w:r w:rsidRPr="004C6AB9">
              <w:tab/>
              <w:t>Types of traction wire support structures that may consist of portals, cantilevers, drop</w:t>
            </w:r>
            <w:r w:rsidRPr="004C6AB9">
              <w:t xml:space="preserve"> pieces, head spans, cross spans and pull-offs</w:t>
            </w:r>
          </w:p>
          <w:p w:rsidR="00000000" w:rsidRPr="004C6AB9" w:rsidP="004C6AB9">
            <w:pPr>
              <w:pStyle w:val="BodyText"/>
            </w:pPr>
            <w:r w:rsidRPr="004C6AB9">
              <w:t>T5</w:t>
            </w:r>
            <w:r w:rsidRPr="004C6AB9">
              <w:tab/>
              <w:t>Ancillary equipment</w:t>
            </w:r>
          </w:p>
          <w:p w:rsidR="00000000" w:rsidRPr="004C6AB9" w:rsidP="004C6AB9">
            <w:pPr>
              <w:pStyle w:val="ListBullet"/>
            </w:pPr>
            <w:r w:rsidRPr="004C6AB9">
              <w:t>Types</w:t>
            </w:r>
          </w:p>
          <w:p w:rsidR="00000000" w:rsidRPr="004C6AB9" w:rsidP="004C6AB9">
            <w:pPr>
              <w:pStyle w:val="ListBullet"/>
            </w:pPr>
            <w:r w:rsidRPr="004C6AB9">
              <w:t>Purpose</w:t>
            </w:r>
          </w:p>
          <w:p w:rsidR="00000000" w:rsidRPr="004C6AB9" w:rsidP="004C6AB9">
            <w:pPr>
              <w:pStyle w:val="ListBullet"/>
            </w:pPr>
            <w:r w:rsidRPr="004C6AB9">
              <w:t>(Note: Examples include surge arresters, booster and auxiliary transformers)</w:t>
            </w:r>
          </w:p>
          <w:p w:rsidR="00000000" w:rsidRPr="004C6AB9" w:rsidP="004C6AB9">
            <w:pPr>
              <w:pStyle w:val="BodyText"/>
            </w:pPr>
            <w:r w:rsidRPr="004C6AB9">
              <w:t>T6</w:t>
            </w:r>
            <w:r w:rsidRPr="004C6AB9">
              <w:tab/>
              <w:t>Methods for installing conductors that may consist the use of:</w:t>
            </w:r>
          </w:p>
          <w:p w:rsidR="00000000" w:rsidRPr="004C6AB9" w:rsidP="004C6AB9">
            <w:pPr>
              <w:pStyle w:val="ListBullet"/>
            </w:pPr>
            <w:r w:rsidRPr="004C6AB9">
              <w:t>Preformed fittings</w:t>
            </w:r>
          </w:p>
          <w:p w:rsidR="00000000" w:rsidRPr="004C6AB9" w:rsidP="004C6AB9">
            <w:pPr>
              <w:pStyle w:val="ListBullet"/>
            </w:pPr>
            <w:r w:rsidRPr="004C6AB9">
              <w:t>Compress</w:t>
            </w:r>
            <w:r w:rsidRPr="004C6AB9">
              <w:t>ion fittings</w:t>
            </w:r>
          </w:p>
          <w:p w:rsidR="00000000" w:rsidRPr="004C6AB9" w:rsidP="004C6AB9">
            <w:pPr>
              <w:pStyle w:val="ListBullet"/>
            </w:pPr>
            <w:r w:rsidRPr="004C6AB9">
              <w:t>Wedged fittings</w:t>
            </w:r>
          </w:p>
          <w:p w:rsidR="00000000" w:rsidRPr="004C6AB9" w:rsidP="004C6AB9">
            <w:pPr>
              <w:pStyle w:val="ListBullet"/>
            </w:pPr>
            <w:r w:rsidRPr="004C6AB9">
              <w:t>Bolted splices</w:t>
            </w:r>
          </w:p>
          <w:p w:rsidR="00000000" w:rsidRPr="004C6AB9" w:rsidP="004C6AB9">
            <w:pPr>
              <w:pStyle w:val="ListBullet"/>
            </w:pPr>
            <w:r w:rsidRPr="004C6AB9">
              <w:t>Lugs</w:t>
            </w:r>
          </w:p>
          <w:p w:rsidR="00000000" w:rsidRPr="004C6AB9" w:rsidP="004C6AB9">
            <w:pPr>
              <w:pStyle w:val="ListBullet"/>
            </w:pPr>
            <w:r w:rsidRPr="004C6AB9">
              <w:t>Bolted clamps</w:t>
            </w:r>
          </w:p>
          <w:p w:rsidR="00000000" w:rsidRPr="004C6AB9" w:rsidP="004C6AB9">
            <w:pPr>
              <w:pStyle w:val="BodyText"/>
            </w:pPr>
            <w:r w:rsidRPr="004C6AB9">
              <w:t>T7</w:t>
            </w:r>
            <w:r w:rsidRPr="004C6AB9">
              <w:tab/>
              <w:t>Methods for installing components such as:</w:t>
            </w:r>
          </w:p>
          <w:p w:rsidR="00000000" w:rsidRPr="004C6AB9" w:rsidP="004C6AB9">
            <w:pPr>
              <w:pStyle w:val="ListBullet"/>
            </w:pPr>
            <w:r w:rsidRPr="004C6AB9">
              <w:t>Feeders</w:t>
            </w:r>
          </w:p>
          <w:p w:rsidR="00000000" w:rsidRPr="004C6AB9" w:rsidP="004C6AB9">
            <w:pPr>
              <w:pStyle w:val="ListBullet"/>
            </w:pPr>
            <w:r w:rsidRPr="004C6AB9">
              <w:t>Droppers</w:t>
            </w:r>
          </w:p>
          <w:p w:rsidR="00000000" w:rsidRPr="004C6AB9" w:rsidP="004C6AB9">
            <w:pPr>
              <w:pStyle w:val="ListBullet"/>
            </w:pPr>
            <w:r w:rsidRPr="004C6AB9">
              <w:t>Dissimilar conductors</w:t>
            </w:r>
          </w:p>
          <w:p w:rsidR="00000000" w:rsidRPr="004C6AB9" w:rsidP="004C6AB9">
            <w:pPr>
              <w:pStyle w:val="ListBullet"/>
            </w:pPr>
            <w:r w:rsidRPr="004C6AB9">
              <w:t>Jumpers</w:t>
            </w:r>
          </w:p>
          <w:p w:rsidR="00000000" w:rsidRPr="004C6AB9" w:rsidP="004C6AB9">
            <w:pPr>
              <w:pStyle w:val="ListBullet"/>
            </w:pPr>
            <w:r w:rsidRPr="004C6AB9">
              <w:t>Surge arresters</w:t>
            </w:r>
          </w:p>
          <w:p w:rsidR="00000000" w:rsidRPr="004C6AB9" w:rsidP="004C6AB9">
            <w:pPr>
              <w:pStyle w:val="BodyText"/>
            </w:pPr>
            <w:r w:rsidRPr="004C6AB9">
              <w:t>T8</w:t>
            </w:r>
            <w:r w:rsidRPr="004C6AB9">
              <w:tab/>
              <w:t>Use of plant and equipment for installation work, such as:</w:t>
            </w:r>
          </w:p>
          <w:p w:rsidR="00000000" w:rsidRPr="004C6AB9" w:rsidP="004C6AB9">
            <w:pPr>
              <w:pStyle w:val="ListBullet"/>
            </w:pPr>
            <w:r w:rsidRPr="004C6AB9">
              <w:t>Elevating work platforms</w:t>
            </w:r>
          </w:p>
          <w:p w:rsidR="00000000" w:rsidRPr="004C6AB9" w:rsidP="004C6AB9">
            <w:pPr>
              <w:pStyle w:val="ListBullet"/>
            </w:pPr>
            <w:r w:rsidRPr="004C6AB9">
              <w:t>Ladders</w:t>
            </w:r>
          </w:p>
          <w:p w:rsidR="00000000" w:rsidRPr="004C6AB9" w:rsidP="004C6AB9">
            <w:pPr>
              <w:pStyle w:val="ListBullet"/>
            </w:pPr>
            <w:r w:rsidRPr="004C6AB9">
              <w:t>Works trains</w:t>
            </w:r>
          </w:p>
          <w:p w:rsidR="00000000" w:rsidRPr="004C6AB9" w:rsidP="004C6AB9">
            <w:pPr>
              <w:pStyle w:val="ListBullet"/>
            </w:pPr>
            <w:r w:rsidRPr="004C6AB9">
              <w:t>Rail-mounted overhead wiring equipment/vehicles</w:t>
            </w:r>
          </w:p>
          <w:p w:rsidR="00000000" w:rsidRPr="004C6AB9" w:rsidP="004C6AB9">
            <w:pPr>
              <w:pStyle w:val="ListBullet"/>
            </w:pPr>
            <w:r w:rsidRPr="004C6AB9">
              <w:t>Road/rail height access machinery/vehicles</w:t>
            </w:r>
          </w:p>
          <w:p w:rsidR="00000000" w:rsidRPr="004C6AB9" w:rsidP="004C6AB9">
            <w:pPr>
              <w:pStyle w:val="ListBullet"/>
            </w:pPr>
            <w:r w:rsidRPr="004C6AB9">
              <w:t>Voltage detectors</w:t>
            </w:r>
          </w:p>
          <w:p w:rsidR="00000000" w:rsidRPr="004C6AB9" w:rsidP="004C6AB9">
            <w:pPr>
              <w:pStyle w:val="ListBullet"/>
            </w:pPr>
            <w:r w:rsidRPr="004C6AB9">
              <w:t>Micrometer/gauges</w:t>
            </w:r>
          </w:p>
          <w:p w:rsidR="00000000" w:rsidRPr="004C6AB9" w:rsidP="004C6AB9">
            <w:pPr>
              <w:pStyle w:val="ListBullet"/>
            </w:pPr>
            <w:r w:rsidRPr="004C6AB9">
              <w:t>Tension wrenches</w:t>
            </w:r>
          </w:p>
          <w:p w:rsidR="00000000" w:rsidRPr="004C6AB9" w:rsidP="004C6AB9">
            <w:pPr>
              <w:pStyle w:val="ListBullet"/>
            </w:pPr>
            <w:r w:rsidRPr="004C6AB9">
              <w:t>Dynamometers</w:t>
            </w:r>
          </w:p>
          <w:p w:rsidR="00000000" w:rsidRPr="004C6AB9" w:rsidP="004C6AB9">
            <w:pPr>
              <w:pStyle w:val="ListBullet"/>
            </w:pPr>
            <w:r w:rsidRPr="004C6AB9">
              <w:t>Other specialised tools</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10" w:name="O_465312"/>
      <w:bookmarkEnd w:id="10"/>
      <w:r w:rsidRPr="004C6AB9">
        <w:t>Evidence Guide</w:t>
      </w:r>
    </w:p>
    <w:tbl>
      <w:tblPr>
        <w:tblW w:w="0" w:type="auto"/>
        <w:tblLayout w:type="fixed"/>
        <w:tblCellMar>
          <w:left w:w="62" w:type="dxa"/>
          <w:right w:w="62" w:type="dxa"/>
        </w:tblCellMar>
        <w:tblLook w:val="0000"/>
      </w:tblPr>
      <w:tblGrid>
        <w:gridCol w:w="8460"/>
      </w:tblGrid>
      <w:tr w:rsidTr="00C160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EVIDENCE GUIDE</w:t>
            </w:r>
          </w:p>
        </w:tc>
      </w:tr>
      <w:tr w:rsidTr="00C160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9)</w:t>
            </w:r>
            <w:r w:rsidRPr="004C6AB9">
              <w:t xml:space="preserve"> This provides essential advice for assessment of the competency standard unit and must be read in conjunction with the Performance Criteria and the range statement of the competency standard unit and the Training Package A</w:t>
            </w:r>
            <w:r w:rsidRPr="004C6AB9">
              <w:t>ssessment Guidelines.</w:t>
            </w:r>
          </w:p>
          <w:p w:rsidR="00000000" w:rsidRPr="004C6AB9" w:rsidP="004C6AB9">
            <w:pPr>
              <w:pStyle w:val="BodyText"/>
            </w:pPr>
            <w:r w:rsidRPr="004C6AB9">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4C6AB9" w:rsidP="004C6AB9">
      <w:pPr>
        <w:pStyle w:val="BodyText"/>
      </w:pPr>
    </w:p>
    <w:tbl>
      <w:tblPr>
        <w:tblW w:w="0" w:type="auto"/>
        <w:tblLayout w:type="fixed"/>
        <w:tblCellMar>
          <w:left w:w="62" w:type="dxa"/>
          <w:right w:w="62" w:type="dxa"/>
        </w:tblCellMar>
        <w:tblLook w:val="0000"/>
      </w:tblPr>
      <w:tblGrid>
        <w:gridCol w:w="1890"/>
        <w:gridCol w:w="6570"/>
      </w:tblGrid>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9.1)</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 xml:space="preserve">Longitudinal competency development approaches to assessment, such as Profiling, require data to be reliably gathered in a form that can be </w:t>
            </w:r>
            <w:r w:rsidRPr="004C6AB9">
              <w:t>consistently interpreted over time. This approach is best utilised in Apprenticeship programs and reduces assessment intervention. It is the Industry’s preferred model for apprenticeships. However, where summative (or final) assessment is used it is to inc</w:t>
            </w:r>
            <w:r w:rsidRPr="004C6AB9">
              <w:t>lude the application of the competency in the normal work environment or, at a minimum, the application of the competency in a realistically simulated work environment. It is recognised that, in some circumstances, assessment in part or full can occur outs</w:t>
            </w:r>
            <w:r w:rsidRPr="004C6AB9">
              <w:t>ide the workplace. However, it must be in accord with Industry and, Regulatory policy in this regard.</w:t>
            </w:r>
          </w:p>
          <w:p w:rsidR="00000000" w:rsidRPr="004C6AB9" w:rsidP="004C6AB9">
            <w:pPr>
              <w:pStyle w:val="BodyText"/>
            </w:pPr>
            <w:r w:rsidRPr="004C6AB9">
              <w:t>Methods chosen for a particular assessment will be influenced by various factors. These include the extent of the assessment, the most effective locations</w:t>
            </w:r>
            <w:r w:rsidRPr="004C6AB9">
              <w:t xml:space="preserve"> for the assessment activities to take place, access to physical resources, additional safety measures that may be required and the critical nature of the competencies being assessed.</w:t>
            </w:r>
          </w:p>
          <w:p w:rsidR="00000000" w:rsidRPr="004C6AB9" w:rsidP="004C6AB9">
            <w:pPr>
              <w:pStyle w:val="BodyText"/>
            </w:pPr>
            <w:r w:rsidRPr="004C6AB9">
              <w:t>The critical safety nature of working with electricity, electrical equip</w:t>
            </w:r>
            <w:r w:rsidRPr="004C6AB9">
              <w:t>ment, gas or any other hazardous substance/material carries risk in deeming a person competent. Hence, sources of evidence need to be ‘rich’ in nature so as to minimise error in judgment.</w:t>
            </w:r>
          </w:p>
          <w:p w:rsidR="00000000" w:rsidRPr="004C6AB9" w:rsidP="004C6AB9">
            <w:pPr>
              <w:pStyle w:val="BodyText"/>
            </w:pPr>
            <w:r w:rsidRPr="004C6AB9">
              <w:t>Activities associated with normal every day work have a bearing on t</w:t>
            </w:r>
            <w:r w:rsidRPr="004C6AB9">
              <w:t>he decision as to how much and how detailed the data gathered will contribute to its ‘richness’. Some skills are more critical to safety and operational requirements while the same skills may be more or less frequently practiced. These points are raised fo</w:t>
            </w:r>
            <w:r w:rsidRPr="004C6AB9">
              <w:t>r the assessors to consider when choosing an assessment method and developing assessment instruments. Sample assessment instruments are included for Assessors in the Assessment Guidelines of this Training Package.</w:t>
            </w:r>
          </w:p>
        </w:tc>
      </w:tr>
    </w:tbl>
    <w:p w:rsidR="00000000" w:rsidRPr="004C6AB9" w:rsidP="004C6AB9">
      <w:pPr>
        <w:pStyle w:val="BodyText"/>
      </w:pPr>
    </w:p>
    <w:tbl>
      <w:tblPr>
        <w:tblW w:w="0" w:type="auto"/>
        <w:tblLayout w:type="fixed"/>
        <w:tblCellMar>
          <w:left w:w="62" w:type="dxa"/>
          <w:right w:w="62" w:type="dxa"/>
        </w:tblCellMar>
        <w:tblLook w:val="0000"/>
      </w:tblPr>
      <w:tblGrid>
        <w:gridCol w:w="1890"/>
        <w:gridCol w:w="771"/>
        <w:gridCol w:w="1209"/>
        <w:gridCol w:w="2160"/>
        <w:gridCol w:w="2430"/>
      </w:tblGrid>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Critical aspects of evidence required to</w:t>
            </w:r>
            <w:r w:rsidRPr="004C6AB9">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9.2)</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Before the critical aspects of evidence are considered all prerequisites shall be met.</w:t>
            </w:r>
          </w:p>
          <w:p w:rsidR="00000000" w:rsidRPr="004C6AB9" w:rsidP="004C6AB9">
            <w:pPr>
              <w:pStyle w:val="BodyText"/>
            </w:pPr>
            <w:r w:rsidRPr="004C6AB9">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4C6AB9" w:rsidP="004C6AB9">
            <w:pPr>
              <w:pStyle w:val="ListBullet"/>
            </w:pPr>
            <w:r w:rsidRPr="004C6AB9">
              <w:t>A</w:t>
            </w:r>
            <w:r w:rsidRPr="004C6AB9">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4C6AB9" w:rsidP="004C6AB9">
            <w:pPr>
              <w:pStyle w:val="ListBullet2"/>
            </w:pPr>
            <w:r w:rsidRPr="004C6AB9">
              <w:t>Implement Occu</w:t>
            </w:r>
            <w:r w:rsidRPr="004C6AB9">
              <w:t>pational Health and Safety workplace procedures and practices including the use of risk control measures as specified in the Performance Criteria and range; and</w:t>
            </w:r>
          </w:p>
          <w:p w:rsidR="00000000" w:rsidRPr="004C6AB9" w:rsidP="004C6AB9">
            <w:pPr>
              <w:pStyle w:val="ListBullet2"/>
            </w:pPr>
            <w:r w:rsidRPr="004C6AB9">
              <w:t xml:space="preserve">Apply sustainable energy principles and practices as specified in the Performance Criteria and </w:t>
            </w:r>
            <w:r w:rsidRPr="004C6AB9">
              <w:t>range; and</w:t>
            </w:r>
          </w:p>
          <w:p w:rsidR="00000000" w:rsidRPr="004C6AB9" w:rsidP="004C6AB9">
            <w:pPr>
              <w:pStyle w:val="ListBullet2"/>
            </w:pPr>
            <w:r w:rsidRPr="004C6AB9">
              <w:t>Demonstrate an understanding of the essential knowledge and associated skills as described in this unit to such an extent that the learner’s performance outcome is reported in accordance with the preferred approach; namely a percentile graded re</w:t>
            </w:r>
            <w:r w:rsidRPr="004C6AB9">
              <w:t>sult, where required by the regulated environment; and</w:t>
            </w:r>
          </w:p>
          <w:p w:rsidR="00000000" w:rsidRPr="004C6AB9" w:rsidP="004C6AB9">
            <w:pPr>
              <w:pStyle w:val="ListBullet2"/>
            </w:pPr>
            <w:r w:rsidRPr="004C6AB9">
              <w:t>Demonstrate an appropriate level of employability skills; and</w:t>
            </w:r>
          </w:p>
          <w:p w:rsidR="00000000" w:rsidRPr="004C6AB9" w:rsidP="004C6AB9">
            <w:pPr>
              <w:pStyle w:val="ListBullet"/>
            </w:pPr>
            <w:r w:rsidRPr="004C6AB9">
              <w:t>Conduct work observing the relevant Anti Discrimination legislation, regulations, policies and workplace procedures; and</w:t>
            </w:r>
          </w:p>
          <w:p w:rsidR="00000000" w:rsidP="004C6AB9">
            <w:pPr>
              <w:pStyle w:val="ListBullet2"/>
              <w:rPr>
                <w:lang w:val="en-NZ"/>
              </w:rPr>
            </w:pPr>
            <w:r w:rsidRPr="004C6AB9">
              <w:t>Demonstrated per</w:t>
            </w:r>
            <w:r w:rsidRPr="004C6AB9">
              <w:t>formance across a representative range of contexts from the prescribed items below:</w:t>
            </w:r>
          </w:p>
        </w:tc>
      </w:tr>
      <w:tr w:rsidTr="00C1604E">
        <w:tblPrEx>
          <w:tblW w:w="0" w:type="auto"/>
          <w:tblLayout w:type="fixed"/>
          <w:tblCellMar>
            <w:left w:w="62" w:type="dxa"/>
            <w:right w:w="62" w:type="dxa"/>
          </w:tblCellMar>
          <w:tblLook w:val="0000"/>
        </w:tblPrEx>
        <w:trPr>
          <w:trHeight w:val="88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1" w:type="dxa"/>
            <w:tcBorders>
              <w:top w:val="nil"/>
              <w:left w:val="nil"/>
              <w:bottom w:val="nil"/>
              <w:right w:val="single" w:sz="4" w:space="0" w:color="auto"/>
            </w:tcBorders>
            <w:tcMar>
              <w:top w:w="0" w:type="dxa"/>
              <w:left w:w="62" w:type="dxa"/>
              <w:bottom w:w="0" w:type="dxa"/>
              <w:right w:w="62" w:type="dxa"/>
            </w:tcMar>
          </w:tcPr>
          <w:p w:rsidR="00000000" w:rsidRPr="004C6AB9">
            <w:pPr>
              <w:pStyle w:val="BodyText"/>
              <w:keepNext w:val="0"/>
              <w:keepLines w:val="0"/>
              <w:contextualSpacing w:val="0"/>
            </w:pPr>
          </w:p>
        </w:tc>
        <w:tc>
          <w:tcPr>
            <w:tcW w:w="579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rPr>
                <w:rStyle w:val="SpecialBold"/>
              </w:rPr>
              <w:t>Range of tools/equipment/materials/procedures/workplaces/other variables</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1" w:type="dxa"/>
            <w:tcBorders>
              <w:top w:val="nil"/>
              <w:left w:val="nil"/>
              <w:bottom w:val="nil"/>
              <w:right w:val="single" w:sz="4" w:space="0" w:color="auto"/>
            </w:tcBorders>
            <w:tcMar>
              <w:top w:w="0" w:type="dxa"/>
              <w:left w:w="62" w:type="dxa"/>
              <w:bottom w:w="0" w:type="dxa"/>
              <w:right w:w="62" w:type="dxa"/>
            </w:tcMar>
          </w:tcPr>
          <w:p w:rsidR="00000000" w:rsidRPr="004C6AB9">
            <w:pPr>
              <w:pStyle w:val="BodyText"/>
              <w:keepNext w:val="0"/>
              <w:keepLines w:val="0"/>
              <w:contextualSpacing w:val="0"/>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B9" w:rsidP="004C6AB9">
            <w:pPr>
              <w:pStyle w:val="BodyText"/>
            </w:pPr>
            <w:r w:rsidRPr="004C6AB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B9" w:rsidP="004C6AB9">
            <w:pPr>
              <w:pStyle w:val="BodyText"/>
            </w:pPr>
            <w:r w:rsidRPr="004C6AB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rPr>
                <w:rStyle w:val="SpecialBold"/>
              </w:rPr>
              <w:t>Item List</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1"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B9" w:rsidP="004C6AB9">
            <w:pPr>
              <w:pStyle w:val="BodyText"/>
            </w:pPr>
            <w:r w:rsidRPr="004C6AB9">
              <w:t>Fuse switches</w:t>
            </w:r>
          </w:p>
          <w:p w:rsidR="00000000" w:rsidRPr="004C6AB9" w:rsidP="004C6AB9">
            <w:pPr>
              <w:pStyle w:val="BodyText"/>
            </w:pPr>
            <w:r w:rsidRPr="004C6AB9">
              <w:t>Dropout fuses</w:t>
            </w:r>
          </w:p>
          <w:p w:rsidR="00000000" w:rsidRPr="004C6AB9" w:rsidP="004C6AB9">
            <w:pPr>
              <w:pStyle w:val="BodyText"/>
            </w:pPr>
            <w:r w:rsidRPr="004C6AB9">
              <w:t>Section insulators</w:t>
            </w:r>
          </w:p>
          <w:p w:rsidR="00000000" w:rsidRPr="004C6AB9" w:rsidP="004C6AB9">
            <w:pPr>
              <w:pStyle w:val="BodyText"/>
            </w:pPr>
            <w:r w:rsidRPr="004C6AB9">
              <w:t>Switches/isolators</w:t>
            </w:r>
          </w:p>
          <w:p w:rsidR="00000000" w:rsidRPr="004C6AB9" w:rsidP="004C6AB9">
            <w:pPr>
              <w:pStyle w:val="BodyText"/>
            </w:pPr>
            <w:r w:rsidRPr="004C6AB9">
              <w:t>Links</w:t>
            </w:r>
          </w:p>
          <w:p w:rsidR="00000000" w:rsidRPr="004C6AB9" w:rsidP="004C6AB9">
            <w:pPr>
              <w:pStyle w:val="BodyText"/>
            </w:pPr>
            <w:r w:rsidRPr="004C6AB9">
              <w:t>Fuses</w:t>
            </w:r>
          </w:p>
          <w:p w:rsidR="00000000" w:rsidRPr="004C6AB9" w:rsidP="004C6AB9">
            <w:pPr>
              <w:pStyle w:val="BodyText"/>
            </w:pPr>
            <w:r w:rsidRPr="004C6AB9">
              <w:t>Surge diverters</w:t>
            </w:r>
          </w:p>
          <w:p w:rsidR="00000000" w:rsidP="004C6AB9">
            <w:pPr>
              <w:pStyle w:val="BodyText"/>
              <w:rPr>
                <w:lang w:val="en-NZ"/>
              </w:rPr>
            </w:pPr>
            <w:r w:rsidRPr="004C6AB9">
              <w:t>Transformers</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1"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At least five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B9" w:rsidP="004C6AB9">
            <w:pPr>
              <w:pStyle w:val="BodyText"/>
            </w:pPr>
            <w:r w:rsidRPr="004C6AB9">
              <w:t>Cantilever hardware</w:t>
            </w:r>
          </w:p>
          <w:p w:rsidR="00000000" w:rsidRPr="004C6AB9" w:rsidP="004C6AB9">
            <w:pPr>
              <w:pStyle w:val="BodyText"/>
            </w:pPr>
            <w:r w:rsidRPr="004C6AB9">
              <w:t>Head span</w:t>
            </w:r>
          </w:p>
          <w:p w:rsidR="00000000" w:rsidRPr="004C6AB9" w:rsidP="004C6AB9">
            <w:pPr>
              <w:pStyle w:val="BodyText"/>
            </w:pPr>
            <w:r w:rsidRPr="004C6AB9">
              <w:t>Neutral sections</w:t>
            </w:r>
          </w:p>
          <w:p w:rsidR="00000000" w:rsidRPr="004C6AB9" w:rsidP="004C6AB9">
            <w:pPr>
              <w:pStyle w:val="BodyText"/>
            </w:pPr>
            <w:r w:rsidRPr="004C6AB9">
              <w:t>Pull offs</w:t>
            </w:r>
          </w:p>
          <w:p w:rsidR="00000000" w:rsidRPr="004C6AB9" w:rsidP="004C6AB9">
            <w:pPr>
              <w:pStyle w:val="BodyText"/>
            </w:pPr>
            <w:r w:rsidRPr="004C6AB9">
              <w:t>Registration fittings</w:t>
            </w:r>
          </w:p>
          <w:p w:rsidR="00000000" w:rsidRPr="004C6AB9" w:rsidP="004C6AB9">
            <w:pPr>
              <w:pStyle w:val="BodyText"/>
            </w:pPr>
            <w:r w:rsidRPr="004C6AB9">
              <w:t>Steady span</w:t>
            </w:r>
          </w:p>
          <w:p w:rsidR="00000000" w:rsidRPr="004C6AB9" w:rsidP="004C6AB9">
            <w:pPr>
              <w:pStyle w:val="BodyText"/>
            </w:pPr>
            <w:r w:rsidRPr="004C6AB9">
              <w:t>Tension regulators</w:t>
            </w:r>
          </w:p>
          <w:p w:rsidR="00000000" w:rsidRPr="004C6AB9" w:rsidP="004C6AB9">
            <w:pPr>
              <w:pStyle w:val="BodyText"/>
            </w:pPr>
            <w:r w:rsidRPr="004C6AB9">
              <w:t>Cross spans</w:t>
            </w:r>
          </w:p>
          <w:p w:rsidR="00000000" w:rsidRPr="004C6AB9" w:rsidP="004C6AB9">
            <w:pPr>
              <w:pStyle w:val="BodyText"/>
            </w:pPr>
            <w:r w:rsidRPr="004C6AB9">
              <w:t>Tramway support network</w:t>
            </w:r>
          </w:p>
          <w:p w:rsidR="00000000" w:rsidP="004C6AB9">
            <w:pPr>
              <w:pStyle w:val="BodyText"/>
              <w:rPr>
                <w:lang w:val="en-NZ"/>
              </w:rPr>
            </w:pPr>
            <w:r w:rsidRPr="004C6AB9">
              <w:t>Pendulum</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1"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B9" w:rsidP="004C6AB9">
            <w:pPr>
              <w:pStyle w:val="BodyText"/>
            </w:pPr>
            <w:r w:rsidRPr="004C6AB9">
              <w:t>Preformed fittings</w:t>
            </w:r>
          </w:p>
          <w:p w:rsidR="00000000" w:rsidRPr="004C6AB9" w:rsidP="004C6AB9">
            <w:pPr>
              <w:pStyle w:val="BodyText"/>
            </w:pPr>
            <w:r w:rsidRPr="004C6AB9">
              <w:t>Compression fittings</w:t>
            </w:r>
          </w:p>
          <w:p w:rsidR="00000000" w:rsidRPr="004C6AB9" w:rsidP="004C6AB9">
            <w:pPr>
              <w:pStyle w:val="BodyText"/>
            </w:pPr>
            <w:r w:rsidRPr="004C6AB9">
              <w:t>Wedge fittings</w:t>
            </w:r>
          </w:p>
          <w:p w:rsidR="00000000" w:rsidP="004C6AB9">
            <w:pPr>
              <w:pStyle w:val="BodyText"/>
              <w:rPr>
                <w:lang w:val="en-NZ"/>
              </w:rPr>
            </w:pPr>
            <w:r w:rsidRPr="004C6AB9">
              <w:t>Bolted splices</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1"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B9" w:rsidP="004C6AB9">
            <w:pPr>
              <w:pStyle w:val="BodyText"/>
            </w:pPr>
            <w:r w:rsidRPr="004C6AB9">
              <w:t>Feeders</w:t>
            </w:r>
          </w:p>
          <w:p w:rsidR="00000000" w:rsidRPr="004C6AB9" w:rsidP="004C6AB9">
            <w:pPr>
              <w:pStyle w:val="BodyText"/>
            </w:pPr>
            <w:r w:rsidRPr="004C6AB9">
              <w:t>Dissimilar conductors</w:t>
            </w:r>
          </w:p>
          <w:p w:rsidR="00000000" w:rsidRPr="004C6AB9" w:rsidP="004C6AB9">
            <w:pPr>
              <w:pStyle w:val="BodyText"/>
            </w:pPr>
            <w:r w:rsidRPr="004C6AB9">
              <w:t>Lugs</w:t>
            </w:r>
          </w:p>
          <w:p w:rsidR="00000000" w:rsidRPr="004C6AB9" w:rsidP="004C6AB9">
            <w:pPr>
              <w:pStyle w:val="BodyText"/>
            </w:pPr>
            <w:r w:rsidRPr="004C6AB9">
              <w:t>Bolted clamp</w:t>
            </w:r>
          </w:p>
          <w:p w:rsidR="00000000" w:rsidRPr="004C6AB9" w:rsidP="004C6AB9">
            <w:pPr>
              <w:pStyle w:val="BodyText"/>
            </w:pPr>
            <w:r w:rsidRPr="004C6AB9">
              <w:t>Drapes/potential jumper</w:t>
            </w:r>
          </w:p>
          <w:p w:rsidR="00000000" w:rsidP="004C6AB9">
            <w:pPr>
              <w:pStyle w:val="BodyText"/>
              <w:rPr>
                <w:lang w:val="en-NZ"/>
              </w:rPr>
            </w:pPr>
            <w:r w:rsidRPr="004C6AB9">
              <w:t>Droppers</w:t>
            </w:r>
          </w:p>
        </w:tc>
      </w:tr>
      <w:tr w:rsidTr="00C1604E">
        <w:tblPrEx>
          <w:tblW w:w="0" w:type="auto"/>
          <w:tblLayout w:type="fixed"/>
          <w:tblCellMar>
            <w:left w:w="62" w:type="dxa"/>
            <w:right w:w="62" w:type="dxa"/>
          </w:tblCellMar>
          <w:tblLook w:val="0000"/>
        </w:tblPrEx>
        <w:trPr>
          <w:trHeight w:val="166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1"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B9" w:rsidP="004C6AB9">
            <w:pPr>
              <w:pStyle w:val="BodyText"/>
            </w:pPr>
            <w:r w:rsidRPr="004C6AB9">
              <w:t>Voltage detectors</w:t>
            </w:r>
          </w:p>
          <w:p w:rsidR="00000000" w:rsidRPr="004C6AB9" w:rsidP="004C6AB9">
            <w:pPr>
              <w:pStyle w:val="BodyText"/>
            </w:pPr>
            <w:r w:rsidRPr="004C6AB9">
              <w:t>Micrometer/gauge</w:t>
            </w:r>
          </w:p>
          <w:p w:rsidR="00000000" w:rsidRPr="004C6AB9" w:rsidP="004C6AB9">
            <w:pPr>
              <w:pStyle w:val="BodyText"/>
            </w:pPr>
            <w:r w:rsidRPr="004C6AB9">
              <w:t>Tension wrench</w:t>
            </w:r>
          </w:p>
          <w:p w:rsidR="00000000" w:rsidRPr="004C6AB9" w:rsidP="004C6AB9">
            <w:pPr>
              <w:pStyle w:val="BodyText"/>
            </w:pPr>
            <w:r w:rsidRPr="004C6AB9">
              <w:t>Dynamometer</w:t>
            </w:r>
          </w:p>
          <w:p w:rsidR="00000000" w:rsidP="004C6AB9">
            <w:pPr>
              <w:pStyle w:val="BodyText"/>
              <w:rPr>
                <w:lang w:val="en-NZ"/>
              </w:rPr>
            </w:pPr>
            <w:r w:rsidRPr="004C6AB9">
              <w:t>Specialised tools</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1"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AB9">
            <w:pPr>
              <w:pStyle w:val="BodyText"/>
              <w:rPr>
                <w:lang w:val="en-NZ"/>
              </w:rPr>
            </w:pPr>
            <w:r w:rsidRPr="004C6AB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AB9" w:rsidP="004C6AB9">
            <w:pPr>
              <w:pStyle w:val="BodyText"/>
            </w:pPr>
            <w:r w:rsidRPr="004C6AB9">
              <w:t xml:space="preserve">Dealing </w:t>
            </w:r>
            <w:r w:rsidRPr="004C6AB9">
              <w:t>with an unplanned event by drawing on essential knowledge and associated skills to provide appropriate solutions incorporated in the holistic assessment with the above listed items.</w:t>
            </w:r>
          </w:p>
        </w:tc>
      </w:tr>
    </w:tbl>
    <w:p w:rsidR="00000000" w:rsidRPr="004C6AB9" w:rsidP="004C6AB9">
      <w:pPr>
        <w:pStyle w:val="BodyText"/>
      </w:pPr>
    </w:p>
    <w:tbl>
      <w:tblPr>
        <w:tblW w:w="0" w:type="auto"/>
        <w:tblLayout w:type="fixed"/>
        <w:tblCellMar>
          <w:left w:w="62" w:type="dxa"/>
          <w:right w:w="62" w:type="dxa"/>
        </w:tblCellMar>
        <w:tblLook w:val="0000"/>
      </w:tblPr>
      <w:tblGrid>
        <w:gridCol w:w="1890"/>
        <w:gridCol w:w="6570"/>
      </w:tblGrid>
      <w:tr w:rsidTr="00C1604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9.3)</w:t>
            </w:r>
          </w:p>
        </w:tc>
      </w:tr>
      <w:tr w:rsidTr="00C1604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 xml:space="preserve">This </w:t>
            </w:r>
            <w:r w:rsidRPr="004C6AB9">
              <w:t>unit should be assessed as it relates to normal work practice using procedures, information and resources typical of a workplace. This should include:</w:t>
            </w:r>
          </w:p>
          <w:p w:rsidR="00000000" w:rsidRPr="004C6AB9" w:rsidP="004C6AB9">
            <w:pPr>
              <w:pStyle w:val="ListBullet"/>
            </w:pPr>
            <w:r w:rsidRPr="004C6AB9">
              <w:t>OHS policy and work procedures and instructions.</w:t>
            </w:r>
          </w:p>
          <w:p w:rsidR="00000000" w:rsidRPr="004C6AB9" w:rsidP="004C6AB9">
            <w:pPr>
              <w:pStyle w:val="ListBullet"/>
            </w:pPr>
            <w:r w:rsidRPr="004C6AB9">
              <w:t>Suitable work environment, facilities, equipment and ma</w:t>
            </w:r>
            <w:r w:rsidRPr="004C6AB9">
              <w:t xml:space="preserve">terials to undertake actual installation of overhead traction equipment and components. </w:t>
            </w:r>
          </w:p>
          <w:p w:rsidR="00000000" w:rsidRPr="004C6AB9" w:rsidP="004C6AB9">
            <w:pPr>
              <w:pStyle w:val="BodyText"/>
            </w:pPr>
            <w:r w:rsidRPr="004C6AB9">
              <w:t>In addition to the resources listed above, in context of and specific resources for assessment, evidence should show demonstrated competency working below ground, in l</w:t>
            </w:r>
            <w:r w:rsidRPr="004C6AB9">
              <w:t>imited spaces, with different structural/construction types and method and in a variety of environments.</w:t>
            </w:r>
          </w:p>
        </w:tc>
      </w:tr>
    </w:tbl>
    <w:p w:rsidR="00000000" w:rsidRPr="004C6AB9" w:rsidP="004C6AB9">
      <w:pPr>
        <w:pStyle w:val="BodyText"/>
      </w:pPr>
    </w:p>
    <w:tbl>
      <w:tblPr>
        <w:tblW w:w="0" w:type="auto"/>
        <w:tblLayout w:type="fixed"/>
        <w:tblCellMar>
          <w:left w:w="62" w:type="dxa"/>
          <w:right w:w="62" w:type="dxa"/>
        </w:tblCellMar>
        <w:tblLook w:val="0000"/>
      </w:tblPr>
      <w:tblGrid>
        <w:gridCol w:w="1890"/>
        <w:gridCol w:w="6570"/>
      </w:tblGrid>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9.4)</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This Competency Standard Unit shall be assessed by methods given in Volume 1, Part 3 “Assessment Guidelines”.</w:t>
            </w:r>
          </w:p>
          <w:p w:rsidR="00000000" w:rsidRPr="004C6AB9" w:rsidP="004C6AB9">
            <w:pPr>
              <w:pStyle w:val="BodyText"/>
            </w:pPr>
            <w:r w:rsidRPr="004C6AB9">
              <w:t>Note:</w:t>
            </w:r>
          </w:p>
          <w:p w:rsidR="00000000" w:rsidRPr="004C6AB9" w:rsidP="004C6AB9">
            <w:pPr>
              <w:pStyle w:val="BodyText"/>
            </w:pPr>
            <w:r w:rsidRPr="004C6AB9">
              <w:t>Competent performance with inherent safe working practices is expected in the Transmission, Distribution and Rail Traction Industry. This requires that the specified essential knowledge and associated skills are assessed in a structured environment which i</w:t>
            </w:r>
            <w:r w:rsidRPr="004C6AB9">
              <w:t>s primarily intended for learning/assessment and incorporates all necessary equipment and facilities for learners to develop and demonstrate the essential knowledge and associated skills described in this unit.</w:t>
            </w:r>
          </w:p>
        </w:tc>
      </w:tr>
    </w:tbl>
    <w:p w:rsidR="00000000" w:rsidRPr="004C6AB9" w:rsidP="004C6AB9">
      <w:pPr>
        <w:pStyle w:val="BodyText"/>
      </w:pPr>
    </w:p>
    <w:tbl>
      <w:tblPr>
        <w:tblW w:w="0" w:type="auto"/>
        <w:tblLayout w:type="fixed"/>
        <w:tblCellMar>
          <w:left w:w="62" w:type="dxa"/>
          <w:right w:w="62" w:type="dxa"/>
        </w:tblCellMar>
        <w:tblLook w:val="0000"/>
      </w:tblPr>
      <w:tblGrid>
        <w:gridCol w:w="1890"/>
        <w:gridCol w:w="1530"/>
        <w:gridCol w:w="5040"/>
      </w:tblGrid>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Concurrent assessment and relationship with</w:t>
            </w:r>
            <w:r w:rsidRPr="004C6AB9">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9.5)</w:t>
            </w:r>
          </w:p>
        </w:tc>
      </w:tr>
      <w:tr w:rsidTr="00C16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 xml:space="preserve">For optimisation of training and assessment effort, competence in this unit may be assessed concurrently with the following units: </w:t>
            </w:r>
            <w:r w:rsidRPr="004C6AB9">
              <w:tab/>
            </w:r>
          </w:p>
        </w:tc>
      </w:tr>
      <w:tr w:rsidTr="00C1604E">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t>UETTDRRT21A</w:t>
            </w:r>
          </w:p>
        </w:tc>
        <w:tc>
          <w:tcPr>
            <w:tcW w:w="504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Install traction overhead wiring systems</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11" w:name="O_465316"/>
      <w:bookmarkEnd w:id="11"/>
      <w:r w:rsidRPr="004C6AB9">
        <w:t>Range Statement</w:t>
      </w:r>
    </w:p>
    <w:tbl>
      <w:tblPr>
        <w:tblW w:w="0" w:type="auto"/>
        <w:tblLayout w:type="fixed"/>
        <w:tblCellMar>
          <w:left w:w="62" w:type="dxa"/>
          <w:right w:w="62" w:type="dxa"/>
        </w:tblCellMar>
        <w:tblLook w:val="0000"/>
      </w:tblPr>
      <w:tblGrid>
        <w:gridCol w:w="8460"/>
      </w:tblGrid>
      <w:tr w:rsidTr="00C1604E">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RANGE STATEMENT</w:t>
            </w:r>
          </w:p>
        </w:tc>
      </w:tr>
      <w:tr w:rsidTr="00C160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10)</w:t>
            </w:r>
            <w:r w:rsidRPr="004C6AB9">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4C6AB9" w:rsidP="004C6AB9">
            <w:pPr>
              <w:pStyle w:val="BodyText"/>
            </w:pPr>
            <w:r w:rsidRPr="004C6AB9">
              <w:t xml:space="preserve">This Competency Standard Unit shall be demonstrated in relation to the installation, visual inspection and pre-commissioning tests of the overhead traction electrical equipment and components as well as associated hardware including ancillary equipment. </w:t>
            </w:r>
          </w:p>
          <w:p w:rsidR="00000000" w:rsidRPr="004C6AB9" w:rsidP="004C6AB9">
            <w:pPr>
              <w:pStyle w:val="BodyText"/>
            </w:pPr>
            <w:r w:rsidRPr="004C6AB9">
              <w:t>I</w:t>
            </w:r>
            <w:r w:rsidRPr="004C6AB9">
              <w:t>nstallation includes but is not limited to fitting, setting up and putting in place conductors, equipment, systems and conducting tests for operational soundness.</w:t>
            </w:r>
          </w:p>
          <w:p w:rsidR="00000000" w:rsidRPr="004C6AB9" w:rsidP="004C6AB9">
            <w:pPr>
              <w:pStyle w:val="BodyText"/>
            </w:pPr>
            <w:r w:rsidRPr="004C6AB9">
              <w:t>Types of traction wire support structures may consist of portals, pull-off, drop-pieces, head</w:t>
            </w:r>
            <w:r w:rsidRPr="004C6AB9">
              <w:t xml:space="preserve"> spans, cross spans and tramway support networks.</w:t>
            </w:r>
          </w:p>
          <w:p w:rsidR="00000000" w:rsidRPr="004C6AB9" w:rsidP="004C6AB9">
            <w:pPr>
              <w:pStyle w:val="BodyText"/>
            </w:pPr>
            <w:r w:rsidRPr="004C6AB9">
              <w:t>Types of traction components may include droppers, bay components, cantilever hardware, portal hardware, steady spans hardware, steady spans, insulators, pull-off, tension regulators, section insulators, ne</w:t>
            </w:r>
            <w:r w:rsidRPr="004C6AB9">
              <w:t>utral sections, tramway frogs, pendulums, crossing pans and ears/hangers, booster and auxiliary transformers, air break switches, in-span feeders, isolation switches knuckles (insulated and non-insulated), cross arms.</w:t>
            </w:r>
          </w:p>
          <w:p w:rsidR="00000000" w:rsidRPr="004C6AB9" w:rsidP="004C6AB9">
            <w:pPr>
              <w:pStyle w:val="BodyText"/>
            </w:pPr>
            <w:r w:rsidRPr="004C6AB9">
              <w:t>Traction system components may consist</w:t>
            </w:r>
            <w:r w:rsidRPr="004C6AB9">
              <w:t xml:space="preserve"> of metalwork, wires, hardware, fittings and insulators.</w:t>
            </w:r>
          </w:p>
          <w:p w:rsidR="00000000" w:rsidRPr="004C6AB9" w:rsidP="004C6AB9">
            <w:pPr>
              <w:pStyle w:val="BodyText"/>
            </w:pPr>
            <w:r w:rsidRPr="004C6AB9">
              <w:t>Types of conductor may include HD, CAD and tin bearing copper, aluminium, steel, aluminium conductor steel reinforced, copper cover steel.</w:t>
            </w:r>
          </w:p>
          <w:p w:rsidR="00000000" w:rsidRPr="004C6AB9" w:rsidP="004C6AB9">
            <w:pPr>
              <w:pStyle w:val="BodyText"/>
            </w:pPr>
            <w:r w:rsidRPr="004C6AB9">
              <w:t>Types of wiring arrangements include single wire/tram system</w:t>
            </w:r>
            <w:r w:rsidRPr="004C6AB9">
              <w:t>s, simple and compound catenary systems.</w:t>
            </w:r>
          </w:p>
          <w:p w:rsidR="00000000" w:rsidRPr="004C6AB9" w:rsidP="004C6AB9">
            <w:pPr>
              <w:pStyle w:val="BodyText"/>
            </w:pPr>
            <w:r w:rsidRPr="004C6AB9">
              <w:t>Plant may include ladders, elevating work platforms, winches, specialist tension string equipment, cable trailers, work trains, rail mounted overhead wiring equipment/vehicles and road rail mounted overhead wiring e</w:t>
            </w:r>
            <w:r w:rsidRPr="004C6AB9">
              <w:t>quipment/vehicles.</w:t>
            </w:r>
          </w:p>
          <w:p w:rsidR="00000000" w:rsidRPr="004C6AB9" w:rsidP="004C6AB9">
            <w:pPr>
              <w:pStyle w:val="BodyText"/>
            </w:pPr>
            <w:r w:rsidRPr="004C6AB9">
              <w:t xml:space="preserve">Ancillary equipment may include, transformers, switches, and surge diverters. </w:t>
            </w:r>
          </w:p>
          <w:p w:rsidR="00000000" w:rsidRPr="004C6AB9" w:rsidP="004C6AB9">
            <w:pPr>
              <w:pStyle w:val="BodyText"/>
            </w:pPr>
            <w:r w:rsidRPr="004C6AB9">
              <w:t>The following constants and variables included in the element/Performance Criteria in this unit are fully described in the Definitions Section 1 of this volum</w:t>
            </w:r>
            <w:r w:rsidRPr="004C6AB9">
              <w:t>e and form an integral part of the Range Statement of this unit:</w:t>
            </w:r>
          </w:p>
          <w:p w:rsidR="00000000" w:rsidRPr="004C6AB9" w:rsidP="004C6AB9">
            <w:pPr>
              <w:pStyle w:val="ListBullet3"/>
            </w:pPr>
            <w:r w:rsidRPr="004C6AB9">
              <w:t>Appropriate and relevant persons (see Personnel)</w:t>
            </w:r>
          </w:p>
          <w:p w:rsidR="00000000" w:rsidRPr="004C6AB9" w:rsidP="004C6AB9">
            <w:pPr>
              <w:pStyle w:val="ListBullet3"/>
            </w:pPr>
            <w:r w:rsidRPr="004C6AB9">
              <w:t>Appropriate authorities</w:t>
            </w:r>
          </w:p>
          <w:p w:rsidR="00000000" w:rsidRPr="004C6AB9" w:rsidP="004C6AB9">
            <w:pPr>
              <w:pStyle w:val="ListBullet3"/>
            </w:pPr>
            <w:r w:rsidRPr="004C6AB9">
              <w:t>Appropriate work platform</w:t>
            </w:r>
          </w:p>
          <w:p w:rsidR="00000000" w:rsidRPr="004C6AB9" w:rsidP="004C6AB9">
            <w:pPr>
              <w:pStyle w:val="ListBullet3"/>
            </w:pPr>
            <w:r w:rsidRPr="004C6AB9">
              <w:t>Assessing risk</w:t>
            </w:r>
          </w:p>
          <w:p w:rsidR="00000000" w:rsidRPr="004C6AB9" w:rsidP="004C6AB9">
            <w:pPr>
              <w:pStyle w:val="ListBullet3"/>
            </w:pPr>
            <w:r w:rsidRPr="004C6AB9">
              <w:t>Assessment</w:t>
            </w:r>
          </w:p>
          <w:p w:rsidR="00000000" w:rsidRPr="004C6AB9" w:rsidP="004C6AB9">
            <w:pPr>
              <w:pStyle w:val="ListBullet3"/>
            </w:pPr>
            <w:r w:rsidRPr="004C6AB9">
              <w:t>Authorisation</w:t>
            </w:r>
          </w:p>
          <w:p w:rsidR="00000000" w:rsidRPr="004C6AB9" w:rsidP="004C6AB9">
            <w:pPr>
              <w:pStyle w:val="ListBullet3"/>
            </w:pPr>
            <w:r w:rsidRPr="004C6AB9">
              <w:t>Confined space</w:t>
            </w:r>
          </w:p>
          <w:p w:rsidR="00000000" w:rsidRPr="004C6AB9" w:rsidP="004C6AB9">
            <w:pPr>
              <w:pStyle w:val="ListBullet3"/>
            </w:pPr>
            <w:r w:rsidRPr="004C6AB9">
              <w:t>Diagnostic, testing and restoration</w:t>
            </w:r>
          </w:p>
          <w:p w:rsidR="00000000" w:rsidRPr="004C6AB9" w:rsidP="004C6AB9">
            <w:pPr>
              <w:pStyle w:val="ListBullet3"/>
            </w:pPr>
            <w:r w:rsidRPr="004C6AB9">
              <w:t>Documenting detail of work events, record keeping and or storage of information</w:t>
            </w:r>
          </w:p>
          <w:p w:rsidR="00000000" w:rsidRPr="004C6AB9" w:rsidP="004C6AB9">
            <w:pPr>
              <w:pStyle w:val="ListBullet3"/>
            </w:pPr>
            <w:r w:rsidRPr="004C6AB9">
              <w:t>Drawings and specifications</w:t>
            </w:r>
          </w:p>
          <w:p w:rsidR="00000000" w:rsidRPr="004C6AB9" w:rsidP="004C6AB9">
            <w:pPr>
              <w:pStyle w:val="ListBullet3"/>
            </w:pPr>
            <w:r w:rsidRPr="004C6AB9">
              <w:t>Emergency</w:t>
            </w:r>
          </w:p>
          <w:p w:rsidR="00000000" w:rsidRPr="004C6AB9" w:rsidP="004C6AB9">
            <w:pPr>
              <w:pStyle w:val="ListBullet3"/>
            </w:pPr>
            <w:r w:rsidRPr="004C6AB9">
              <w:t>Environmental and sustainable energy procedures</w:t>
            </w:r>
          </w:p>
          <w:p w:rsidR="00000000" w:rsidRPr="004C6AB9" w:rsidP="004C6AB9">
            <w:pPr>
              <w:pStyle w:val="ListBullet3"/>
            </w:pPr>
            <w:r w:rsidRPr="004C6AB9">
              <w:t>Environmental legislation</w:t>
            </w:r>
          </w:p>
          <w:p w:rsidR="00000000" w:rsidRPr="004C6AB9" w:rsidP="004C6AB9">
            <w:pPr>
              <w:pStyle w:val="ListBullet3"/>
            </w:pPr>
            <w:r w:rsidRPr="004C6AB9">
              <w:t>Environmental management documentation</w:t>
            </w:r>
          </w:p>
          <w:p w:rsidR="00000000" w:rsidRPr="004C6AB9" w:rsidP="004C6AB9">
            <w:pPr>
              <w:pStyle w:val="ListBullet3"/>
            </w:pPr>
            <w:r w:rsidRPr="004C6AB9">
              <w:t>Established procedures</w:t>
            </w:r>
          </w:p>
          <w:p w:rsidR="00000000" w:rsidRPr="004C6AB9" w:rsidP="004C6AB9">
            <w:pPr>
              <w:pStyle w:val="ListBullet3"/>
            </w:pPr>
            <w:r w:rsidRPr="004C6AB9">
              <w:t>Fa</w:t>
            </w:r>
            <w:r w:rsidRPr="004C6AB9">
              <w:t>ll prevention</w:t>
            </w:r>
          </w:p>
          <w:p w:rsidR="00000000" w:rsidRPr="004C6AB9" w:rsidP="004C6AB9">
            <w:pPr>
              <w:pStyle w:val="ListBullet3"/>
            </w:pPr>
            <w:r w:rsidRPr="004C6AB9">
              <w:t>Hazards</w:t>
            </w:r>
          </w:p>
          <w:p w:rsidR="00000000" w:rsidRPr="004C6AB9" w:rsidP="004C6AB9">
            <w:pPr>
              <w:pStyle w:val="ListBullet3"/>
            </w:pPr>
            <w:r w:rsidRPr="004C6AB9">
              <w:t>Identifying hazards</w:t>
            </w:r>
          </w:p>
          <w:p w:rsidR="00000000" w:rsidRPr="004C6AB9" w:rsidP="004C6AB9">
            <w:pPr>
              <w:pStyle w:val="ListBullet3"/>
            </w:pPr>
            <w:r w:rsidRPr="004C6AB9">
              <w:t>Inspect</w:t>
            </w:r>
          </w:p>
          <w:p w:rsidR="00000000" w:rsidRPr="004C6AB9" w:rsidP="004C6AB9">
            <w:pPr>
              <w:pStyle w:val="ListBullet3"/>
            </w:pPr>
            <w:r w:rsidRPr="004C6AB9">
              <w:t>Legislation</w:t>
            </w:r>
          </w:p>
          <w:p w:rsidR="00000000" w:rsidRPr="004C6AB9" w:rsidP="004C6AB9">
            <w:pPr>
              <w:pStyle w:val="ListBullet3"/>
            </w:pPr>
            <w:r w:rsidRPr="004C6AB9">
              <w:t>MSDS</w:t>
            </w:r>
          </w:p>
          <w:p w:rsidR="00000000" w:rsidRPr="004C6AB9" w:rsidP="004C6AB9">
            <w:pPr>
              <w:pStyle w:val="ListBullet3"/>
            </w:pPr>
            <w:r w:rsidRPr="004C6AB9">
              <w:t>Notification</w:t>
            </w:r>
          </w:p>
          <w:p w:rsidR="00000000" w:rsidRPr="004C6AB9" w:rsidP="004C6AB9">
            <w:pPr>
              <w:pStyle w:val="ListBullet3"/>
            </w:pPr>
            <w:r w:rsidRPr="004C6AB9">
              <w:t>OHS practices</w:t>
            </w:r>
          </w:p>
          <w:p w:rsidR="00000000" w:rsidRPr="004C6AB9" w:rsidP="004C6AB9">
            <w:pPr>
              <w:pStyle w:val="ListBullet3"/>
            </w:pPr>
            <w:r w:rsidRPr="004C6AB9">
              <w:t>OHS issues</w:t>
            </w:r>
          </w:p>
          <w:p w:rsidR="00000000" w:rsidRPr="004C6AB9" w:rsidP="004C6AB9">
            <w:pPr>
              <w:pStyle w:val="ListBullet3"/>
            </w:pPr>
            <w:r w:rsidRPr="004C6AB9">
              <w:t>Permits and/or permits to work</w:t>
            </w:r>
          </w:p>
          <w:p w:rsidR="00000000" w:rsidRPr="004C6AB9" w:rsidP="004C6AB9">
            <w:pPr>
              <w:pStyle w:val="ListBullet3"/>
            </w:pPr>
            <w:r w:rsidRPr="004C6AB9">
              <w:t>Personnel</w:t>
            </w:r>
          </w:p>
          <w:p w:rsidR="00000000" w:rsidRPr="004C6AB9" w:rsidP="004C6AB9">
            <w:pPr>
              <w:pStyle w:val="ListBullet3"/>
            </w:pPr>
            <w:r w:rsidRPr="004C6AB9">
              <w:t>Quality assurance systems</w:t>
            </w:r>
          </w:p>
          <w:p w:rsidR="00000000" w:rsidRPr="004C6AB9" w:rsidP="004C6AB9">
            <w:pPr>
              <w:pStyle w:val="ListBullet3"/>
            </w:pPr>
            <w:r w:rsidRPr="004C6AB9">
              <w:t>Requirements</w:t>
            </w:r>
          </w:p>
          <w:p w:rsidR="00000000" w:rsidRPr="004C6AB9" w:rsidP="004C6AB9">
            <w:pPr>
              <w:pStyle w:val="ListBullet3"/>
            </w:pPr>
            <w:r w:rsidRPr="004C6AB9">
              <w:t>Testing procedures</w:t>
            </w:r>
          </w:p>
          <w:p w:rsidR="00000000" w:rsidRPr="004C6AB9" w:rsidP="004C6AB9">
            <w:pPr>
              <w:pStyle w:val="ListBullet3"/>
            </w:pPr>
            <w:r w:rsidRPr="004C6AB9">
              <w:t>Work clearance systems</w:t>
            </w:r>
          </w:p>
        </w:tc>
      </w:tr>
    </w:tbl>
    <w:p w:rsidR="00000000" w:rsidRPr="004C6AB9" w:rsidP="004C6AB9">
      <w:pPr>
        <w:pStyle w:val="BodyText"/>
      </w:pPr>
    </w:p>
    <w:p w:rsidR="00000000" w:rsidRPr="004C6AB9" w:rsidP="004C6AB9">
      <w:pPr>
        <w:pStyle w:val="AllowPageBreak"/>
      </w:pPr>
    </w:p>
    <w:p w:rsidR="00000000" w:rsidRPr="004C6AB9" w:rsidP="004C6AB9">
      <w:pPr>
        <w:pStyle w:val="Heading1"/>
      </w:pPr>
      <w:bookmarkStart w:id="12" w:name="O_465319"/>
      <w:bookmarkEnd w:id="12"/>
      <w:r w:rsidRPr="004C6AB9">
        <w:t>Unit Sector(s)</w:t>
      </w:r>
    </w:p>
    <w:p w:rsidR="00000000" w:rsidRPr="004C6AB9" w:rsidP="004C6AB9">
      <w:pPr>
        <w:pStyle w:val="BodyText"/>
      </w:pPr>
      <w:r w:rsidRPr="004C6AB9">
        <w:t>Not applicable.</w:t>
      </w:r>
    </w:p>
    <w:p w:rsidR="00000000" w:rsidRPr="004C6AB9" w:rsidP="004C6AB9">
      <w:pPr>
        <w:pStyle w:val="AllowPageBreak"/>
      </w:pPr>
    </w:p>
    <w:p w:rsidR="00000000" w:rsidRPr="004C6AB9" w:rsidP="004C6AB9">
      <w:pPr>
        <w:pStyle w:val="Heading1"/>
      </w:pPr>
      <w:bookmarkStart w:id="13" w:name="O_465308"/>
      <w:bookmarkEnd w:id="13"/>
      <w:r w:rsidRPr="004C6AB9">
        <w:t>Competency Field</w:t>
      </w:r>
    </w:p>
    <w:tbl>
      <w:tblPr>
        <w:tblW w:w="0" w:type="auto"/>
        <w:tblLayout w:type="fixed"/>
        <w:tblCellMar>
          <w:left w:w="62" w:type="dxa"/>
          <w:right w:w="62" w:type="dxa"/>
        </w:tblCellMar>
        <w:tblLook w:val="0000"/>
      </w:tblPr>
      <w:tblGrid>
        <w:gridCol w:w="2700"/>
        <w:gridCol w:w="5760"/>
      </w:tblGrid>
      <w:tr w:rsidTr="00C16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C6AB9">
            <w:pPr>
              <w:pStyle w:val="BodyText"/>
              <w:rPr>
                <w:lang w:val="en-NZ"/>
              </w:rPr>
            </w:pPr>
            <w:r w:rsidRPr="004C6AB9">
              <w:rPr>
                <w:rStyle w:val="SpecialBold"/>
              </w:rPr>
              <w:t xml:space="preserve">11) </w:t>
            </w:r>
          </w:p>
        </w:tc>
      </w:tr>
      <w:tr w:rsidTr="00C16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AB9" w:rsidP="004C6AB9">
            <w:pPr>
              <w:pStyle w:val="BodyText"/>
            </w:pPr>
            <w:r w:rsidRPr="004C6AB9">
              <w:t>Rail Traction Units</w:t>
            </w:r>
          </w:p>
        </w:tc>
      </w:tr>
    </w:tbl>
    <w:p w:rsidR="00000000" w:rsidRPr="004C6AB9" w:rsidP="004C6AB9">
      <w:pPr>
        <w:pStyle w:val="BodyText"/>
      </w:pPr>
    </w:p>
    <w:p w:rsidR="00000000" w:rsidRPr="004C6AB9" w:rsidP="004C6AB9"/>
    <w:sectPr w:rsidSect="004C6A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04E" w:rsidP="00C16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4E" w:rsidP="004C6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604E" w:rsidP="004C6A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604E" w:rsidP="004C6A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04E" w:rsidP="00C160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4E" w:rsidP="004C6AB9">
    <w:pPr>
      <w:pStyle w:val="Header"/>
      <w:framePr w:wrap="around"/>
    </w:pPr>
    <w:r>
      <w:fldChar w:fldCharType="begin"/>
    </w:r>
    <w:r>
      <w:instrText xml:space="preserve"> TITLE   \* MERGEFORMAT </w:instrText>
    </w:r>
    <w:r>
      <w:fldChar w:fldCharType="separate"/>
    </w:r>
    <w:r>
      <w:t>UETTDRRT27A Install overhead traction components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604E" w:rsidP="004C6A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060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E7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7CE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A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6AB9"/>
    <w:pPr>
      <w:spacing w:before="360" w:after="60"/>
      <w:outlineLvl w:val="0"/>
    </w:pPr>
    <w:rPr>
      <w:sz w:val="32"/>
    </w:rPr>
  </w:style>
  <w:style w:type="paragraph" w:styleId="Heading2">
    <w:name w:val="heading 2"/>
    <w:basedOn w:val="HeadingBase"/>
    <w:next w:val="BodyText"/>
    <w:link w:val="Heading2Char"/>
    <w:qFormat/>
    <w:rsid w:val="004C6AB9"/>
    <w:pPr>
      <w:keepLines/>
      <w:spacing w:before="240" w:after="120"/>
      <w:outlineLvl w:val="1"/>
    </w:pPr>
    <w:rPr>
      <w:sz w:val="28"/>
      <w:szCs w:val="40"/>
    </w:rPr>
  </w:style>
  <w:style w:type="paragraph" w:styleId="Heading3">
    <w:name w:val="heading 3"/>
    <w:basedOn w:val="HeadingBase"/>
    <w:next w:val="BodyText"/>
    <w:link w:val="Heading3Char"/>
    <w:qFormat/>
    <w:rsid w:val="004C6AB9"/>
    <w:pPr>
      <w:spacing w:before="180" w:after="120"/>
      <w:outlineLvl w:val="2"/>
    </w:pPr>
    <w:rPr>
      <w:spacing w:val="-10"/>
      <w:kern w:val="32"/>
    </w:rPr>
  </w:style>
  <w:style w:type="paragraph" w:styleId="Heading4">
    <w:name w:val="heading 4"/>
    <w:basedOn w:val="HeadingBase"/>
    <w:next w:val="BodyText"/>
    <w:link w:val="Heading4Char"/>
    <w:qFormat/>
    <w:rsid w:val="004C6AB9"/>
    <w:pPr>
      <w:spacing w:before="160" w:after="120"/>
      <w:outlineLvl w:val="3"/>
    </w:pPr>
    <w:rPr>
      <w:sz w:val="22"/>
    </w:rPr>
  </w:style>
  <w:style w:type="paragraph" w:styleId="Heading5">
    <w:name w:val="heading 5"/>
    <w:basedOn w:val="HeadingBase"/>
    <w:next w:val="Normal"/>
    <w:link w:val="Heading5Char"/>
    <w:qFormat/>
    <w:rsid w:val="004C6AB9"/>
    <w:pPr>
      <w:spacing w:before="80"/>
      <w:outlineLvl w:val="4"/>
    </w:pPr>
    <w:rPr>
      <w:color w:val="918585"/>
      <w:sz w:val="20"/>
    </w:rPr>
  </w:style>
  <w:style w:type="paragraph" w:styleId="Heading6">
    <w:name w:val="heading 6"/>
    <w:basedOn w:val="HeadingBase"/>
    <w:next w:val="Normal"/>
    <w:link w:val="Heading6Char"/>
    <w:qFormat/>
    <w:rsid w:val="004C6AB9"/>
    <w:pPr>
      <w:spacing w:before="60"/>
      <w:outlineLvl w:val="5"/>
    </w:pPr>
    <w:rPr>
      <w:color w:val="918585"/>
      <w:sz w:val="20"/>
    </w:rPr>
  </w:style>
  <w:style w:type="paragraph" w:styleId="Heading7">
    <w:name w:val="heading 7"/>
    <w:basedOn w:val="Normal"/>
    <w:next w:val="Normal"/>
    <w:link w:val="Heading7Char"/>
    <w:qFormat/>
    <w:rsid w:val="004C6AB9"/>
    <w:pPr>
      <w:ind w:left="720"/>
      <w:outlineLvl w:val="6"/>
    </w:pPr>
    <w:rPr>
      <w:i/>
    </w:rPr>
  </w:style>
  <w:style w:type="paragraph" w:styleId="Heading8">
    <w:name w:val="heading 8"/>
    <w:basedOn w:val="Normal"/>
    <w:next w:val="Normal"/>
    <w:link w:val="Heading8Char"/>
    <w:qFormat/>
    <w:rsid w:val="004C6AB9"/>
    <w:pPr>
      <w:ind w:left="720"/>
      <w:outlineLvl w:val="7"/>
    </w:pPr>
    <w:rPr>
      <w:i/>
    </w:rPr>
  </w:style>
  <w:style w:type="paragraph" w:styleId="Heading9">
    <w:name w:val="heading 9"/>
    <w:basedOn w:val="Normal"/>
    <w:next w:val="Normal"/>
    <w:link w:val="Heading9Char"/>
    <w:qFormat/>
    <w:rsid w:val="004C6AB9"/>
    <w:pPr>
      <w:ind w:left="720"/>
      <w:outlineLvl w:val="8"/>
    </w:pPr>
    <w:rPr>
      <w:i/>
    </w:rPr>
  </w:style>
  <w:style w:type="character" w:default="1" w:styleId="DefaultParagraphFont">
    <w:name w:val="Default Paragraph Font"/>
    <w:uiPriority w:val="1"/>
    <w:unhideWhenUsed/>
    <w:rsid w:val="004C6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AB9"/>
  </w:style>
  <w:style w:type="character" w:customStyle="1" w:styleId="Heading1Char">
    <w:name w:val="Heading 1 Char"/>
    <w:basedOn w:val="DefaultParagraphFont"/>
    <w:link w:val="Heading1"/>
    <w:rsid w:val="004C6AB9"/>
    <w:rPr>
      <w:rFonts w:ascii="Times New Roman" w:eastAsia="Times New Roman" w:hAnsi="Times New Roman" w:cs="Times New Roman"/>
      <w:b/>
      <w:sz w:val="32"/>
      <w:szCs w:val="20"/>
      <w:lang w:eastAsia="en-US"/>
    </w:rPr>
  </w:style>
  <w:style w:type="paragraph" w:styleId="BodyText">
    <w:name w:val="Body Text"/>
    <w:basedOn w:val="Normal"/>
    <w:link w:val="BodyTextChar"/>
    <w:rsid w:val="004C6A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6AB9"/>
    <w:rPr>
      <w:rFonts w:ascii="Times New Roman" w:eastAsia="Times New Roman" w:hAnsi="Times New Roman" w:cs="Times New Roman"/>
      <w:sz w:val="24"/>
      <w:lang w:val="en-US" w:eastAsia="en-US"/>
    </w:rPr>
  </w:style>
  <w:style w:type="paragraph" w:styleId="Footer">
    <w:name w:val="footer"/>
    <w:basedOn w:val="Normal"/>
    <w:link w:val="FooterChar"/>
    <w:rsid w:val="004C6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AB9"/>
    <w:rPr>
      <w:rFonts w:ascii="Times New Roman" w:eastAsia="Times New Roman" w:hAnsi="Times New Roman" w:cs="Times New Roman"/>
      <w:sz w:val="16"/>
      <w:lang w:val="en-US" w:eastAsia="en-US"/>
    </w:rPr>
  </w:style>
  <w:style w:type="paragraph" w:styleId="ListBullet">
    <w:name w:val="List Bullet"/>
    <w:basedOn w:val="List"/>
    <w:rsid w:val="004C6AB9"/>
    <w:pPr>
      <w:numPr>
        <w:numId w:val="14"/>
      </w:numPr>
      <w:tabs>
        <w:tab w:val="clear" w:pos="340"/>
      </w:tabs>
      <w:spacing w:before="40" w:after="40"/>
    </w:pPr>
  </w:style>
  <w:style w:type="character" w:customStyle="1" w:styleId="SpecialBold">
    <w:name w:val="Special Bold"/>
    <w:basedOn w:val="DefaultParagraphFont"/>
    <w:rsid w:val="004C6AB9"/>
    <w:rPr>
      <w:b/>
      <w:spacing w:val="0"/>
    </w:rPr>
  </w:style>
  <w:style w:type="paragraph" w:styleId="ListBullet2">
    <w:name w:val="List Bullet 2"/>
    <w:basedOn w:val="List2"/>
    <w:rsid w:val="004C6AB9"/>
    <w:pPr>
      <w:numPr>
        <w:numId w:val="15"/>
      </w:numPr>
      <w:tabs>
        <w:tab w:val="clear" w:pos="680"/>
      </w:tabs>
    </w:pPr>
  </w:style>
  <w:style w:type="paragraph" w:styleId="Header">
    <w:name w:val="header"/>
    <w:basedOn w:val="Normal"/>
    <w:link w:val="HeaderChar"/>
    <w:rsid w:val="004C6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A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6AB9"/>
    <w:pPr>
      <w:spacing w:before="240" w:after="120"/>
      <w:outlineLvl w:val="0"/>
    </w:pPr>
    <w:rPr>
      <w:rFonts w:ascii="Times New Roman" w:hAnsi="Times New Roman"/>
      <w:b/>
      <w:sz w:val="28"/>
    </w:rPr>
  </w:style>
  <w:style w:type="paragraph" w:customStyle="1" w:styleId="AllowPageBreak">
    <w:name w:val="AllowPageBreak"/>
    <w:rsid w:val="004C6A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6AB9"/>
    <w:pPr>
      <w:numPr>
        <w:numId w:val="3"/>
      </w:numPr>
      <w:tabs>
        <w:tab w:val="clear" w:pos="1021"/>
      </w:tabs>
      <w:ind w:left="1037" w:hanging="357"/>
    </w:pPr>
  </w:style>
  <w:style w:type="character" w:customStyle="1" w:styleId="Heading2Char">
    <w:name w:val="Heading 2 Char"/>
    <w:basedOn w:val="DefaultParagraphFont"/>
    <w:link w:val="Heading2"/>
    <w:rsid w:val="004C6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A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6A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6AB9"/>
    <w:rPr>
      <w:rFonts w:ascii="Courier New" w:eastAsia="Times New Roman" w:hAnsi="Courier New" w:cs="Times New Roman"/>
      <w:i/>
      <w:szCs w:val="20"/>
      <w:lang w:val="en-US" w:eastAsia="en-US"/>
    </w:rPr>
  </w:style>
  <w:style w:type="paragraph" w:customStyle="1" w:styleId="HeadingBase">
    <w:name w:val="Heading Base"/>
    <w:rsid w:val="004C6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AB9"/>
    <w:pPr>
      <w:tabs>
        <w:tab w:val="right" w:leader="dot" w:pos="9072"/>
      </w:tabs>
      <w:ind w:left="567"/>
    </w:pPr>
    <w:rPr>
      <w:szCs w:val="22"/>
    </w:rPr>
  </w:style>
  <w:style w:type="paragraph" w:customStyle="1" w:styleId="TOCBase">
    <w:name w:val="TOC Base"/>
    <w:rsid w:val="004C6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AB9"/>
    <w:pPr>
      <w:tabs>
        <w:tab w:val="right" w:leader="dot" w:pos="9072"/>
      </w:tabs>
      <w:spacing w:before="40" w:after="40"/>
      <w:ind w:left="284"/>
    </w:pPr>
    <w:rPr>
      <w:rFonts w:ascii="Times New Roman" w:hAnsi="Times New Roman"/>
    </w:rPr>
  </w:style>
  <w:style w:type="paragraph" w:styleId="TOC1">
    <w:name w:val="toc 1"/>
    <w:basedOn w:val="TOCBase"/>
    <w:next w:val="Normal"/>
    <w:rsid w:val="004C6A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6AB9"/>
    <w:pPr>
      <w:spacing w:before="5040"/>
      <w:jc w:val="center"/>
    </w:pPr>
    <w:rPr>
      <w:sz w:val="48"/>
      <w:szCs w:val="72"/>
      <w:lang w:val="en-US"/>
    </w:rPr>
  </w:style>
  <w:style w:type="character" w:customStyle="1" w:styleId="TitleChar">
    <w:name w:val="Title Char"/>
    <w:basedOn w:val="DefaultParagraphFont"/>
    <w:link w:val="Title"/>
    <w:rsid w:val="004C6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AB9"/>
    <w:pPr>
      <w:tabs>
        <w:tab w:val="left" w:pos="3600"/>
        <w:tab w:val="left" w:pos="3958"/>
      </w:tabs>
    </w:pPr>
  </w:style>
  <w:style w:type="paragraph" w:styleId="List">
    <w:name w:val="List"/>
    <w:basedOn w:val="BodyText"/>
    <w:next w:val="BodyText"/>
    <w:rsid w:val="004C6AB9"/>
    <w:pPr>
      <w:tabs>
        <w:tab w:val="left" w:pos="340"/>
      </w:tabs>
      <w:spacing w:before="60" w:after="60"/>
      <w:ind w:left="340" w:hanging="340"/>
    </w:pPr>
  </w:style>
  <w:style w:type="paragraph" w:customStyle="1" w:styleId="Note">
    <w:name w:val="Note"/>
    <w:basedOn w:val="BodyText"/>
    <w:rsid w:val="004C6A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AB9"/>
    <w:pPr>
      <w:framePr w:wrap="auto" w:hAnchor="text" w:y="6049"/>
    </w:pPr>
    <w:rPr>
      <w:color w:val="000000"/>
      <w:sz w:val="40"/>
    </w:rPr>
  </w:style>
  <w:style w:type="paragraph" w:customStyle="1" w:styleId="TOCTitle">
    <w:name w:val="TOCTitle"/>
    <w:basedOn w:val="Heading1"/>
    <w:rsid w:val="004C6AB9"/>
    <w:pPr>
      <w:spacing w:after="240"/>
      <w:jc w:val="center"/>
      <w:outlineLvl w:val="9"/>
    </w:pPr>
    <w:rPr>
      <w:caps/>
    </w:rPr>
  </w:style>
  <w:style w:type="paragraph" w:customStyle="1" w:styleId="Version">
    <w:name w:val="Version"/>
    <w:rsid w:val="004C6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AB9"/>
    <w:pPr>
      <w:keepNext w:val="0"/>
      <w:tabs>
        <w:tab w:val="right" w:pos="4176"/>
      </w:tabs>
      <w:ind w:left="198" w:hanging="198"/>
    </w:pPr>
    <w:rPr>
      <w:rFonts w:ascii="Garamond" w:hAnsi="Garamond"/>
    </w:rPr>
  </w:style>
  <w:style w:type="paragraph" w:styleId="IndexHeading">
    <w:name w:val="index heading"/>
    <w:basedOn w:val="Normal"/>
    <w:next w:val="Index1"/>
    <w:semiHidden/>
    <w:rsid w:val="004C6AB9"/>
    <w:pPr>
      <w:spacing w:before="120" w:after="120"/>
    </w:pPr>
    <w:rPr>
      <w:rFonts w:ascii="Arial" w:hAnsi="Arial"/>
      <w:b/>
      <w:color w:val="918585"/>
      <w:sz w:val="24"/>
    </w:rPr>
  </w:style>
  <w:style w:type="paragraph" w:customStyle="1" w:styleId="Chapter">
    <w:name w:val="Chapter"/>
    <w:basedOn w:val="Normal"/>
    <w:rsid w:val="004C6AB9"/>
    <w:pPr>
      <w:spacing w:before="240"/>
    </w:pPr>
    <w:rPr>
      <w:rFonts w:ascii="Times New Roman" w:hAnsi="Times New Roman"/>
      <w:smallCaps/>
      <w:spacing w:val="80"/>
      <w:sz w:val="28"/>
    </w:rPr>
  </w:style>
  <w:style w:type="paragraph" w:customStyle="1" w:styleId="InChapter">
    <w:name w:val="InChapter"/>
    <w:basedOn w:val="Heading3"/>
    <w:rsid w:val="004C6AB9"/>
    <w:pPr>
      <w:spacing w:after="240"/>
      <w:outlineLvl w:val="9"/>
    </w:pPr>
    <w:rPr>
      <w:noProof/>
    </w:rPr>
  </w:style>
  <w:style w:type="paragraph" w:styleId="Index2">
    <w:name w:val="index 2"/>
    <w:basedOn w:val="Normal"/>
    <w:next w:val="Normal"/>
    <w:semiHidden/>
    <w:rsid w:val="004C6AB9"/>
    <w:pPr>
      <w:tabs>
        <w:tab w:val="right" w:pos="4176"/>
      </w:tabs>
      <w:ind w:left="568" w:hanging="284"/>
    </w:pPr>
    <w:rPr>
      <w:rFonts w:ascii="Garamond" w:hAnsi="Garamond"/>
    </w:rPr>
  </w:style>
  <w:style w:type="paragraph" w:customStyle="1" w:styleId="Byline">
    <w:name w:val="Byline"/>
    <w:rsid w:val="004C6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AB9"/>
    <w:pPr>
      <w:tabs>
        <w:tab w:val="clear" w:pos="3600"/>
        <w:tab w:val="clear" w:pos="3958"/>
      </w:tabs>
      <w:jc w:val="right"/>
    </w:pPr>
  </w:style>
  <w:style w:type="character" w:styleId="Emphasis">
    <w:name w:val="Emphasis"/>
    <w:basedOn w:val="DefaultParagraphFont"/>
    <w:qFormat/>
    <w:rsid w:val="004C6AB9"/>
    <w:rPr>
      <w:i/>
    </w:rPr>
  </w:style>
  <w:style w:type="paragraph" w:styleId="Caption">
    <w:name w:val="caption"/>
    <w:basedOn w:val="BodyText"/>
    <w:next w:val="Normal"/>
    <w:qFormat/>
    <w:rsid w:val="004C6AB9"/>
    <w:pPr>
      <w:framePr w:w="2268" w:hSpace="181" w:vSpace="181" w:wrap="around" w:vAnchor="text" w:hAnchor="page" w:x="1135" w:y="285" w:anchorLock="1"/>
    </w:pPr>
    <w:rPr>
      <w:i/>
    </w:rPr>
  </w:style>
  <w:style w:type="paragraph" w:customStyle="1" w:styleId="MiniTOCTitle">
    <w:name w:val="MiniTOCTitle"/>
    <w:basedOn w:val="Heading4"/>
    <w:rsid w:val="004C6AB9"/>
    <w:pPr>
      <w:spacing w:before="240"/>
      <w:outlineLvl w:val="9"/>
    </w:pPr>
    <w:rPr>
      <w:noProof/>
      <w:sz w:val="24"/>
    </w:rPr>
  </w:style>
  <w:style w:type="paragraph" w:customStyle="1" w:styleId="MiniTOCItem">
    <w:name w:val="MiniTOCItem"/>
    <w:basedOn w:val="ListBullet"/>
    <w:rsid w:val="004C6AB9"/>
    <w:pPr>
      <w:numPr>
        <w:numId w:val="0"/>
      </w:numPr>
      <w:tabs>
        <w:tab w:val="right" w:leader="dot" w:pos="6521"/>
      </w:tabs>
      <w:spacing w:before="0" w:after="0"/>
    </w:pPr>
  </w:style>
  <w:style w:type="paragraph" w:customStyle="1" w:styleId="TOFTitle">
    <w:name w:val="TOFTitle"/>
    <w:basedOn w:val="TOCTitle"/>
    <w:rsid w:val="004C6AB9"/>
  </w:style>
  <w:style w:type="paragraph" w:styleId="TableofFigures">
    <w:name w:val="table of figures"/>
    <w:basedOn w:val="Normal"/>
    <w:next w:val="Normal"/>
    <w:semiHidden/>
    <w:rsid w:val="004C6AB9"/>
    <w:pPr>
      <w:tabs>
        <w:tab w:val="right" w:leader="dot" w:pos="9072"/>
      </w:tabs>
      <w:ind w:left="970" w:hanging="403"/>
    </w:pPr>
    <w:rPr>
      <w:rFonts w:ascii="Times New Roman" w:hAnsi="Times New Roman"/>
      <w:b/>
    </w:rPr>
  </w:style>
  <w:style w:type="paragraph" w:styleId="ListNumber">
    <w:name w:val="List Number"/>
    <w:basedOn w:val="List"/>
    <w:rsid w:val="004C6AB9"/>
    <w:pPr>
      <w:numPr>
        <w:numId w:val="12"/>
      </w:numPr>
    </w:pPr>
  </w:style>
  <w:style w:type="character" w:customStyle="1" w:styleId="WingdingSymbols">
    <w:name w:val="Wingding Symbols"/>
    <w:rsid w:val="004C6AB9"/>
    <w:rPr>
      <w:rFonts w:ascii="Wingdings" w:hAnsi="Wingdings"/>
    </w:rPr>
  </w:style>
  <w:style w:type="paragraph" w:customStyle="1" w:styleId="TableHeading">
    <w:name w:val="Table Heading"/>
    <w:basedOn w:val="HeadingBase"/>
    <w:rsid w:val="004C6AB9"/>
    <w:pPr>
      <w:keepLines/>
      <w:pBdr>
        <w:bottom w:val="single" w:sz="6" w:space="1" w:color="918585"/>
      </w:pBdr>
      <w:spacing w:before="240"/>
    </w:pPr>
  </w:style>
  <w:style w:type="character" w:customStyle="1" w:styleId="HotSpot">
    <w:name w:val="HotSpot"/>
    <w:rsid w:val="004C6AB9"/>
    <w:rPr>
      <w:color w:val="0033CC"/>
      <w:u w:val="none"/>
    </w:rPr>
  </w:style>
  <w:style w:type="paragraph" w:customStyle="1" w:styleId="BodyTextRight">
    <w:name w:val="Body Text Right"/>
    <w:basedOn w:val="BodyText"/>
    <w:rsid w:val="004C6AB9"/>
    <w:pPr>
      <w:spacing w:before="0" w:after="0"/>
      <w:jc w:val="right"/>
    </w:pPr>
  </w:style>
  <w:style w:type="paragraph" w:styleId="Index3">
    <w:name w:val="index 3"/>
    <w:basedOn w:val="ListNumber2"/>
    <w:next w:val="Normal"/>
    <w:semiHidden/>
    <w:rsid w:val="004C6AB9"/>
    <w:pPr>
      <w:numPr>
        <w:numId w:val="0"/>
      </w:numPr>
      <w:tabs>
        <w:tab w:val="right" w:leader="dot" w:pos="4176"/>
      </w:tabs>
    </w:pPr>
  </w:style>
  <w:style w:type="paragraph" w:styleId="ListNumber2">
    <w:name w:val="List Number 2"/>
    <w:basedOn w:val="List2"/>
    <w:rsid w:val="004C6AB9"/>
    <w:pPr>
      <w:numPr>
        <w:numId w:val="11"/>
      </w:numPr>
      <w:tabs>
        <w:tab w:val="clear" w:pos="1060"/>
      </w:tabs>
    </w:pPr>
  </w:style>
  <w:style w:type="paragraph" w:customStyle="1" w:styleId="MarginNote">
    <w:name w:val="Margin Note"/>
    <w:basedOn w:val="BodyText"/>
    <w:rsid w:val="004C6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A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6AB9"/>
    <w:rPr>
      <w:sz w:val="32"/>
    </w:rPr>
  </w:style>
  <w:style w:type="paragraph" w:customStyle="1" w:styleId="HeadingProcedure">
    <w:name w:val="Heading Procedure"/>
    <w:basedOn w:val="HeadingBase"/>
    <w:next w:val="Normal"/>
    <w:rsid w:val="004C6AB9"/>
    <w:pPr>
      <w:tabs>
        <w:tab w:val="left" w:pos="0"/>
      </w:tabs>
      <w:spacing w:before="120" w:after="60"/>
    </w:pPr>
    <w:rPr>
      <w:i/>
      <w:color w:val="918585"/>
      <w:sz w:val="22"/>
    </w:rPr>
  </w:style>
  <w:style w:type="paragraph" w:customStyle="1" w:styleId="TableBodyText">
    <w:name w:val="Table Body Text"/>
    <w:basedOn w:val="BodyText"/>
    <w:rsid w:val="004C6AB9"/>
    <w:pPr>
      <w:spacing w:before="60" w:after="60"/>
    </w:pPr>
  </w:style>
  <w:style w:type="paragraph" w:styleId="ListContinue">
    <w:name w:val="List Continue"/>
    <w:basedOn w:val="List"/>
    <w:rsid w:val="004C6AB9"/>
    <w:pPr>
      <w:ind w:firstLine="0"/>
    </w:pPr>
  </w:style>
  <w:style w:type="paragraph" w:customStyle="1" w:styleId="ListNote">
    <w:name w:val="List Note"/>
    <w:basedOn w:val="List"/>
    <w:rsid w:val="004C6AB9"/>
    <w:pPr>
      <w:pBdr>
        <w:top w:val="single" w:sz="6" w:space="2" w:color="918585"/>
        <w:bottom w:val="single" w:sz="6" w:space="2" w:color="918585"/>
      </w:pBdr>
      <w:tabs>
        <w:tab w:val="left" w:pos="1021"/>
      </w:tabs>
      <w:ind w:firstLine="0"/>
    </w:pPr>
  </w:style>
  <w:style w:type="paragraph" w:customStyle="1" w:styleId="Warning">
    <w:name w:val="Warning"/>
    <w:basedOn w:val="BodyText"/>
    <w:rsid w:val="004C6AB9"/>
    <w:pPr>
      <w:shd w:val="clear" w:color="auto" w:fill="D9D9D9"/>
      <w:tabs>
        <w:tab w:val="left" w:pos="992"/>
      </w:tabs>
      <w:ind w:left="119" w:right="119"/>
    </w:pPr>
    <w:rPr>
      <w:sz w:val="20"/>
    </w:rPr>
  </w:style>
  <w:style w:type="paragraph" w:customStyle="1" w:styleId="MarginIcons">
    <w:name w:val="Margin Icons"/>
    <w:basedOn w:val="BodyText"/>
    <w:rsid w:val="004C6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AB9"/>
    <w:rPr>
      <w:rFonts w:ascii="Courier New" w:hAnsi="Courier New"/>
    </w:rPr>
  </w:style>
  <w:style w:type="paragraph" w:customStyle="1" w:styleId="NoteBullet">
    <w:name w:val="Note Bullet"/>
    <w:basedOn w:val="Note"/>
    <w:rsid w:val="004C6AB9"/>
    <w:pPr>
      <w:tabs>
        <w:tab w:val="clear" w:pos="680"/>
      </w:tabs>
      <w:spacing w:before="60" w:after="60"/>
    </w:pPr>
  </w:style>
  <w:style w:type="paragraph" w:customStyle="1" w:styleId="SubHeading2">
    <w:name w:val="SubHeading2"/>
    <w:basedOn w:val="HeadingBase"/>
    <w:rsid w:val="004C6AB9"/>
    <w:pPr>
      <w:spacing w:before="240" w:after="60"/>
    </w:pPr>
    <w:rPr>
      <w:sz w:val="20"/>
    </w:rPr>
  </w:style>
  <w:style w:type="paragraph" w:customStyle="1" w:styleId="SubHeading1">
    <w:name w:val="SubHeading1"/>
    <w:basedOn w:val="HeadingBase"/>
    <w:rsid w:val="004C6AB9"/>
    <w:pPr>
      <w:spacing w:before="240" w:after="60"/>
    </w:pPr>
    <w:rPr>
      <w:color w:val="918585"/>
      <w:sz w:val="22"/>
    </w:rPr>
  </w:style>
  <w:style w:type="paragraph" w:customStyle="1" w:styleId="SideHeading">
    <w:name w:val="Side Heading"/>
    <w:basedOn w:val="HeadingBase"/>
    <w:rsid w:val="004C6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AB9"/>
    <w:pPr>
      <w:numPr>
        <w:numId w:val="13"/>
      </w:numPr>
    </w:pPr>
  </w:style>
  <w:style w:type="paragraph" w:styleId="PlainText">
    <w:name w:val="Plain Text"/>
    <w:basedOn w:val="Normal"/>
    <w:link w:val="PlainTextChar"/>
    <w:rsid w:val="004C6AB9"/>
    <w:rPr>
      <w:sz w:val="20"/>
    </w:rPr>
  </w:style>
  <w:style w:type="character" w:customStyle="1" w:styleId="PlainTextChar">
    <w:name w:val="Plain Text Char"/>
    <w:basedOn w:val="DefaultParagraphFont"/>
    <w:link w:val="PlainText"/>
    <w:rsid w:val="004C6A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6AB9"/>
    <w:rPr>
      <w:b/>
      <w:smallCaps/>
    </w:rPr>
  </w:style>
  <w:style w:type="paragraph" w:customStyle="1" w:styleId="TableListNumber">
    <w:name w:val="Table List Number"/>
    <w:basedOn w:val="ListNumber"/>
    <w:rsid w:val="004C6AB9"/>
    <w:pPr>
      <w:numPr>
        <w:numId w:val="0"/>
      </w:numPr>
    </w:pPr>
  </w:style>
  <w:style w:type="paragraph" w:styleId="TOC4">
    <w:name w:val="toc 4"/>
    <w:basedOn w:val="TOCBase"/>
    <w:next w:val="Normal"/>
    <w:semiHidden/>
    <w:rsid w:val="004C6AB9"/>
    <w:pPr>
      <w:tabs>
        <w:tab w:val="right" w:leader="dot" w:pos="9071"/>
      </w:tabs>
      <w:ind w:left="1701"/>
    </w:pPr>
  </w:style>
  <w:style w:type="paragraph" w:customStyle="1" w:styleId="ListAlpha">
    <w:name w:val="List Alpha"/>
    <w:basedOn w:val="List"/>
    <w:rsid w:val="004C6AB9"/>
    <w:pPr>
      <w:numPr>
        <w:numId w:val="10"/>
      </w:numPr>
    </w:pPr>
  </w:style>
  <w:style w:type="paragraph" w:customStyle="1" w:styleId="ListAlpha2">
    <w:name w:val="List Alpha 2"/>
    <w:basedOn w:val="List2"/>
    <w:rsid w:val="004C6AB9"/>
    <w:pPr>
      <w:numPr>
        <w:numId w:val="9"/>
      </w:numPr>
    </w:pPr>
  </w:style>
  <w:style w:type="paragraph" w:styleId="List2">
    <w:name w:val="List 2"/>
    <w:basedOn w:val="BodyText"/>
    <w:rsid w:val="004C6AB9"/>
    <w:pPr>
      <w:tabs>
        <w:tab w:val="left" w:pos="680"/>
      </w:tabs>
      <w:spacing w:before="60" w:after="60"/>
      <w:ind w:left="680" w:hanging="340"/>
    </w:pPr>
  </w:style>
  <w:style w:type="paragraph" w:styleId="List3">
    <w:name w:val="List 3"/>
    <w:basedOn w:val="BodyText"/>
    <w:rsid w:val="004C6AB9"/>
    <w:pPr>
      <w:tabs>
        <w:tab w:val="left" w:pos="1021"/>
      </w:tabs>
      <w:spacing w:before="60" w:after="60"/>
      <w:ind w:left="1020" w:hanging="340"/>
    </w:pPr>
  </w:style>
  <w:style w:type="paragraph" w:styleId="List4">
    <w:name w:val="List 4"/>
    <w:basedOn w:val="BodyText"/>
    <w:rsid w:val="004C6AB9"/>
    <w:pPr>
      <w:tabs>
        <w:tab w:val="left" w:pos="1361"/>
      </w:tabs>
      <w:spacing w:before="60" w:after="60"/>
      <w:ind w:left="1361" w:hanging="340"/>
    </w:pPr>
  </w:style>
  <w:style w:type="paragraph" w:styleId="List5">
    <w:name w:val="List 5"/>
    <w:basedOn w:val="BodyText"/>
    <w:rsid w:val="004C6AB9"/>
    <w:pPr>
      <w:tabs>
        <w:tab w:val="left" w:pos="1701"/>
      </w:tabs>
      <w:spacing w:before="60" w:after="60"/>
      <w:ind w:left="1701" w:hanging="340"/>
    </w:pPr>
  </w:style>
  <w:style w:type="paragraph" w:styleId="ListBullet4">
    <w:name w:val="List Bullet 4"/>
    <w:basedOn w:val="List4"/>
    <w:rsid w:val="004C6AB9"/>
    <w:pPr>
      <w:numPr>
        <w:numId w:val="4"/>
      </w:numPr>
    </w:pPr>
  </w:style>
  <w:style w:type="paragraph" w:styleId="ListBullet5">
    <w:name w:val="List Bullet 5"/>
    <w:basedOn w:val="List5"/>
    <w:rsid w:val="004C6AB9"/>
    <w:pPr>
      <w:numPr>
        <w:numId w:val="5"/>
      </w:numPr>
    </w:pPr>
  </w:style>
  <w:style w:type="paragraph" w:styleId="ListContinue2">
    <w:name w:val="List Continue 2"/>
    <w:basedOn w:val="List2"/>
    <w:rsid w:val="004C6AB9"/>
    <w:pPr>
      <w:ind w:firstLine="0"/>
    </w:pPr>
  </w:style>
  <w:style w:type="paragraph" w:styleId="ListContinue3">
    <w:name w:val="List Continue 3"/>
    <w:basedOn w:val="List3"/>
    <w:rsid w:val="004C6AB9"/>
    <w:pPr>
      <w:ind w:left="1021" w:firstLine="0"/>
    </w:pPr>
  </w:style>
  <w:style w:type="paragraph" w:styleId="ListContinue4">
    <w:name w:val="List Continue 4"/>
    <w:basedOn w:val="List4"/>
    <w:rsid w:val="004C6AB9"/>
    <w:pPr>
      <w:ind w:firstLine="0"/>
    </w:pPr>
  </w:style>
  <w:style w:type="paragraph" w:styleId="ListContinue5">
    <w:name w:val="List Continue 5"/>
    <w:basedOn w:val="List5"/>
    <w:rsid w:val="004C6AB9"/>
    <w:pPr>
      <w:ind w:firstLine="0"/>
    </w:pPr>
  </w:style>
  <w:style w:type="paragraph" w:styleId="ListNumber3">
    <w:name w:val="List Number 3"/>
    <w:basedOn w:val="List3"/>
    <w:rsid w:val="004C6AB9"/>
    <w:pPr>
      <w:numPr>
        <w:numId w:val="6"/>
      </w:numPr>
    </w:pPr>
  </w:style>
  <w:style w:type="paragraph" w:styleId="ListNumber4">
    <w:name w:val="List Number 4"/>
    <w:basedOn w:val="List4"/>
    <w:rsid w:val="004C6AB9"/>
    <w:pPr>
      <w:numPr>
        <w:numId w:val="7"/>
      </w:numPr>
    </w:pPr>
  </w:style>
  <w:style w:type="paragraph" w:styleId="ListNumber5">
    <w:name w:val="List Number 5"/>
    <w:basedOn w:val="List5"/>
    <w:rsid w:val="004C6AB9"/>
    <w:pPr>
      <w:numPr>
        <w:numId w:val="8"/>
      </w:numPr>
    </w:pPr>
  </w:style>
  <w:style w:type="paragraph" w:styleId="BlockText">
    <w:name w:val="Block Text"/>
    <w:basedOn w:val="Normal"/>
    <w:rsid w:val="004C6AB9"/>
    <w:pPr>
      <w:spacing w:after="120"/>
      <w:ind w:left="1440" w:right="1440"/>
    </w:pPr>
  </w:style>
  <w:style w:type="character" w:customStyle="1" w:styleId="Subscript">
    <w:name w:val="Subscript"/>
    <w:basedOn w:val="DefaultParagraphFont"/>
    <w:rsid w:val="004C6AB9"/>
    <w:rPr>
      <w:sz w:val="16"/>
      <w:vertAlign w:val="subscript"/>
    </w:rPr>
  </w:style>
  <w:style w:type="character" w:customStyle="1" w:styleId="Superscript">
    <w:name w:val="Superscript"/>
    <w:basedOn w:val="DefaultParagraphFont"/>
    <w:rsid w:val="004C6AB9"/>
    <w:rPr>
      <w:sz w:val="16"/>
      <w:vertAlign w:val="superscript"/>
    </w:rPr>
  </w:style>
  <w:style w:type="character" w:customStyle="1" w:styleId="Symbols">
    <w:name w:val="Symbols"/>
    <w:basedOn w:val="DefaultParagraphFont"/>
    <w:rsid w:val="004C6AB9"/>
    <w:rPr>
      <w:rFonts w:ascii="Symbol" w:hAnsi="Symbol"/>
    </w:rPr>
  </w:style>
  <w:style w:type="character" w:customStyle="1" w:styleId="MenuOptions">
    <w:name w:val="Menu Options"/>
    <w:basedOn w:val="DefaultParagraphFont"/>
    <w:rsid w:val="004C6AB9"/>
    <w:rPr>
      <w:rFonts w:ascii="Arial Narrow" w:hAnsi="Arial Narrow"/>
      <w:smallCaps/>
    </w:rPr>
  </w:style>
  <w:style w:type="character" w:customStyle="1" w:styleId="Buttons">
    <w:name w:val="Buttons"/>
    <w:basedOn w:val="DefaultParagraphFont"/>
    <w:rsid w:val="004C6AB9"/>
    <w:rPr>
      <w:b/>
    </w:rPr>
  </w:style>
  <w:style w:type="character" w:customStyle="1" w:styleId="Underlined">
    <w:name w:val="Underlined"/>
    <w:basedOn w:val="DefaultParagraphFont"/>
    <w:rsid w:val="004C6AB9"/>
    <w:rPr>
      <w:u w:val="single"/>
    </w:rPr>
  </w:style>
  <w:style w:type="paragraph" w:customStyle="1" w:styleId="TableBodyTextRight">
    <w:name w:val="Table Body Text Right"/>
    <w:basedOn w:val="TableBodyText"/>
    <w:rsid w:val="004C6AB9"/>
    <w:pPr>
      <w:widowControl w:val="0"/>
      <w:autoSpaceDE w:val="0"/>
      <w:autoSpaceDN w:val="0"/>
      <w:adjustRightInd w:val="0"/>
      <w:jc w:val="right"/>
    </w:pPr>
    <w:rPr>
      <w:rFonts w:cs="Arial"/>
      <w:szCs w:val="18"/>
    </w:rPr>
  </w:style>
  <w:style w:type="paragraph" w:customStyle="1" w:styleId="CopyrightText">
    <w:name w:val="Copyright Text"/>
    <w:basedOn w:val="BodyText"/>
    <w:rsid w:val="004C6AB9"/>
    <w:rPr>
      <w:sz w:val="18"/>
    </w:rPr>
  </w:style>
  <w:style w:type="paragraph" w:customStyle="1" w:styleId="BodySmallRight">
    <w:name w:val="Body Small Right"/>
    <w:basedOn w:val="BodyTextRight"/>
    <w:rsid w:val="004C6AB9"/>
    <w:rPr>
      <w:sz w:val="18"/>
      <w:szCs w:val="18"/>
    </w:rPr>
  </w:style>
  <w:style w:type="paragraph" w:customStyle="1" w:styleId="MarginEdition">
    <w:name w:val="Margin Edition"/>
    <w:basedOn w:val="MarginNote"/>
    <w:rsid w:val="004C6AB9"/>
    <w:pPr>
      <w:spacing w:before="0" w:after="0"/>
    </w:pPr>
    <w:rPr>
      <w:rFonts w:ascii="Times New Roman" w:hAnsi="Times New Roman"/>
      <w:color w:val="999999"/>
    </w:rPr>
  </w:style>
  <w:style w:type="paragraph" w:customStyle="1" w:styleId="Spacer">
    <w:name w:val="Spacer"/>
    <w:basedOn w:val="Normal"/>
    <w:rsid w:val="004C6AB9"/>
    <w:rPr>
      <w:sz w:val="2"/>
      <w:szCs w:val="2"/>
    </w:rPr>
  </w:style>
  <w:style w:type="character" w:customStyle="1" w:styleId="Small">
    <w:name w:val="Small"/>
    <w:basedOn w:val="DefaultParagraphFont"/>
    <w:rsid w:val="004C6AB9"/>
    <w:rPr>
      <w:sz w:val="16"/>
    </w:rPr>
  </w:style>
  <w:style w:type="paragraph" w:customStyle="1" w:styleId="WideTable">
    <w:name w:val="Wide Table"/>
    <w:basedOn w:val="Normal"/>
    <w:rsid w:val="004C6AB9"/>
    <w:pPr>
      <w:ind w:left="-1418"/>
    </w:pPr>
    <w:rPr>
      <w:sz w:val="2"/>
      <w:szCs w:val="2"/>
    </w:rPr>
  </w:style>
  <w:style w:type="character" w:styleId="PageNumber">
    <w:name w:val="page number"/>
    <w:basedOn w:val="DefaultParagraphFont"/>
    <w:rsid w:val="004C6AB9"/>
  </w:style>
  <w:style w:type="paragraph" w:styleId="Quote">
    <w:name w:val="Quote"/>
    <w:basedOn w:val="Heading1"/>
    <w:link w:val="QuoteChar"/>
    <w:qFormat/>
    <w:rsid w:val="004C6AB9"/>
    <w:rPr>
      <w:b w:val="0"/>
      <w:sz w:val="72"/>
      <w:szCs w:val="72"/>
      <w:lang w:val="en-NZ"/>
    </w:rPr>
  </w:style>
  <w:style w:type="character" w:customStyle="1" w:styleId="QuoteChar">
    <w:name w:val="Quote Char"/>
    <w:basedOn w:val="DefaultParagraphFont"/>
    <w:link w:val="Quote"/>
    <w:rsid w:val="004C6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AB9"/>
    <w:pPr>
      <w:pageBreakBefore/>
    </w:pPr>
  </w:style>
  <w:style w:type="paragraph" w:customStyle="1" w:styleId="Border">
    <w:name w:val="Border"/>
    <w:basedOn w:val="Normal"/>
    <w:qFormat/>
    <w:rsid w:val="004C6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AB9"/>
    <w:rPr>
      <w:b/>
      <w:bCs/>
      <w:i/>
      <w:iCs/>
      <w:color w:val="auto"/>
    </w:rPr>
  </w:style>
  <w:style w:type="paragraph" w:styleId="IntenseQuote">
    <w:name w:val="Intense Quote"/>
    <w:basedOn w:val="Normal"/>
    <w:next w:val="Normal"/>
    <w:link w:val="IntenseQuoteChar"/>
    <w:uiPriority w:val="30"/>
    <w:qFormat/>
    <w:rsid w:val="004C6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A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6AB9"/>
    <w:rPr>
      <w:smallCaps/>
      <w:color w:val="auto"/>
      <w:u w:val="single"/>
    </w:rPr>
  </w:style>
  <w:style w:type="character" w:styleId="IntenseReference">
    <w:name w:val="Intense Reference"/>
    <w:basedOn w:val="DefaultParagraphFont"/>
    <w:uiPriority w:val="32"/>
    <w:qFormat/>
    <w:rsid w:val="004C6AB9"/>
    <w:rPr>
      <w:b/>
      <w:bCs/>
      <w:smallCaps/>
      <w:color w:val="auto"/>
      <w:spacing w:val="5"/>
      <w:u w:val="single"/>
    </w:rPr>
  </w:style>
  <w:style w:type="paragraph" w:customStyle="1" w:styleId="2ColumnHeading">
    <w:name w:val="2Column Heading"/>
    <w:basedOn w:val="BodyText"/>
    <w:qFormat/>
    <w:rsid w:val="004C6AB9"/>
    <w:pPr>
      <w:spacing w:after="60"/>
      <w:ind w:left="-2268"/>
    </w:pPr>
    <w:rPr>
      <w:b/>
    </w:rPr>
  </w:style>
  <w:style w:type="paragraph" w:customStyle="1" w:styleId="Heading1TOC">
    <w:name w:val="Heading1 TOC"/>
    <w:basedOn w:val="Normal"/>
    <w:qFormat/>
    <w:rsid w:val="004C6AB9"/>
    <w:pPr>
      <w:spacing w:before="240" w:after="120"/>
    </w:pPr>
    <w:rPr>
      <w:rFonts w:ascii="Times New Roman" w:hAnsi="Times New Roman"/>
      <w:b/>
      <w:sz w:val="32"/>
    </w:rPr>
  </w:style>
  <w:style w:type="paragraph" w:customStyle="1" w:styleId="Heading2TOC">
    <w:name w:val="Heading2 TOC"/>
    <w:basedOn w:val="Normal"/>
    <w:qFormat/>
    <w:rsid w:val="004C6AB9"/>
    <w:pPr>
      <w:spacing w:before="240" w:after="60"/>
    </w:pPr>
    <w:rPr>
      <w:rFonts w:ascii="Times New Roman" w:hAnsi="Times New Roman"/>
      <w:b/>
      <w:sz w:val="28"/>
    </w:rPr>
  </w:style>
  <w:style w:type="character" w:customStyle="1" w:styleId="Underline">
    <w:name w:val="Underline"/>
    <w:basedOn w:val="DefaultParagraphFont"/>
    <w:qFormat/>
    <w:rsid w:val="004C6AB9"/>
    <w:rPr>
      <w:u w:val="single"/>
    </w:rPr>
  </w:style>
  <w:style w:type="character" w:customStyle="1" w:styleId="BoldandItalics">
    <w:name w:val="Bold and Italics"/>
    <w:qFormat/>
    <w:rsid w:val="004C6AB9"/>
    <w:rPr>
      <w:b/>
      <w:i/>
      <w:u w:val="none"/>
    </w:rPr>
  </w:style>
  <w:style w:type="paragraph" w:styleId="BalloonText">
    <w:name w:val="Balloon Text"/>
    <w:basedOn w:val="Normal"/>
    <w:link w:val="BalloonTextChar"/>
    <w:rsid w:val="004C6AB9"/>
    <w:rPr>
      <w:rFonts w:ascii="Tahoma" w:hAnsi="Tahoma" w:cs="Tahoma"/>
      <w:sz w:val="16"/>
      <w:szCs w:val="16"/>
    </w:rPr>
  </w:style>
  <w:style w:type="character" w:customStyle="1" w:styleId="BalloonTextChar">
    <w:name w:val="Balloon Text Char"/>
    <w:basedOn w:val="DefaultParagraphFont"/>
    <w:link w:val="BalloonText"/>
    <w:rsid w:val="004C6A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6A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6A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2719</Words>
  <Characters>17269</Characters>
  <Application>Microsoft Office Word</Application>
  <DocSecurity>0</DocSecurity>
  <Lines>706</Lines>
  <Paragraphs>310</Paragraphs>
  <ScaleCrop>false</ScaleCrop>
  <Company>Author-it Software Corporation Ltd.</Company>
  <LinksUpToDate>false</LinksUpToDate>
  <CharactersWithSpaces>19762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UETTDRRT27A Install overhead traction components and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2012-05-26T12:17:00Z</dcterms:created>
  <dcterms:modified xsi:type="dcterms:W3CDTF">2012-05-26T12:17:00Z</dcterms:modified>
</cp:coreProperties>
</file>