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E69" w:rsidP="006C4E69">
      <w:pPr>
        <w:pStyle w:val="Title"/>
      </w:pPr>
      <w:r>
        <w:fldChar w:fldCharType="begin"/>
      </w:r>
      <w:r>
        <w:instrText xml:space="preserve"> TITLE   \* MERGEFORMAT </w:instrText>
      </w:r>
      <w:r>
        <w:fldChar w:fldCharType="separate"/>
      </w:r>
      <w:r>
        <w:t>UETTDRRT26A Maintain overhead rail traction configurations</w:t>
      </w:r>
      <w:r>
        <w:fldChar w:fldCharType="end"/>
      </w:r>
    </w:p>
    <w:p w:rsidR="006C4E69" w:rsidP="006C4E69">
      <w:pPr>
        <w:pStyle w:val="Version"/>
        <w:sectPr w:rsidSect="00A60B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B92" w:rsidP="00A60B92">
      <w:pPr>
        <w:pStyle w:val="SuperHeading"/>
      </w:pPr>
      <w:r w:rsidRPr="00A60B92">
        <w:t>UETTDRRT26A Maintain overhead rail traction configurations</w:t>
      </w:r>
    </w:p>
    <w:p w:rsidR="00000000" w:rsidRPr="00A60B92" w:rsidP="00A60B92">
      <w:pPr>
        <w:pStyle w:val="Heading1"/>
      </w:pPr>
      <w:bookmarkStart w:id="1" w:name="O_465305"/>
      <w:bookmarkEnd w:id="1"/>
      <w:r w:rsidRPr="00A60B92">
        <w:t>Modification History</w:t>
      </w:r>
    </w:p>
    <w:p w:rsidR="00000000" w:rsidRPr="00A60B92" w:rsidP="00A60B92">
      <w:pPr>
        <w:pStyle w:val="BodyText"/>
      </w:pPr>
      <w:r w:rsidRPr="00A60B92">
        <w:t>Not applicable.</w:t>
      </w:r>
    </w:p>
    <w:p w:rsidR="00000000" w:rsidRPr="00A60B92" w:rsidP="00A60B92">
      <w:pPr>
        <w:pStyle w:val="AllowPageBreak"/>
      </w:pPr>
    </w:p>
    <w:p w:rsidR="00000000" w:rsidRPr="00A60B92" w:rsidP="00A60B92">
      <w:pPr>
        <w:pStyle w:val="Heading1"/>
      </w:pPr>
      <w:bookmarkStart w:id="2" w:name="O_465303"/>
      <w:bookmarkEnd w:id="2"/>
      <w:r w:rsidRPr="00A60B92">
        <w:t>Unit Descriptor</w:t>
      </w:r>
    </w:p>
    <w:tbl>
      <w:tblPr>
        <w:tblW w:w="0" w:type="auto"/>
        <w:tblLayout w:type="fixed"/>
        <w:tblCellMar>
          <w:left w:w="62" w:type="dxa"/>
          <w:right w:w="62" w:type="dxa"/>
        </w:tblCellMar>
        <w:tblLook w:val="0000"/>
      </w:tblPr>
      <w:tblGrid>
        <w:gridCol w:w="2700"/>
        <w:gridCol w:w="5760"/>
      </w:tblGrid>
      <w:tr w:rsidTr="006C4E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1)</w:t>
            </w:r>
            <w:r w:rsidRPr="00A60B92">
              <w:t xml:space="preserve"> </w:t>
            </w:r>
            <w:r w:rsidRPr="00A60B92">
              <w:rPr>
                <w:rStyle w:val="SpecialBold"/>
              </w:rPr>
              <w:t>Scope:</w:t>
            </w:r>
          </w:p>
        </w:tc>
      </w:tr>
      <w:tr w:rsidTr="006C4E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0B9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1.1) Descriptor</w:t>
            </w:r>
          </w:p>
        </w:tc>
      </w:tr>
      <w:tr w:rsidTr="006C4E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This Competency Standard Unit covers the maintenance and repair of overhead traction configurations, which include overlaps, cross-overs, turnouts, crossings and/or train/tram crossings. It includes the repair and/or replacement of “like for like” electric</w:t>
            </w:r>
            <w:r w:rsidRPr="00A60B92">
              <w:t>al equipment and associated hardware according to requirements and the undertaking of safe working practices on or about the running line/track, including the correct positioning of road signs, barriers and/or warning devices and the procedure for issuing/</w:t>
            </w:r>
            <w:r w:rsidRPr="00A60B92">
              <w:t>accepting electrical permits. It also encompasses the isolation of systems and circuits for safe working according to work plans and the visual inspection and necessary checks to confirm that equipment and associated hardware are in a safe condition to tes</w:t>
            </w:r>
            <w:r w:rsidRPr="00A60B92">
              <w:t>t and/or return to service as well as the undertaking of re-commissioning tests to ensure the integrity of the traction system prior to a return to service and the updating of system data and/or maintenance records.</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3" w:name="O_465292"/>
      <w:bookmarkEnd w:id="3"/>
      <w:r w:rsidRPr="00A60B92">
        <w:t>Application of the Un</w:t>
      </w:r>
      <w:r w:rsidRPr="00A60B92">
        <w:t>it</w:t>
      </w:r>
    </w:p>
    <w:tbl>
      <w:tblPr>
        <w:tblW w:w="0" w:type="auto"/>
        <w:tblLayout w:type="fixed"/>
        <w:tblCellMar>
          <w:left w:w="62" w:type="dxa"/>
          <w:right w:w="62" w:type="dxa"/>
        </w:tblCellMar>
        <w:tblLook w:val="0000"/>
      </w:tblPr>
      <w:tblGrid>
        <w:gridCol w:w="2672"/>
        <w:gridCol w:w="5699"/>
      </w:tblGrid>
      <w:tr w:rsidTr="006C4E6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2)</w:t>
            </w:r>
          </w:p>
        </w:tc>
      </w:tr>
      <w:tr w:rsidTr="006C4E6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This Competency Standard Unit is intended to augment formally acquired competencies. It is suitable for employment-based programs under an approved contract of training.</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4" w:name="O_465299"/>
      <w:bookmarkEnd w:id="4"/>
      <w:r w:rsidRPr="00A60B92">
        <w:t>Licensing/Regulatory Information</w:t>
      </w:r>
    </w:p>
    <w:tbl>
      <w:tblPr>
        <w:tblW w:w="0" w:type="auto"/>
        <w:tblLayout w:type="fixed"/>
        <w:tblCellMar>
          <w:left w:w="62" w:type="dxa"/>
          <w:right w:w="62" w:type="dxa"/>
        </w:tblCellMar>
        <w:tblLook w:val="0000"/>
      </w:tblPr>
      <w:tblGrid>
        <w:gridCol w:w="2700"/>
        <w:gridCol w:w="5760"/>
      </w:tblGrid>
      <w:tr w:rsidTr="006C4E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 xml:space="preserve">3) </w:t>
            </w:r>
          </w:p>
        </w:tc>
      </w:tr>
      <w:tr w:rsidTr="006C4E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 xml:space="preserve">The skills and knowledge described in this unit may require a licence/registration to practice in the work place subject to regulations for undertaking of electrical work. Practice in workplace and during training is also subject </w:t>
            </w:r>
            <w:r w:rsidRPr="00A60B92">
              <w:t>to regulations directly related to Occupational Health and Safety, electricity/telecommunications/gas/water industry safety and compliance, industrial relations, environmental protection, anti discrimination and training. Commonwealth, State/Territory or L</w:t>
            </w:r>
            <w:r w:rsidRPr="00A60B92">
              <w:t>ocal Government legislation and regulations may exist that limits the age of operating certain equipment.</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5" w:name="O_465300"/>
      <w:bookmarkEnd w:id="5"/>
      <w:r w:rsidRPr="00A60B92">
        <w:t>Pre-Requisites</w:t>
      </w:r>
    </w:p>
    <w:tbl>
      <w:tblPr>
        <w:tblW w:w="0" w:type="auto"/>
        <w:tblLayout w:type="fixed"/>
        <w:tblCellMar>
          <w:left w:w="62" w:type="dxa"/>
          <w:right w:w="62" w:type="dxa"/>
        </w:tblCellMar>
        <w:tblLook w:val="0000"/>
      </w:tblPr>
      <w:tblGrid>
        <w:gridCol w:w="2691"/>
        <w:gridCol w:w="9"/>
        <w:gridCol w:w="1800"/>
        <w:gridCol w:w="3930"/>
        <w:gridCol w:w="30"/>
      </w:tblGrid>
      <w:tr w:rsidTr="006C4E6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 xml:space="preserve">4)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4.1)</w:t>
            </w:r>
          </w:p>
        </w:tc>
      </w:tr>
      <w:tr w:rsidTr="006C4E69">
        <w:tblPrEx>
          <w:tblW w:w="0" w:type="auto"/>
          <w:tblLayout w:type="fixed"/>
          <w:tblCellMar>
            <w:left w:w="62" w:type="dxa"/>
            <w:right w:w="62" w:type="dxa"/>
          </w:tblCellMar>
          <w:tblLook w:val="0000"/>
        </w:tblPrEx>
        <w:trPr>
          <w:gridAfter w:val="1"/>
          <w:wAfter w:w="30" w:type="dxa"/>
        </w:trPr>
        <w:tc>
          <w:tcPr>
            <w:tcW w:w="26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9" w:type="dxa"/>
            <w:gridSpan w:val="3"/>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Granting of competency in this unit shall be made only after competency in the following unit(s) has/have been confirmed.</w:t>
            </w:r>
          </w:p>
          <w:p w:rsidR="00000000" w:rsidRPr="00A60B92" w:rsidP="00A60B92">
            <w:pPr>
              <w:pStyle w:val="BodyText"/>
            </w:pPr>
            <w:r w:rsidRPr="00A60B92">
              <w:t>Where pre-requisite pathways have been identified. All competencies in the Common Unit Group must be have been completed.</w:t>
            </w:r>
          </w:p>
          <w:p w:rsidR="00000000" w:rsidP="00A60B92">
            <w:pPr>
              <w:pStyle w:val="BodyText"/>
              <w:rPr>
                <w:lang w:val="en-NZ"/>
              </w:rPr>
            </w:pPr>
            <w:r w:rsidRPr="00A60B92">
              <w:t xml:space="preserve">Common Unit </w:t>
            </w:r>
            <w:r w:rsidRPr="00A60B92">
              <w:t>Group</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Unit Code</w:t>
            </w:r>
            <w:r w:rsidRPr="00A60B92">
              <w:tab/>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Unit Title</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UEENEEE101A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Apply Occupational Health and Safety regulations, codes and practices in the workplace</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UEENEEE102A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Fabricate, assemble and dismantle utilities industry components</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UEENEEE104A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Solve problems in d.c. Circuits</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UEENEEE105A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Fix and secure electrotechnology equipment</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UEENEEE107A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Use drawings, diagrams, schedules, </w:t>
            </w:r>
            <w:r w:rsidRPr="00A60B92">
              <w:t>standards, codes and specifications</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UEENEEG101A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Solve problems in electromagnetic devices and related circuits</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UEENEEG102A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Solve problems in low voltage a.c. Circuits</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UETTDREL11A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Apply sustainable energy and environmental procedures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UETTDREL12A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Operate plant and equipment near live electrical conductors and apparatus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UETTDREL16A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Working safely near live electrical appa</w:t>
            </w:r>
            <w:r w:rsidRPr="00A60B92">
              <w:t xml:space="preserve">ratus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UETTDRIS52A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Install and maintain poles, structures and associated hardware</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UETTDRIS54A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Install and maintain poles, structures, overhead conductors and cables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UETTDRRT21A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Install traction overhead wiring systems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UETTDRRT22A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Maintain traction overhead wiring systems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UETTDRRT23A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Install rail traction bonds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UETTDRRT25A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Install overhead rail traction configurations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UETTDRRT27A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P="00A60B92">
            <w:pPr>
              <w:pStyle w:val="BodyText"/>
              <w:rPr>
                <w:lang w:val="en-NZ"/>
              </w:rPr>
            </w:pPr>
            <w:r w:rsidRPr="00A60B92">
              <w:t xml:space="preserve">Install overhead traction components and equipment </w:t>
            </w:r>
          </w:p>
        </w:tc>
      </w:tr>
      <w:tr w:rsidTr="006C4E6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UETTDRRT28A</w:t>
            </w:r>
          </w:p>
        </w:tc>
        <w:tc>
          <w:tcPr>
            <w:tcW w:w="3960" w:type="dxa"/>
            <w:gridSpan w:val="2"/>
            <w:tcBorders>
              <w:top w:val="nil"/>
              <w:left w:val="nil"/>
              <w:bottom w:val="nil"/>
              <w:right w:val="nil"/>
            </w:tcBorders>
            <w:tcMar>
              <w:top w:w="0" w:type="dxa"/>
              <w:left w:w="62" w:type="dxa"/>
              <w:bottom w:w="0" w:type="dxa"/>
              <w:right w:w="62" w:type="dxa"/>
            </w:tcMar>
            <w:vAlign w:val="bottom"/>
          </w:tcPr>
          <w:p w:rsidR="00000000" w:rsidRPr="00A60B92" w:rsidP="00A60B92">
            <w:pPr>
              <w:pStyle w:val="BodyText"/>
            </w:pPr>
            <w:r w:rsidRPr="00A60B92">
              <w:t xml:space="preserve">Maintain overhead traction components and equipment </w:t>
            </w:r>
          </w:p>
        </w:tc>
      </w:tr>
    </w:tbl>
    <w:p w:rsidR="00000000" w:rsidRPr="00A60B92" w:rsidP="00A60B9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C4E6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 xml:space="preserve">4.2) </w:t>
            </w:r>
          </w:p>
        </w:tc>
      </w:tr>
      <w:tr w:rsidTr="006C4E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 xml:space="preserve">Participants are best equipped to achieve this unit if they have reading, writing and numeracy skills indicated by the following scales. Description </w:t>
            </w:r>
            <w:r w:rsidRPr="00A60B92">
              <w:t>of each scale is given in Volume 2, Part 3 “Literacy and Numeracy”.</w:t>
            </w:r>
          </w:p>
        </w:tc>
      </w:tr>
      <w:tr w:rsidTr="006C4E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Reading</w:t>
            </w:r>
          </w:p>
        </w:tc>
        <w:tc>
          <w:tcPr>
            <w:tcW w:w="81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3</w:t>
            </w:r>
          </w:p>
        </w:tc>
        <w:tc>
          <w:tcPr>
            <w:tcW w:w="99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Writing</w:t>
            </w:r>
          </w:p>
        </w:tc>
        <w:tc>
          <w:tcPr>
            <w:tcW w:w="9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3</w:t>
            </w:r>
          </w:p>
        </w:tc>
        <w:tc>
          <w:tcPr>
            <w:tcW w:w="12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Numeracy</w:t>
            </w:r>
          </w:p>
        </w:tc>
        <w:tc>
          <w:tcPr>
            <w:tcW w:w="72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3</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6" w:name="O_465296"/>
      <w:bookmarkEnd w:id="6"/>
      <w:r w:rsidRPr="00A60B92">
        <w:t>Employability Skills Information</w:t>
      </w:r>
    </w:p>
    <w:tbl>
      <w:tblPr>
        <w:tblW w:w="0" w:type="auto"/>
        <w:tblLayout w:type="fixed"/>
        <w:tblCellMar>
          <w:left w:w="62" w:type="dxa"/>
          <w:right w:w="62" w:type="dxa"/>
        </w:tblCellMar>
        <w:tblLook w:val="0000"/>
      </w:tblPr>
      <w:tblGrid>
        <w:gridCol w:w="2700"/>
        <w:gridCol w:w="5760"/>
      </w:tblGrid>
      <w:tr w:rsidTr="006C4E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 xml:space="preserve">5) </w:t>
            </w:r>
          </w:p>
        </w:tc>
      </w:tr>
      <w:tr w:rsidTr="006C4E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60B92">
              <w:t>requirements.</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7" w:name="O_465295"/>
      <w:bookmarkEnd w:id="7"/>
      <w:r w:rsidRPr="00A60B92">
        <w:t>Elements and Performance Criteria Pre-Content</w:t>
      </w:r>
    </w:p>
    <w:tbl>
      <w:tblPr>
        <w:tblW w:w="0" w:type="auto"/>
        <w:tblLayout w:type="fixed"/>
        <w:tblCellMar>
          <w:left w:w="62" w:type="dxa"/>
          <w:right w:w="62" w:type="dxa"/>
        </w:tblCellMar>
        <w:tblLook w:val="0000"/>
      </w:tblPr>
      <w:tblGrid>
        <w:gridCol w:w="2700"/>
        <w:gridCol w:w="5760"/>
      </w:tblGrid>
      <w:tr w:rsidTr="006C4E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6)</w:t>
            </w:r>
            <w:r w:rsidRPr="00A60B9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Performance Criteria describe the required performance needed to demonstrate achievement of the element. Assessment of performance is to be consistent with the Evidence Guide.</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8" w:name="O_465294"/>
      <w:bookmarkEnd w:id="8"/>
      <w:r w:rsidRPr="00A60B92">
        <w:t>Elements and Performance Criteria</w:t>
      </w:r>
    </w:p>
    <w:tbl>
      <w:tblPr>
        <w:tblW w:w="0" w:type="auto"/>
        <w:tblLayout w:type="fixed"/>
        <w:tblCellMar>
          <w:left w:w="62" w:type="dxa"/>
          <w:right w:w="62" w:type="dxa"/>
        </w:tblCellMar>
        <w:tblLook w:val="0000"/>
      </w:tblPr>
      <w:tblGrid>
        <w:gridCol w:w="409"/>
        <w:gridCol w:w="2291"/>
        <w:gridCol w:w="856"/>
        <w:gridCol w:w="4904"/>
      </w:tblGrid>
      <w:tr w:rsidTr="006C4E6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PERFORMANCE CRITER</w:t>
            </w:r>
            <w:r w:rsidRPr="00A60B92">
              <w:rPr>
                <w:rStyle w:val="SpecialBold"/>
              </w:rPr>
              <w:t>IA</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w:t>
            </w:r>
          </w:p>
        </w:tc>
        <w:tc>
          <w:tcPr>
            <w:tcW w:w="2291"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Prepare to maintain overhead traction configurations</w:t>
            </w: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1.1</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Works schedule(s), including drawings, plans, requirements, established procedures, and material lists, are received, analysed and confirmed, if necessary, by site inspection.</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1.2</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Relevant requirements and established procedures for the work are communicated to all personnel and identified for all work sites.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1.3</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OHS policies and procedures related to requirements and established procedures for the maintenance of overhead tractio</w:t>
            </w:r>
            <w:r w:rsidRPr="00A60B92">
              <w:t>n configurations are obtained and confirmed for the purposes of the work to be performed and communicated.</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1.4</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Work is prioritised and sequenced following consultation with oth</w:t>
            </w:r>
            <w:r w:rsidRPr="00A60B92">
              <w:t>ers for completion within acceptable timeframes and in accordance with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1.5</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 xml:space="preserve">Hazards are identified; OHS risks assessed and control measures are prioritised, implemented and monitored including emergency exits kept clear according </w:t>
            </w:r>
            <w:r w:rsidRPr="00A60B92">
              <w:t>to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1.6</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Relevant work permits are obtained to access and perform work according to requirements and/or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1.7</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Resources including personnel, equipment, tools and personal protective equipment required for t</w:t>
            </w:r>
            <w:r w:rsidRPr="00A60B92">
              <w:t>he job are obtained and confirmed in working order.</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1.8</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Relevant personnel at worksite are confirmed current in CPR, First Aid, and other rescue procedures according to requirements.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1.9</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Liaison and communication issues with other authorised personnel, authorities, clients and land owners are resolved to carry out work where necessary.</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1.10</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Site is prepared according to the work schedule and to minimise risk and damage to property, comm</w:t>
            </w:r>
            <w:r w:rsidRPr="00A60B92">
              <w:t>erce, and individuals in accordance with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1.11</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Personnel participating in the work, including plant operators and contractors, are fully briefed and respective responsibilities confirmed where applicable in accordance with establi</w:t>
            </w:r>
            <w:r w:rsidRPr="00A60B92">
              <w:t>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1.12</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Rail/road signs, barriers and warning devices are positioned in accordance with requirements.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1.13</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Environmental constraints applicable to work are identified and control measures applied.</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w:t>
            </w:r>
          </w:p>
        </w:tc>
        <w:tc>
          <w:tcPr>
            <w:tcW w:w="2291"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Carry out the maintenance of overhead traction configurations</w:t>
            </w: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2.1</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OHS and sustainable energy principles and practices to reduce the incidents of accidents and minimise waste are monitored and followed in accordance with requirements and/or established proc</w:t>
            </w:r>
            <w:r w:rsidRPr="00A60B92">
              <w:t>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2.2</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Lifting, climbing, working aloft, use of power tools/equipment, techniques and practices are safely followed and, currency according to requirements confirmed.</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2.3</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Systems and circuits are isolated as required, proved safe to work on in a</w:t>
            </w:r>
            <w:r w:rsidRPr="00A60B92">
              <w:t>ccordance with the requirements/permits and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2.4</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 xml:space="preserve">Essential knowledge and associated skills are applied in the safe maintenance of overhead traction configurations to ensure completion in an </w:t>
            </w:r>
            <w:r w:rsidRPr="00A60B92">
              <w:t>agreed timeframe and, to quality standards with a minimum of waste according to requirements.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2.5</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Electrical equipment and associated hardware is tested in accordance with requirements and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2.6</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Maintenance, including repair and</w:t>
            </w:r>
            <w:r w:rsidRPr="00A60B92">
              <w:t>/or replacement of overhead traction configurations is carried out, in accordance with the work schedule and requirements/established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2.7</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 xml:space="preserve">Hazard warnings and safety signs are recognised and hazards and assessed OHS risks are reported to the </w:t>
            </w:r>
            <w:r w:rsidRPr="00A60B92">
              <w:t>immediate authorised persons for directions according to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2.8</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Unplanned events during the maintenance of overhead traction configurations are undertaken within the scope of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2.9</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Known solutions to a variety of problems are applied using acquired essential knowledge and associated skills.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2.10</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Ongoing checks of quality of the work are undertaken in accordance with instructions and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3</w:t>
            </w:r>
          </w:p>
        </w:tc>
        <w:tc>
          <w:tcPr>
            <w:tcW w:w="2291"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Complete the maintena</w:t>
            </w:r>
            <w:r w:rsidRPr="00A60B92">
              <w:t>nce of overhead traction configurations</w:t>
            </w: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3.1</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Work undertaken is checked and tested against works schedule for conformance with requirements and anomalies reported in accordance with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3.2</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Work site is rehabilitated, cleaned up and m</w:t>
            </w:r>
            <w:r w:rsidRPr="00A60B92">
              <w:t>ade safe in accordance with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3.3</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Tools, equipment and any surplus resources and materials are, where appropriate, cleaned, checked and returned to storage in accordance with established procedures.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3.4</w:t>
            </w:r>
          </w:p>
        </w:tc>
        <w:tc>
          <w:tcPr>
            <w:tcW w:w="4904"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Relevant work permit(s) are signed off after final inspections and recommissioning checks. The system is energised, tested and returned to service in accordance with requirements.</w:t>
            </w:r>
          </w:p>
        </w:tc>
      </w:tr>
      <w:tr w:rsidTr="006C4E69">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t>3.5</w:t>
            </w:r>
          </w:p>
        </w:tc>
        <w:tc>
          <w:tcPr>
            <w:tcW w:w="4904"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Works completion records, reports, as installed /modified drawing and</w:t>
            </w:r>
            <w:r w:rsidRPr="00A60B92">
              <w:t>/or documentation and information are finalised and processed and appropriate personnel notified.</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9" w:name="O_465302"/>
      <w:bookmarkEnd w:id="9"/>
      <w:r w:rsidRPr="00A60B92">
        <w:t>Required Skills and Knowledge</w:t>
      </w:r>
    </w:p>
    <w:tbl>
      <w:tblPr>
        <w:tblW w:w="0" w:type="auto"/>
        <w:tblLayout w:type="fixed"/>
        <w:tblCellMar>
          <w:left w:w="62" w:type="dxa"/>
          <w:right w:w="62" w:type="dxa"/>
        </w:tblCellMar>
        <w:tblLook w:val="0000"/>
      </w:tblPr>
      <w:tblGrid>
        <w:gridCol w:w="8460"/>
      </w:tblGrid>
      <w:tr w:rsidTr="006C4E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REQUIRED SKILLS AND KNOWLEDGE</w:t>
            </w:r>
          </w:p>
        </w:tc>
      </w:tr>
      <w:tr w:rsidTr="006C4E6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8)</w:t>
            </w:r>
            <w:r w:rsidRPr="00A60B92">
              <w:t xml:space="preserve"> Essential Knowledge and Associat</w:t>
            </w:r>
            <w:r w:rsidRPr="00A60B92">
              <w:t>ed Skills (EKAS): This describes the essential skills and knowledge and their level, required for this unit.</w:t>
            </w:r>
          </w:p>
          <w:p w:rsidR="00000000" w:rsidRPr="00A60B92" w:rsidP="00A60B92">
            <w:pPr>
              <w:pStyle w:val="BodyText"/>
            </w:pPr>
            <w:r w:rsidRPr="00A60B92">
              <w:t>Evidence shall show that knowledge of maintaining overhead traction configurations has been acquired.</w:t>
            </w:r>
          </w:p>
          <w:p w:rsidR="00000000" w:rsidRPr="00A60B92" w:rsidP="00A60B92">
            <w:pPr>
              <w:pStyle w:val="BodyText"/>
            </w:pPr>
            <w:r w:rsidRPr="00A60B92">
              <w:t>All knowledge and skills detailed in this uni</w:t>
            </w:r>
            <w:r w:rsidRPr="00A60B92">
              <w:t>t should be contextualised to current industry practices and technologies.</w:t>
            </w:r>
          </w:p>
          <w:p w:rsidR="00000000" w:rsidRPr="00A60B92" w:rsidP="00A60B92">
            <w:pPr>
              <w:pStyle w:val="BodyText"/>
            </w:pPr>
            <w:r w:rsidRPr="00A60B92">
              <w:t>KS01-TRT26A</w:t>
            </w:r>
            <w:r w:rsidRPr="00A60B92">
              <w:tab/>
              <w:t>Maintain overhead traction configurations</w:t>
            </w:r>
          </w:p>
          <w:p w:rsidR="00000000" w:rsidRPr="00A60B92" w:rsidP="00A60B92">
            <w:pPr>
              <w:pStyle w:val="BodyText"/>
            </w:pPr>
            <w:r w:rsidRPr="00A60B92">
              <w:t>Evidence shall show an understanding of the maintenance of overhead traction configurations indicated by the following aspects:</w:t>
            </w:r>
          </w:p>
          <w:p w:rsidR="00000000" w:rsidRPr="00A60B92" w:rsidP="00A60B92">
            <w:pPr>
              <w:pStyle w:val="BodyText"/>
            </w:pPr>
            <w:r w:rsidRPr="00A60B92">
              <w:t>T1</w:t>
            </w:r>
            <w:r w:rsidRPr="00A60B92">
              <w:tab/>
              <w:t>Traction configuration principles encompassing:</w:t>
            </w:r>
          </w:p>
          <w:p w:rsidR="00000000" w:rsidRPr="00A60B92" w:rsidP="00A60B92">
            <w:pPr>
              <w:pStyle w:val="ListBullet"/>
            </w:pPr>
            <w:r w:rsidRPr="00A60B92">
              <w:t>Types</w:t>
            </w:r>
          </w:p>
          <w:p w:rsidR="00000000" w:rsidRPr="00A60B92" w:rsidP="00A60B92">
            <w:pPr>
              <w:pStyle w:val="ListBullet"/>
            </w:pPr>
            <w:r w:rsidRPr="00A60B92">
              <w:t>Purpose</w:t>
            </w:r>
          </w:p>
          <w:p w:rsidR="00000000" w:rsidRPr="00A60B92" w:rsidP="00A60B92">
            <w:pPr>
              <w:pStyle w:val="ListBullet"/>
            </w:pPr>
            <w:r w:rsidRPr="00A60B92">
              <w:t>Assemblies</w:t>
            </w:r>
          </w:p>
          <w:p w:rsidR="00000000" w:rsidRPr="00A60B92" w:rsidP="00A60B92">
            <w:pPr>
              <w:pStyle w:val="ListBullet"/>
            </w:pPr>
            <w:r w:rsidRPr="00A60B92">
              <w:t>Sub-assemblies</w:t>
            </w:r>
          </w:p>
          <w:p w:rsidR="00000000" w:rsidRPr="00A60B92" w:rsidP="00A60B92">
            <w:pPr>
              <w:pStyle w:val="ListBullet"/>
            </w:pPr>
            <w:r w:rsidRPr="00A60B92">
              <w:t>Components</w:t>
            </w:r>
          </w:p>
          <w:p w:rsidR="00000000" w:rsidRPr="00A60B92" w:rsidP="00A60B92">
            <w:pPr>
              <w:pStyle w:val="BodyText"/>
            </w:pPr>
            <w:r w:rsidRPr="00A60B92">
              <w:t>T2</w:t>
            </w:r>
            <w:r w:rsidRPr="00A60B92">
              <w:tab/>
              <w:t>Maintenance of traction configurations encompassing:</w:t>
            </w:r>
          </w:p>
          <w:p w:rsidR="00000000" w:rsidRPr="00A60B92" w:rsidP="00A60B92">
            <w:pPr>
              <w:pStyle w:val="ListBullet"/>
            </w:pPr>
            <w:r w:rsidRPr="00A60B92">
              <w:t>Types of components</w:t>
            </w:r>
          </w:p>
          <w:p w:rsidR="00000000" w:rsidRPr="00A60B92" w:rsidP="00A60B92">
            <w:pPr>
              <w:pStyle w:val="ListBullet"/>
            </w:pPr>
            <w:r w:rsidRPr="00A60B92">
              <w:t>Types and function of tools and equipment</w:t>
            </w:r>
          </w:p>
          <w:p w:rsidR="00000000" w:rsidRPr="00A60B92" w:rsidP="00A60B92">
            <w:pPr>
              <w:pStyle w:val="ListBullet"/>
            </w:pPr>
            <w:r w:rsidRPr="00A60B92">
              <w:t>Maintenance/repair procedures</w:t>
            </w:r>
          </w:p>
          <w:p w:rsidR="00000000" w:rsidRPr="00A60B92" w:rsidP="00A60B92">
            <w:pPr>
              <w:pStyle w:val="ListBullet"/>
            </w:pPr>
            <w:r w:rsidRPr="00A60B92">
              <w:t>Inspection and recording procedures</w:t>
            </w:r>
          </w:p>
          <w:p w:rsidR="00000000" w:rsidRPr="00A60B92" w:rsidP="00A60B92">
            <w:pPr>
              <w:pStyle w:val="BodyText"/>
            </w:pPr>
            <w:r w:rsidRPr="00A60B92">
              <w:t>T3</w:t>
            </w:r>
            <w:r w:rsidRPr="00A60B92">
              <w:tab/>
              <w:t>Diagnose and correct simple faults in specific traction configurations encompassing:</w:t>
            </w:r>
          </w:p>
          <w:p w:rsidR="00000000" w:rsidRPr="00A60B92" w:rsidP="00A60B92">
            <w:pPr>
              <w:pStyle w:val="ListBullet"/>
            </w:pPr>
            <w:r w:rsidRPr="00A60B92">
              <w:t>Types and causes</w:t>
            </w:r>
          </w:p>
          <w:p w:rsidR="00000000" w:rsidRPr="00A60B92" w:rsidP="00A60B92">
            <w:pPr>
              <w:pStyle w:val="ListBullet"/>
            </w:pPr>
            <w:r w:rsidRPr="00A60B92">
              <w:t>Determination of appropriate corrective actions</w:t>
            </w:r>
          </w:p>
          <w:p w:rsidR="00000000" w:rsidRPr="00A60B92" w:rsidP="00A60B92">
            <w:pPr>
              <w:pStyle w:val="ListBullet"/>
            </w:pPr>
            <w:r w:rsidRPr="00A60B92">
              <w:t>Repair and replace procedures for components of specific configura</w:t>
            </w:r>
            <w:r w:rsidRPr="00A60B92">
              <w:t>tions</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10" w:name="O_465297"/>
      <w:bookmarkEnd w:id="10"/>
      <w:r w:rsidRPr="00A60B92">
        <w:t>Evidence Guide</w:t>
      </w:r>
    </w:p>
    <w:tbl>
      <w:tblPr>
        <w:tblW w:w="0" w:type="auto"/>
        <w:tblLayout w:type="fixed"/>
        <w:tblCellMar>
          <w:left w:w="62" w:type="dxa"/>
          <w:right w:w="62" w:type="dxa"/>
        </w:tblCellMar>
        <w:tblLook w:val="0000"/>
      </w:tblPr>
      <w:tblGrid>
        <w:gridCol w:w="8460"/>
      </w:tblGrid>
      <w:tr w:rsidTr="006C4E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EVIDENCE GUIDE</w:t>
            </w:r>
          </w:p>
        </w:tc>
      </w:tr>
      <w:tr w:rsidTr="006C4E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9)</w:t>
            </w:r>
            <w:r w:rsidRPr="00A60B92">
              <w:t xml:space="preserve"> This provides essential advice for assessment of the competency standard unit and must be read </w:t>
            </w:r>
            <w:r w:rsidRPr="00A60B92">
              <w:t>in conjunction with the Performance Criteria and the range statement of the competency standard unit and the Training Package Assessment Guidelines.</w:t>
            </w:r>
          </w:p>
          <w:p w:rsidR="00000000" w:rsidRPr="00A60B92" w:rsidP="00A60B92">
            <w:pPr>
              <w:pStyle w:val="BodyText"/>
            </w:pPr>
            <w:r w:rsidRPr="00A60B92">
              <w:t>The Evidence Guide forms an integral part of this Competency Standard Unit and shall be used in conjunction</w:t>
            </w:r>
            <w:r w:rsidRPr="00A60B92">
              <w:t xml:space="preserve"> with all component parts of this unit and, performed in accordance with the Assessment Guidelines of this Training Package.</w:t>
            </w:r>
          </w:p>
        </w:tc>
      </w:tr>
    </w:tbl>
    <w:p w:rsidR="00000000" w:rsidRPr="00A60B92" w:rsidP="00A60B92">
      <w:pPr>
        <w:pStyle w:val="BodyText"/>
      </w:pPr>
    </w:p>
    <w:tbl>
      <w:tblPr>
        <w:tblW w:w="0" w:type="auto"/>
        <w:tblLayout w:type="fixed"/>
        <w:tblCellMar>
          <w:left w:w="62" w:type="dxa"/>
          <w:right w:w="62" w:type="dxa"/>
        </w:tblCellMar>
        <w:tblLook w:val="0000"/>
      </w:tblPr>
      <w:tblGrid>
        <w:gridCol w:w="1890"/>
        <w:gridCol w:w="6570"/>
      </w:tblGrid>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9.1)</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Longitudinal competency development approaches to assessment, such as Profiling, require data to be</w:t>
            </w:r>
            <w:r w:rsidRPr="00A60B92">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A60B92">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A60B92">
              <w:t>assessment in part or full can occur outside the workplace. However, it must be in accord with Industry and, Regulatory policy in this regard.</w:t>
            </w:r>
          </w:p>
          <w:p w:rsidR="00000000" w:rsidRPr="00A60B92" w:rsidP="00A60B92">
            <w:pPr>
              <w:pStyle w:val="BodyText"/>
            </w:pPr>
            <w:r w:rsidRPr="00A60B92">
              <w:t>Methods chosen for a particular assessment will be influenced by various factors. These include the extent of the</w:t>
            </w:r>
            <w:r w:rsidRPr="00A60B92">
              <w:t xml:space="preserve"> assessment, the most effective locations for the assessment activities to take place, access to physical resources, additional safety measures that may be required and the critical nature of the competencies being assessed.</w:t>
            </w:r>
          </w:p>
          <w:p w:rsidR="00000000" w:rsidRPr="00A60B92" w:rsidP="00A60B92">
            <w:pPr>
              <w:pStyle w:val="BodyText"/>
            </w:pPr>
            <w:r w:rsidRPr="00A60B92">
              <w:t>The critical safety nature of w</w:t>
            </w:r>
            <w:r w:rsidRPr="00A60B92">
              <w:t>orking with electricity, electrical equipment, gas or any other hazardous substance/material carries risk in deeming a person competent. Hence, sources of evidence need to be ‘rich’ in nature so as to minimise error in judgment.</w:t>
            </w:r>
          </w:p>
          <w:p w:rsidR="00000000" w:rsidRPr="00A60B92" w:rsidP="00A60B92">
            <w:pPr>
              <w:pStyle w:val="BodyText"/>
            </w:pPr>
            <w:r w:rsidRPr="00A60B92">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60B92">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A60B92">
              <w:t>of this Training Package.</w:t>
            </w:r>
          </w:p>
        </w:tc>
      </w:tr>
    </w:tbl>
    <w:p w:rsidR="00000000" w:rsidRPr="00A60B92" w:rsidP="00A60B9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9.2)</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Before the critical aspects of evidence are considered all prerequisites shall be met.</w:t>
            </w:r>
          </w:p>
          <w:p w:rsidR="00000000" w:rsidRPr="00A60B92" w:rsidP="00A60B92">
            <w:pPr>
              <w:pStyle w:val="BodyText"/>
            </w:pPr>
            <w:r w:rsidRPr="00A60B92">
              <w:t>Evidence for competence in this unit shall be consider</w:t>
            </w:r>
            <w:r w:rsidRPr="00A60B92">
              <w:t>ed holistically. Each element and associated Performance Criteria shall be demonstrated on at least two occasions in accordance with the “Assessment Guidelines – UET12”. Evidence shall also comprise:</w:t>
            </w:r>
          </w:p>
          <w:p w:rsidR="00000000" w:rsidRPr="00A60B92" w:rsidP="00A60B92">
            <w:pPr>
              <w:pStyle w:val="ListBullet"/>
            </w:pPr>
            <w:r w:rsidRPr="00A60B92">
              <w:t>A representative body of Performance Criteria demonstra</w:t>
            </w:r>
            <w:r w:rsidRPr="00A60B92">
              <w:t>ted within the timeframes typically expected of the discipline, work function and industrial environment. In particular this shall incorporate evidence that shows a candidate is able to:</w:t>
            </w:r>
          </w:p>
          <w:p w:rsidR="00000000" w:rsidRPr="00A60B92" w:rsidP="00A60B92">
            <w:pPr>
              <w:pStyle w:val="ListBullet2"/>
            </w:pPr>
            <w:r w:rsidRPr="00A60B92">
              <w:t xml:space="preserve">Implement Occupational Health and Safety </w:t>
            </w:r>
            <w:r w:rsidRPr="00A60B92">
              <w:t>workplace procedures and practices including the use of risk control measures as specified in the Performance Criteria and range; and</w:t>
            </w:r>
          </w:p>
          <w:p w:rsidR="00000000" w:rsidRPr="00A60B92" w:rsidP="00A60B92">
            <w:pPr>
              <w:pStyle w:val="ListBullet2"/>
            </w:pPr>
            <w:r w:rsidRPr="00A60B92">
              <w:t>Apply sustainable energy principles and practices as specified in the Performance Criteria and range; and</w:t>
            </w:r>
          </w:p>
          <w:p w:rsidR="00000000" w:rsidRPr="00A60B92" w:rsidP="00A60B92">
            <w:pPr>
              <w:pStyle w:val="ListBullet2"/>
            </w:pPr>
            <w:r w:rsidRPr="00A60B92">
              <w:t>Demonstrate an u</w:t>
            </w:r>
            <w:r w:rsidRPr="00A60B92">
              <w:t>nderstanding of the essential knowledge and associated skills as described in this unit to such an extent that the learner’s performance outcome is reported in accordance with the preferred approach; namely a percentile graded result, where required by the</w:t>
            </w:r>
            <w:r w:rsidRPr="00A60B92">
              <w:t xml:space="preserve"> regulated environment; and</w:t>
            </w:r>
          </w:p>
          <w:p w:rsidR="00000000" w:rsidRPr="00A60B92" w:rsidP="00A60B92">
            <w:pPr>
              <w:pStyle w:val="ListBullet2"/>
            </w:pPr>
            <w:r w:rsidRPr="00A60B92">
              <w:t>Demonstrate an appropriate level of employability skills; and</w:t>
            </w:r>
          </w:p>
          <w:p w:rsidR="00000000" w:rsidRPr="00A60B92" w:rsidP="00A60B92">
            <w:pPr>
              <w:pStyle w:val="ListBullet"/>
            </w:pPr>
            <w:r w:rsidRPr="00A60B92">
              <w:t>Conduct work observing the relevant Anti Discrimination legislation, regulations, policies and workplace procedures; and</w:t>
            </w:r>
          </w:p>
          <w:p w:rsidR="00000000" w:rsidP="00A60B92">
            <w:pPr>
              <w:pStyle w:val="ListBullet2"/>
              <w:rPr>
                <w:lang w:val="en-NZ"/>
              </w:rPr>
            </w:pPr>
            <w:r w:rsidRPr="00A60B92">
              <w:t>Demonstrated performance across a represent</w:t>
            </w:r>
            <w:r w:rsidRPr="00A60B92">
              <w:t>ative range of contexts from the prescribed items below:</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60B9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rPr>
                <w:rStyle w:val="SpecialBold"/>
              </w:rPr>
              <w:t>Range of tools/equipment/materials/procedures/workplaces/other variables</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60B9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B92" w:rsidP="00A60B92">
            <w:pPr>
              <w:pStyle w:val="BodyText"/>
            </w:pPr>
            <w:r w:rsidRPr="00A60B9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B92" w:rsidP="00A60B92">
            <w:pPr>
              <w:pStyle w:val="BodyText"/>
            </w:pPr>
            <w:r w:rsidRPr="00A60B9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rPr>
                <w:rStyle w:val="SpecialBold"/>
              </w:rPr>
              <w:t>Item List</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B92" w:rsidP="00A60B92">
            <w:pPr>
              <w:pStyle w:val="BodyText"/>
            </w:pPr>
            <w:r w:rsidRPr="00A60B92">
              <w:t>Overlap</w:t>
            </w:r>
          </w:p>
          <w:p w:rsidR="00000000" w:rsidRPr="00A60B92" w:rsidP="00A60B92">
            <w:pPr>
              <w:pStyle w:val="BodyText"/>
            </w:pPr>
            <w:r w:rsidRPr="00A60B92">
              <w:t>Cross-over</w:t>
            </w:r>
          </w:p>
          <w:p w:rsidR="00000000" w:rsidRPr="00A60B92" w:rsidP="00A60B92">
            <w:pPr>
              <w:pStyle w:val="BodyText"/>
            </w:pPr>
            <w:r w:rsidRPr="00A60B92">
              <w:t>Turnout crossings</w:t>
            </w:r>
          </w:p>
          <w:p w:rsidR="00000000" w:rsidP="00A60B92">
            <w:pPr>
              <w:pStyle w:val="BodyText"/>
              <w:rPr>
                <w:lang w:val="en-NZ"/>
              </w:rPr>
            </w:pPr>
            <w:r w:rsidRPr="00A60B92">
              <w:t>Train/tram crossing</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B92" w:rsidP="00A60B92">
            <w:pPr>
              <w:pStyle w:val="BodyText"/>
            </w:pPr>
            <w:r w:rsidRPr="00A60B92">
              <w:t>Elevating work platform</w:t>
            </w:r>
          </w:p>
          <w:p w:rsidR="00000000" w:rsidP="00A60B92">
            <w:pPr>
              <w:pStyle w:val="BodyText"/>
              <w:rPr>
                <w:lang w:val="en-NZ"/>
              </w:rPr>
            </w:pPr>
            <w:r w:rsidRPr="00A60B92">
              <w:t>Road/rail traction height access equipment, ladders</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B92" w:rsidP="00A60B92">
            <w:pPr>
              <w:pStyle w:val="BodyText"/>
            </w:pPr>
            <w:r w:rsidRPr="00A60B92">
              <w:t>Height gauge</w:t>
            </w:r>
          </w:p>
          <w:p w:rsidR="00000000" w:rsidRPr="00A60B92" w:rsidP="00A60B92">
            <w:pPr>
              <w:pStyle w:val="BodyText"/>
            </w:pPr>
            <w:r w:rsidRPr="00A60B92">
              <w:t>Stagger gauge</w:t>
            </w:r>
          </w:p>
          <w:p w:rsidR="00000000" w:rsidP="00A60B92">
            <w:pPr>
              <w:pStyle w:val="BodyText"/>
              <w:rPr>
                <w:lang w:val="en-NZ"/>
              </w:rPr>
            </w:pPr>
            <w:r w:rsidRPr="00A60B92">
              <w:t>Cant gauge</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B92" w:rsidP="00A60B92">
            <w:pPr>
              <w:pStyle w:val="BodyText"/>
            </w:pPr>
            <w:r w:rsidRPr="00A60B92">
              <w:t>Voltage detector (LV or HV)</w:t>
            </w:r>
          </w:p>
          <w:p w:rsidR="00000000" w:rsidRPr="00A60B92" w:rsidP="00A60B92">
            <w:pPr>
              <w:pStyle w:val="BodyText"/>
            </w:pPr>
            <w:r w:rsidRPr="00A60B92">
              <w:t>Voltmeter</w:t>
            </w:r>
          </w:p>
          <w:p w:rsidR="00000000" w:rsidRPr="00A60B92" w:rsidP="00A60B92">
            <w:pPr>
              <w:pStyle w:val="BodyText"/>
            </w:pPr>
            <w:r w:rsidRPr="00A60B92">
              <w:t>Insulation resistance tester</w:t>
            </w:r>
          </w:p>
          <w:p w:rsidR="00000000" w:rsidP="00A60B92">
            <w:pPr>
              <w:pStyle w:val="BodyText"/>
              <w:rPr>
                <w:lang w:val="en-NZ"/>
              </w:rPr>
            </w:pPr>
            <w:r w:rsidRPr="00A60B92">
              <w:t>Field intensity tester</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B92">
            <w:pPr>
              <w:pStyle w:val="BodyText"/>
              <w:rPr>
                <w:lang w:val="en-NZ"/>
              </w:rPr>
            </w:pPr>
            <w:r w:rsidRPr="00A60B9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B92" w:rsidP="00A60B92">
            <w:pPr>
              <w:pStyle w:val="BodyText"/>
            </w:pPr>
            <w:r w:rsidRPr="00A60B92">
              <w:t>Dealing with an unplanned event by drawing on essential knowledge and associat</w:t>
            </w:r>
            <w:r w:rsidRPr="00A60B92">
              <w:t>ed skills to provide appropriate solutions incorporated in the holistic assessment with the above listed items.</w:t>
            </w:r>
          </w:p>
        </w:tc>
      </w:tr>
    </w:tbl>
    <w:p w:rsidR="00000000" w:rsidRPr="00A60B92" w:rsidP="00A60B92">
      <w:pPr>
        <w:pStyle w:val="BodyText"/>
      </w:pPr>
    </w:p>
    <w:tbl>
      <w:tblPr>
        <w:tblW w:w="0" w:type="auto"/>
        <w:tblLayout w:type="fixed"/>
        <w:tblCellMar>
          <w:left w:w="62" w:type="dxa"/>
          <w:right w:w="62" w:type="dxa"/>
        </w:tblCellMar>
        <w:tblLook w:val="0000"/>
      </w:tblPr>
      <w:tblGrid>
        <w:gridCol w:w="1890"/>
        <w:gridCol w:w="6570"/>
      </w:tblGrid>
      <w:tr w:rsidTr="006C4E6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9.3)</w:t>
            </w:r>
          </w:p>
        </w:tc>
      </w:tr>
      <w:tr w:rsidTr="006C4E6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This unit should be assessed as it relates to normal work practice using procedures, information and resources typical of a workplace. This should include:</w:t>
            </w:r>
          </w:p>
          <w:p w:rsidR="00000000" w:rsidRPr="00A60B92" w:rsidP="00A60B92">
            <w:pPr>
              <w:pStyle w:val="ListBullet"/>
            </w:pPr>
            <w:r w:rsidRPr="00A60B92">
              <w:t>OHS policy and work procedures and instructions.</w:t>
            </w:r>
          </w:p>
          <w:p w:rsidR="00000000" w:rsidRPr="00A60B92" w:rsidP="00A60B92">
            <w:pPr>
              <w:pStyle w:val="ListBullet"/>
            </w:pPr>
            <w:r w:rsidRPr="00A60B92">
              <w:t xml:space="preserve">Suitable work environment, facilities, equipment and materials to undertake actual maintenance of overhead traction configuration. </w:t>
            </w:r>
          </w:p>
          <w:p w:rsidR="00000000" w:rsidRPr="00A60B92" w:rsidP="00A60B92">
            <w:pPr>
              <w:pStyle w:val="BodyText"/>
            </w:pPr>
            <w:r w:rsidRPr="00A60B92">
              <w:t>In addition to the resources listed above, in context of and specific resources for assessment, evidence should show demonst</w:t>
            </w:r>
            <w:r w:rsidRPr="00A60B92">
              <w:t>rated competency working below ground, in limited spaces, with different structural/construction types and method and in a variety of environments.</w:t>
            </w:r>
          </w:p>
        </w:tc>
      </w:tr>
    </w:tbl>
    <w:p w:rsidR="00000000" w:rsidRPr="00A60B92" w:rsidP="00A60B92">
      <w:pPr>
        <w:pStyle w:val="BodyText"/>
      </w:pPr>
    </w:p>
    <w:tbl>
      <w:tblPr>
        <w:tblW w:w="0" w:type="auto"/>
        <w:tblLayout w:type="fixed"/>
        <w:tblCellMar>
          <w:left w:w="62" w:type="dxa"/>
          <w:right w:w="62" w:type="dxa"/>
        </w:tblCellMar>
        <w:tblLook w:val="0000"/>
      </w:tblPr>
      <w:tblGrid>
        <w:gridCol w:w="1890"/>
        <w:gridCol w:w="6570"/>
      </w:tblGrid>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9.4)</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This Competency Standard Unit shall be assessed by methods given in Volume 1, Part 3 “Assessment Guidelines”.</w:t>
            </w:r>
          </w:p>
          <w:p w:rsidR="00000000" w:rsidRPr="00A60B92" w:rsidP="00A60B92">
            <w:pPr>
              <w:pStyle w:val="BodyText"/>
            </w:pPr>
            <w:r w:rsidRPr="00A60B92">
              <w:t>Note:</w:t>
            </w:r>
          </w:p>
          <w:p w:rsidR="00000000" w:rsidRPr="00A60B92" w:rsidP="00A60B92">
            <w:pPr>
              <w:pStyle w:val="BodyText"/>
            </w:pPr>
            <w:r w:rsidRPr="00A60B92">
              <w:t>Competent performance with inherent safe working practices is expected in the Transmission, Distribution and Rail Traction Industry. This re</w:t>
            </w:r>
            <w:r w:rsidRPr="00A60B92">
              <w:t>quires that the specified essential knowledge and associated skills are assessed in a structured environment which is primarily intended for learning/assessment and incorporates all necessary equipment and facilities for learners to develop and demonstrate</w:t>
            </w:r>
            <w:r w:rsidRPr="00A60B92">
              <w:t xml:space="preserve"> the essential knowledge and associated skills described in this unit.</w:t>
            </w:r>
          </w:p>
        </w:tc>
      </w:tr>
    </w:tbl>
    <w:p w:rsidR="00000000" w:rsidRPr="00A60B92" w:rsidP="00A60B92">
      <w:pPr>
        <w:pStyle w:val="BodyText"/>
      </w:pPr>
    </w:p>
    <w:tbl>
      <w:tblPr>
        <w:tblW w:w="0" w:type="auto"/>
        <w:tblLayout w:type="fixed"/>
        <w:tblCellMar>
          <w:left w:w="62" w:type="dxa"/>
          <w:right w:w="62" w:type="dxa"/>
        </w:tblCellMar>
        <w:tblLook w:val="0000"/>
      </w:tblPr>
      <w:tblGrid>
        <w:gridCol w:w="1890"/>
        <w:gridCol w:w="6570"/>
      </w:tblGrid>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9.5)</w:t>
            </w:r>
          </w:p>
        </w:tc>
      </w:tr>
      <w:tr w:rsidTr="006C4E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There are no concurrent assessment recommendations for this unit.</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11" w:name="O_465301"/>
      <w:bookmarkEnd w:id="11"/>
      <w:r w:rsidRPr="00A60B92">
        <w:t>Range Statement</w:t>
      </w:r>
    </w:p>
    <w:tbl>
      <w:tblPr>
        <w:tblW w:w="0" w:type="auto"/>
        <w:tblLayout w:type="fixed"/>
        <w:tblCellMar>
          <w:left w:w="62" w:type="dxa"/>
          <w:right w:w="62" w:type="dxa"/>
        </w:tblCellMar>
        <w:tblLook w:val="0000"/>
      </w:tblPr>
      <w:tblGrid>
        <w:gridCol w:w="8460"/>
      </w:tblGrid>
      <w:tr w:rsidTr="006C4E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RANGE STATEMENT</w:t>
            </w:r>
          </w:p>
        </w:tc>
      </w:tr>
      <w:tr w:rsidTr="006C4E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10)</w:t>
            </w:r>
            <w:r w:rsidRPr="00A60B92">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A60B92" w:rsidP="00A60B92">
            <w:pPr>
              <w:pStyle w:val="BodyText"/>
            </w:pPr>
            <w:r w:rsidRPr="00A60B92">
              <w:t>This Competency Stand</w:t>
            </w:r>
            <w:r w:rsidRPr="00A60B92">
              <w:t>ard Unit shall be demonstrated in relation to the maintenance and pre-commissioning tests of overhead traction configurations according to work plans, encompassing the isolation of systems and circuits for safe working.</w:t>
            </w:r>
          </w:p>
          <w:p w:rsidR="00000000" w:rsidRPr="00A60B92" w:rsidP="00A60B92">
            <w:pPr>
              <w:pStyle w:val="BodyText"/>
            </w:pPr>
            <w:r w:rsidRPr="00A60B92">
              <w:t>Maintenance includes the carrying ou</w:t>
            </w:r>
            <w:r w:rsidRPr="00A60B92">
              <w:t>t of diagnostics and tests on structures, conductors, equipment, systems as well as the removal, repair and replacement of cables, conductors, and associated hardware and returning such to operational service. It includes the repair and/or replacement of “</w:t>
            </w:r>
            <w:r w:rsidRPr="00A60B92">
              <w:t>like for like” electrical equipment and associated hardware</w:t>
            </w:r>
          </w:p>
          <w:p w:rsidR="00000000" w:rsidRPr="00A60B92" w:rsidP="00A60B92">
            <w:pPr>
              <w:pStyle w:val="BodyText"/>
            </w:pPr>
            <w:r w:rsidRPr="00A60B92">
              <w:t>Types of track configurations that relate to overhead wiring and may include, overlaps, cross-overs, turnouts, 15 – 90 degree crossings, diamond crossings, insulated crossings, train/tram crossing</w:t>
            </w:r>
            <w:r w:rsidRPr="00A60B92">
              <w:t>, and tram frogs.</w:t>
            </w:r>
          </w:p>
          <w:p w:rsidR="00000000" w:rsidRPr="00A60B92" w:rsidP="00A60B92">
            <w:pPr>
              <w:pStyle w:val="BodyText"/>
            </w:pPr>
            <w:r w:rsidRPr="00A60B92">
              <w:t>Overhead traction systems include their associated earthing systems.</w:t>
            </w:r>
          </w:p>
          <w:p w:rsidR="00000000" w:rsidRPr="00A60B92" w:rsidP="00A60B92">
            <w:pPr>
              <w:pStyle w:val="BodyText"/>
            </w:pPr>
            <w:r w:rsidRPr="00A60B92">
              <w:t>Plant may include elevating work platforms, road rail traction height access equipment or ladder.</w:t>
            </w:r>
          </w:p>
          <w:p w:rsidR="00000000" w:rsidRPr="00A60B92" w:rsidP="00A60B92">
            <w:pPr>
              <w:pStyle w:val="BodyText"/>
            </w:pPr>
            <w:r w:rsidRPr="00A60B92">
              <w:t>Testing and recording equipment (LV) include voltage detectors, volt me</w:t>
            </w:r>
            <w:r w:rsidRPr="00A60B92">
              <w:t>ters and insulation resistance testers.</w:t>
            </w:r>
          </w:p>
          <w:p w:rsidR="00000000" w:rsidRPr="00A60B92" w:rsidP="00A60B92">
            <w:pPr>
              <w:pStyle w:val="BodyText"/>
            </w:pPr>
            <w:r w:rsidRPr="00A60B92">
              <w:t>Testing and recording equipment (HV) includes voltage detectors and field intensity testers.</w:t>
            </w:r>
          </w:p>
          <w:p w:rsidR="00000000" w:rsidRPr="00A60B92" w:rsidP="00A60B92">
            <w:pPr>
              <w:pStyle w:val="BodyText"/>
            </w:pPr>
            <w:r w:rsidRPr="00A60B92">
              <w:t xml:space="preserve">Permits may include access permits, permits to work and other relevant permits and documents by recognised bodies. </w:t>
            </w:r>
          </w:p>
          <w:p w:rsidR="00000000" w:rsidRPr="00A60B92" w:rsidP="00A60B92">
            <w:pPr>
              <w:pStyle w:val="BodyText"/>
            </w:pPr>
            <w:r w:rsidRPr="00A60B92">
              <w:t>The fol</w:t>
            </w:r>
            <w:r w:rsidRPr="00A60B92">
              <w:t>lowing constants and variables included in the element/Performance Criteria in this unit are fully described in the Definitions Section 1 of this volume and form an integral part of the Range Statement of this unit:</w:t>
            </w:r>
          </w:p>
          <w:p w:rsidR="00000000" w:rsidRPr="00A60B92" w:rsidP="00A60B92">
            <w:pPr>
              <w:pStyle w:val="ListBullet3"/>
            </w:pPr>
            <w:r w:rsidRPr="00A60B92">
              <w:t>Appropriate and relevant persons (see P</w:t>
            </w:r>
            <w:r w:rsidRPr="00A60B92">
              <w:t>ersonnel)</w:t>
            </w:r>
          </w:p>
          <w:p w:rsidR="00000000" w:rsidRPr="00A60B92" w:rsidP="00A60B92">
            <w:pPr>
              <w:pStyle w:val="ListBullet3"/>
            </w:pPr>
            <w:r w:rsidRPr="00A60B92">
              <w:t>Appropriate authorities</w:t>
            </w:r>
          </w:p>
          <w:p w:rsidR="00000000" w:rsidRPr="00A60B92" w:rsidP="00A60B92">
            <w:pPr>
              <w:pStyle w:val="ListBullet3"/>
            </w:pPr>
            <w:r w:rsidRPr="00A60B92">
              <w:t>Appropriate work platform</w:t>
            </w:r>
          </w:p>
          <w:p w:rsidR="00000000" w:rsidRPr="00A60B92" w:rsidP="00A60B92">
            <w:pPr>
              <w:pStyle w:val="ListBullet3"/>
            </w:pPr>
            <w:r w:rsidRPr="00A60B92">
              <w:t>Assessing risk</w:t>
            </w:r>
          </w:p>
          <w:p w:rsidR="00000000" w:rsidRPr="00A60B92" w:rsidP="00A60B92">
            <w:pPr>
              <w:pStyle w:val="ListBullet3"/>
            </w:pPr>
            <w:r w:rsidRPr="00A60B92">
              <w:t>Assessment</w:t>
            </w:r>
          </w:p>
          <w:p w:rsidR="00000000" w:rsidRPr="00A60B92" w:rsidP="00A60B92">
            <w:pPr>
              <w:pStyle w:val="ListBullet3"/>
            </w:pPr>
            <w:r w:rsidRPr="00A60B92">
              <w:t>Authorisation</w:t>
            </w:r>
          </w:p>
          <w:p w:rsidR="00000000" w:rsidRPr="00A60B92" w:rsidP="00A60B92">
            <w:pPr>
              <w:pStyle w:val="ListBullet3"/>
            </w:pPr>
            <w:r w:rsidRPr="00A60B92">
              <w:t>Confined space</w:t>
            </w:r>
          </w:p>
          <w:p w:rsidR="00000000" w:rsidRPr="00A60B92" w:rsidP="00A60B92">
            <w:pPr>
              <w:pStyle w:val="ListBullet3"/>
            </w:pPr>
            <w:r w:rsidRPr="00A60B92">
              <w:t>Diagnostic, testing and restoration</w:t>
            </w:r>
          </w:p>
          <w:p w:rsidR="00000000" w:rsidRPr="00A60B92" w:rsidP="00A60B92">
            <w:pPr>
              <w:pStyle w:val="ListBullet3"/>
            </w:pPr>
            <w:r w:rsidRPr="00A60B92">
              <w:t>Documenting detail of work events, record keeping and or storage of information</w:t>
            </w:r>
          </w:p>
          <w:p w:rsidR="00000000" w:rsidRPr="00A60B92" w:rsidP="00A60B92">
            <w:pPr>
              <w:pStyle w:val="ListBullet3"/>
            </w:pPr>
            <w:r w:rsidRPr="00A60B92">
              <w:t>Drawings and specifications</w:t>
            </w:r>
          </w:p>
          <w:p w:rsidR="00000000" w:rsidRPr="00A60B92" w:rsidP="00A60B92">
            <w:pPr>
              <w:pStyle w:val="ListBullet3"/>
            </w:pPr>
            <w:r w:rsidRPr="00A60B92">
              <w:t>Emergency</w:t>
            </w:r>
          </w:p>
          <w:p w:rsidR="00000000" w:rsidRPr="00A60B92" w:rsidP="00A60B92">
            <w:pPr>
              <w:pStyle w:val="ListBullet3"/>
            </w:pPr>
            <w:r w:rsidRPr="00A60B92">
              <w:t>Environmental and sustainable energy procedures</w:t>
            </w:r>
          </w:p>
          <w:p w:rsidR="00000000" w:rsidRPr="00A60B92" w:rsidP="00A60B92">
            <w:pPr>
              <w:pStyle w:val="ListBullet3"/>
            </w:pPr>
            <w:r w:rsidRPr="00A60B92">
              <w:t>Environmental legislation</w:t>
            </w:r>
          </w:p>
          <w:p w:rsidR="00000000" w:rsidRPr="00A60B92" w:rsidP="00A60B92">
            <w:pPr>
              <w:pStyle w:val="ListBullet3"/>
            </w:pPr>
            <w:r w:rsidRPr="00A60B92">
              <w:t>Environmental management documentation</w:t>
            </w:r>
          </w:p>
          <w:p w:rsidR="00000000" w:rsidRPr="00A60B92" w:rsidP="00A60B92">
            <w:pPr>
              <w:pStyle w:val="ListBullet3"/>
            </w:pPr>
            <w:r w:rsidRPr="00A60B92">
              <w:t>Established procedures</w:t>
            </w:r>
          </w:p>
          <w:p w:rsidR="00000000" w:rsidRPr="00A60B92" w:rsidP="00A60B92">
            <w:pPr>
              <w:pStyle w:val="ListBullet3"/>
            </w:pPr>
            <w:r w:rsidRPr="00A60B92">
              <w:t>Fall prevention</w:t>
            </w:r>
          </w:p>
          <w:p w:rsidR="00000000" w:rsidRPr="00A60B92" w:rsidP="00A60B92">
            <w:pPr>
              <w:pStyle w:val="ListBullet3"/>
            </w:pPr>
            <w:r w:rsidRPr="00A60B92">
              <w:t>Hazards</w:t>
            </w:r>
          </w:p>
          <w:p w:rsidR="00000000" w:rsidRPr="00A60B92" w:rsidP="00A60B92">
            <w:pPr>
              <w:pStyle w:val="ListBullet3"/>
            </w:pPr>
            <w:r w:rsidRPr="00A60B92">
              <w:t>Identifying hazards</w:t>
            </w:r>
          </w:p>
          <w:p w:rsidR="00000000" w:rsidRPr="00A60B92" w:rsidP="00A60B92">
            <w:pPr>
              <w:pStyle w:val="ListBullet3"/>
            </w:pPr>
            <w:r w:rsidRPr="00A60B92">
              <w:t>Inspect</w:t>
            </w:r>
          </w:p>
          <w:p w:rsidR="00000000" w:rsidRPr="00A60B92" w:rsidP="00A60B92">
            <w:pPr>
              <w:pStyle w:val="ListBullet3"/>
            </w:pPr>
            <w:r w:rsidRPr="00A60B92">
              <w:t>Legislation</w:t>
            </w:r>
          </w:p>
          <w:p w:rsidR="00000000" w:rsidRPr="00A60B92" w:rsidP="00A60B92">
            <w:pPr>
              <w:pStyle w:val="ListBullet3"/>
            </w:pPr>
            <w:r w:rsidRPr="00A60B92">
              <w:t>MSDS</w:t>
            </w:r>
          </w:p>
          <w:p w:rsidR="00000000" w:rsidRPr="00A60B92" w:rsidP="00A60B92">
            <w:pPr>
              <w:pStyle w:val="ListBullet3"/>
            </w:pPr>
            <w:r w:rsidRPr="00A60B92">
              <w:t>Notification</w:t>
            </w:r>
          </w:p>
          <w:p w:rsidR="00000000" w:rsidRPr="00A60B92" w:rsidP="00A60B92">
            <w:pPr>
              <w:pStyle w:val="ListBullet3"/>
            </w:pPr>
            <w:r w:rsidRPr="00A60B92">
              <w:t>OHS practices</w:t>
            </w:r>
          </w:p>
          <w:p w:rsidR="00000000" w:rsidRPr="00A60B92" w:rsidP="00A60B92">
            <w:pPr>
              <w:pStyle w:val="ListBullet3"/>
            </w:pPr>
            <w:r w:rsidRPr="00A60B92">
              <w:t>OHS issues</w:t>
            </w:r>
          </w:p>
          <w:p w:rsidR="00000000" w:rsidRPr="00A60B92" w:rsidP="00A60B92">
            <w:pPr>
              <w:pStyle w:val="ListBullet3"/>
            </w:pPr>
            <w:r w:rsidRPr="00A60B92">
              <w:t>Permits and/or permits to work</w:t>
            </w:r>
          </w:p>
          <w:p w:rsidR="00000000" w:rsidRPr="00A60B92" w:rsidP="00A60B92">
            <w:pPr>
              <w:pStyle w:val="ListBullet3"/>
            </w:pPr>
            <w:r w:rsidRPr="00A60B92">
              <w:t>Personnel</w:t>
            </w:r>
          </w:p>
          <w:p w:rsidR="00000000" w:rsidRPr="00A60B92" w:rsidP="00A60B92">
            <w:pPr>
              <w:pStyle w:val="ListBullet3"/>
            </w:pPr>
            <w:r w:rsidRPr="00A60B92">
              <w:t>Quality assurance systems</w:t>
            </w:r>
          </w:p>
          <w:p w:rsidR="00000000" w:rsidRPr="00A60B92" w:rsidP="00A60B92">
            <w:pPr>
              <w:pStyle w:val="ListBullet3"/>
            </w:pPr>
            <w:r w:rsidRPr="00A60B92">
              <w:t>Requirements</w:t>
            </w:r>
          </w:p>
          <w:p w:rsidR="00000000" w:rsidRPr="00A60B92" w:rsidP="00A60B92">
            <w:pPr>
              <w:pStyle w:val="ListBullet3"/>
            </w:pPr>
            <w:r w:rsidRPr="00A60B92">
              <w:t>Testing procedures</w:t>
            </w:r>
          </w:p>
          <w:p w:rsidR="00000000" w:rsidRPr="00A60B92" w:rsidP="00A60B92">
            <w:pPr>
              <w:pStyle w:val="ListBullet3"/>
            </w:pPr>
            <w:r w:rsidRPr="00A60B92">
              <w:t>Work clearance systems</w:t>
            </w:r>
          </w:p>
        </w:tc>
      </w:tr>
    </w:tbl>
    <w:p w:rsidR="00000000" w:rsidRPr="00A60B92" w:rsidP="00A60B92">
      <w:pPr>
        <w:pStyle w:val="BodyText"/>
      </w:pPr>
    </w:p>
    <w:p w:rsidR="00000000" w:rsidRPr="00A60B92" w:rsidP="00A60B92">
      <w:pPr>
        <w:pStyle w:val="AllowPageBreak"/>
      </w:pPr>
    </w:p>
    <w:p w:rsidR="00000000" w:rsidRPr="00A60B92" w:rsidP="00A60B92">
      <w:pPr>
        <w:pStyle w:val="Heading1"/>
      </w:pPr>
      <w:bookmarkStart w:id="12" w:name="O_465304"/>
      <w:bookmarkEnd w:id="12"/>
      <w:r w:rsidRPr="00A60B92">
        <w:t>Unit Sector(s)</w:t>
      </w:r>
    </w:p>
    <w:p w:rsidR="00000000" w:rsidRPr="00A60B92" w:rsidP="00A60B92">
      <w:pPr>
        <w:pStyle w:val="BodyText"/>
      </w:pPr>
      <w:r w:rsidRPr="00A60B92">
        <w:t>Not applicable.</w:t>
      </w:r>
    </w:p>
    <w:p w:rsidR="00000000" w:rsidRPr="00A60B92" w:rsidP="00A60B92">
      <w:pPr>
        <w:pStyle w:val="AllowPageBreak"/>
      </w:pPr>
    </w:p>
    <w:p w:rsidR="00000000" w:rsidRPr="00A60B92" w:rsidP="00A60B92">
      <w:pPr>
        <w:pStyle w:val="Heading1"/>
      </w:pPr>
      <w:bookmarkStart w:id="13" w:name="O_465293"/>
      <w:bookmarkEnd w:id="13"/>
      <w:r w:rsidRPr="00A60B92">
        <w:t>Competency Field</w:t>
      </w:r>
    </w:p>
    <w:tbl>
      <w:tblPr>
        <w:tblW w:w="0" w:type="auto"/>
        <w:tblLayout w:type="fixed"/>
        <w:tblCellMar>
          <w:left w:w="62" w:type="dxa"/>
          <w:right w:w="62" w:type="dxa"/>
        </w:tblCellMar>
        <w:tblLook w:val="0000"/>
      </w:tblPr>
      <w:tblGrid>
        <w:gridCol w:w="2700"/>
        <w:gridCol w:w="5760"/>
      </w:tblGrid>
      <w:tr w:rsidTr="006C4E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0B92">
            <w:pPr>
              <w:pStyle w:val="BodyText"/>
              <w:rPr>
                <w:lang w:val="en-NZ"/>
              </w:rPr>
            </w:pPr>
            <w:r w:rsidRPr="00A60B92">
              <w:rPr>
                <w:rStyle w:val="SpecialBold"/>
              </w:rPr>
              <w:t xml:space="preserve">11) </w:t>
            </w:r>
          </w:p>
        </w:tc>
      </w:tr>
      <w:tr w:rsidTr="006C4E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0B92" w:rsidP="00A60B92">
            <w:pPr>
              <w:pStyle w:val="BodyText"/>
            </w:pPr>
            <w:r w:rsidRPr="00A60B92">
              <w:t>Rail Traction Units</w:t>
            </w:r>
          </w:p>
        </w:tc>
      </w:tr>
    </w:tbl>
    <w:p w:rsidR="00000000" w:rsidRPr="00A60B92" w:rsidP="00A60B92">
      <w:pPr>
        <w:pStyle w:val="BodyText"/>
      </w:pPr>
    </w:p>
    <w:p w:rsidR="00000000" w:rsidRPr="00A60B92" w:rsidP="00A60B92"/>
    <w:sectPr w:rsidSect="00A60B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E69" w:rsidP="006C4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E69" w:rsidP="00A60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C4E69" w:rsidP="00A60B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C4E69" w:rsidP="00A60B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E69" w:rsidP="006C4E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E69" w:rsidP="00A60B92">
    <w:pPr>
      <w:pStyle w:val="Header"/>
      <w:framePr w:wrap="around"/>
    </w:pPr>
    <w:r>
      <w:fldChar w:fldCharType="begin"/>
    </w:r>
    <w:r>
      <w:instrText xml:space="preserve"> TITLE   \* MERGEFORMAT </w:instrText>
    </w:r>
    <w:r>
      <w:fldChar w:fldCharType="separate"/>
    </w:r>
    <w:r>
      <w:t>UETTDRRT26A Maintain overhead rail traction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4E69" w:rsidP="00A60B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27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2AA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3CA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B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0B92"/>
    <w:pPr>
      <w:spacing w:before="360" w:after="60"/>
      <w:outlineLvl w:val="0"/>
    </w:pPr>
    <w:rPr>
      <w:sz w:val="32"/>
    </w:rPr>
  </w:style>
  <w:style w:type="paragraph" w:styleId="Heading2">
    <w:name w:val="heading 2"/>
    <w:basedOn w:val="HeadingBase"/>
    <w:next w:val="BodyText"/>
    <w:link w:val="Heading2Char"/>
    <w:qFormat/>
    <w:rsid w:val="00A60B92"/>
    <w:pPr>
      <w:keepLines/>
      <w:spacing w:before="240" w:after="120"/>
      <w:outlineLvl w:val="1"/>
    </w:pPr>
    <w:rPr>
      <w:sz w:val="28"/>
      <w:szCs w:val="40"/>
    </w:rPr>
  </w:style>
  <w:style w:type="paragraph" w:styleId="Heading3">
    <w:name w:val="heading 3"/>
    <w:basedOn w:val="HeadingBase"/>
    <w:next w:val="BodyText"/>
    <w:link w:val="Heading3Char"/>
    <w:qFormat/>
    <w:rsid w:val="00A60B92"/>
    <w:pPr>
      <w:spacing w:before="180" w:after="120"/>
      <w:outlineLvl w:val="2"/>
    </w:pPr>
    <w:rPr>
      <w:spacing w:val="-10"/>
      <w:kern w:val="32"/>
    </w:rPr>
  </w:style>
  <w:style w:type="paragraph" w:styleId="Heading4">
    <w:name w:val="heading 4"/>
    <w:basedOn w:val="HeadingBase"/>
    <w:next w:val="BodyText"/>
    <w:link w:val="Heading4Char"/>
    <w:qFormat/>
    <w:rsid w:val="00A60B92"/>
    <w:pPr>
      <w:spacing w:before="160" w:after="120"/>
      <w:outlineLvl w:val="3"/>
    </w:pPr>
    <w:rPr>
      <w:sz w:val="22"/>
    </w:rPr>
  </w:style>
  <w:style w:type="paragraph" w:styleId="Heading5">
    <w:name w:val="heading 5"/>
    <w:basedOn w:val="HeadingBase"/>
    <w:next w:val="Normal"/>
    <w:link w:val="Heading5Char"/>
    <w:qFormat/>
    <w:rsid w:val="00A60B92"/>
    <w:pPr>
      <w:spacing w:before="80"/>
      <w:outlineLvl w:val="4"/>
    </w:pPr>
    <w:rPr>
      <w:color w:val="918585"/>
      <w:sz w:val="20"/>
    </w:rPr>
  </w:style>
  <w:style w:type="paragraph" w:styleId="Heading6">
    <w:name w:val="heading 6"/>
    <w:basedOn w:val="HeadingBase"/>
    <w:next w:val="Normal"/>
    <w:link w:val="Heading6Char"/>
    <w:qFormat/>
    <w:rsid w:val="00A60B92"/>
    <w:pPr>
      <w:spacing w:before="60"/>
      <w:outlineLvl w:val="5"/>
    </w:pPr>
    <w:rPr>
      <w:color w:val="918585"/>
      <w:sz w:val="20"/>
    </w:rPr>
  </w:style>
  <w:style w:type="paragraph" w:styleId="Heading7">
    <w:name w:val="heading 7"/>
    <w:basedOn w:val="Normal"/>
    <w:next w:val="Normal"/>
    <w:link w:val="Heading7Char"/>
    <w:qFormat/>
    <w:rsid w:val="00A60B92"/>
    <w:pPr>
      <w:ind w:left="720"/>
      <w:outlineLvl w:val="6"/>
    </w:pPr>
    <w:rPr>
      <w:i/>
    </w:rPr>
  </w:style>
  <w:style w:type="paragraph" w:styleId="Heading8">
    <w:name w:val="heading 8"/>
    <w:basedOn w:val="Normal"/>
    <w:next w:val="Normal"/>
    <w:link w:val="Heading8Char"/>
    <w:qFormat/>
    <w:rsid w:val="00A60B92"/>
    <w:pPr>
      <w:ind w:left="720"/>
      <w:outlineLvl w:val="7"/>
    </w:pPr>
    <w:rPr>
      <w:i/>
    </w:rPr>
  </w:style>
  <w:style w:type="paragraph" w:styleId="Heading9">
    <w:name w:val="heading 9"/>
    <w:basedOn w:val="Normal"/>
    <w:next w:val="Normal"/>
    <w:link w:val="Heading9Char"/>
    <w:qFormat/>
    <w:rsid w:val="00A60B92"/>
    <w:pPr>
      <w:ind w:left="720"/>
      <w:outlineLvl w:val="8"/>
    </w:pPr>
    <w:rPr>
      <w:i/>
    </w:rPr>
  </w:style>
  <w:style w:type="character" w:default="1" w:styleId="DefaultParagraphFont">
    <w:name w:val="Default Paragraph Font"/>
    <w:uiPriority w:val="1"/>
    <w:unhideWhenUsed/>
    <w:rsid w:val="00A60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B92"/>
  </w:style>
  <w:style w:type="character" w:customStyle="1" w:styleId="Heading1Char">
    <w:name w:val="Heading 1 Char"/>
    <w:basedOn w:val="DefaultParagraphFont"/>
    <w:link w:val="Heading1"/>
    <w:rsid w:val="00A60B92"/>
    <w:rPr>
      <w:rFonts w:ascii="Times New Roman" w:eastAsia="Times New Roman" w:hAnsi="Times New Roman" w:cs="Times New Roman"/>
      <w:b/>
      <w:sz w:val="32"/>
      <w:szCs w:val="20"/>
      <w:lang w:eastAsia="en-US"/>
    </w:rPr>
  </w:style>
  <w:style w:type="paragraph" w:styleId="BodyText">
    <w:name w:val="Body Text"/>
    <w:basedOn w:val="Normal"/>
    <w:link w:val="BodyTextChar"/>
    <w:rsid w:val="00A60B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0B92"/>
    <w:rPr>
      <w:rFonts w:ascii="Times New Roman" w:eastAsia="Times New Roman" w:hAnsi="Times New Roman" w:cs="Times New Roman"/>
      <w:sz w:val="24"/>
      <w:lang w:val="en-US" w:eastAsia="en-US"/>
    </w:rPr>
  </w:style>
  <w:style w:type="paragraph" w:styleId="Footer">
    <w:name w:val="footer"/>
    <w:basedOn w:val="Normal"/>
    <w:link w:val="FooterChar"/>
    <w:rsid w:val="00A60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B92"/>
    <w:rPr>
      <w:rFonts w:ascii="Times New Roman" w:eastAsia="Times New Roman" w:hAnsi="Times New Roman" w:cs="Times New Roman"/>
      <w:sz w:val="16"/>
      <w:lang w:val="en-US" w:eastAsia="en-US"/>
    </w:rPr>
  </w:style>
  <w:style w:type="paragraph" w:styleId="ListBullet">
    <w:name w:val="List Bullet"/>
    <w:basedOn w:val="List"/>
    <w:rsid w:val="00A60B92"/>
    <w:pPr>
      <w:numPr>
        <w:numId w:val="14"/>
      </w:numPr>
      <w:tabs>
        <w:tab w:val="clear" w:pos="340"/>
      </w:tabs>
      <w:spacing w:before="40" w:after="40"/>
    </w:pPr>
  </w:style>
  <w:style w:type="character" w:customStyle="1" w:styleId="SpecialBold">
    <w:name w:val="Special Bold"/>
    <w:basedOn w:val="DefaultParagraphFont"/>
    <w:rsid w:val="00A60B92"/>
    <w:rPr>
      <w:b/>
      <w:spacing w:val="0"/>
    </w:rPr>
  </w:style>
  <w:style w:type="paragraph" w:styleId="ListBullet2">
    <w:name w:val="List Bullet 2"/>
    <w:basedOn w:val="List2"/>
    <w:rsid w:val="00A60B92"/>
    <w:pPr>
      <w:numPr>
        <w:numId w:val="15"/>
      </w:numPr>
      <w:tabs>
        <w:tab w:val="clear" w:pos="680"/>
      </w:tabs>
    </w:pPr>
  </w:style>
  <w:style w:type="paragraph" w:styleId="Header">
    <w:name w:val="header"/>
    <w:basedOn w:val="Normal"/>
    <w:link w:val="HeaderChar"/>
    <w:rsid w:val="00A60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B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0B92"/>
    <w:pPr>
      <w:spacing w:before="240" w:after="120"/>
      <w:outlineLvl w:val="0"/>
    </w:pPr>
    <w:rPr>
      <w:rFonts w:ascii="Times New Roman" w:hAnsi="Times New Roman"/>
      <w:b/>
      <w:sz w:val="28"/>
    </w:rPr>
  </w:style>
  <w:style w:type="paragraph" w:customStyle="1" w:styleId="AllowPageBreak">
    <w:name w:val="AllowPageBreak"/>
    <w:rsid w:val="00A60B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0B92"/>
    <w:pPr>
      <w:numPr>
        <w:numId w:val="3"/>
      </w:numPr>
      <w:tabs>
        <w:tab w:val="clear" w:pos="1021"/>
      </w:tabs>
      <w:ind w:left="1037" w:hanging="357"/>
    </w:pPr>
  </w:style>
  <w:style w:type="character" w:customStyle="1" w:styleId="Heading2Char">
    <w:name w:val="Heading 2 Char"/>
    <w:basedOn w:val="DefaultParagraphFont"/>
    <w:link w:val="Heading2"/>
    <w:rsid w:val="00A60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B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0B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0B92"/>
    <w:rPr>
      <w:rFonts w:ascii="Courier New" w:eastAsia="Times New Roman" w:hAnsi="Courier New" w:cs="Times New Roman"/>
      <w:i/>
      <w:szCs w:val="20"/>
      <w:lang w:val="en-US" w:eastAsia="en-US"/>
    </w:rPr>
  </w:style>
  <w:style w:type="paragraph" w:customStyle="1" w:styleId="HeadingBase">
    <w:name w:val="Heading Base"/>
    <w:rsid w:val="00A60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B92"/>
    <w:pPr>
      <w:tabs>
        <w:tab w:val="right" w:leader="dot" w:pos="9072"/>
      </w:tabs>
      <w:ind w:left="567"/>
    </w:pPr>
    <w:rPr>
      <w:szCs w:val="22"/>
    </w:rPr>
  </w:style>
  <w:style w:type="paragraph" w:customStyle="1" w:styleId="TOCBase">
    <w:name w:val="TOC Base"/>
    <w:rsid w:val="00A60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B92"/>
    <w:pPr>
      <w:tabs>
        <w:tab w:val="right" w:leader="dot" w:pos="9072"/>
      </w:tabs>
      <w:spacing w:before="40" w:after="40"/>
      <w:ind w:left="284"/>
    </w:pPr>
    <w:rPr>
      <w:rFonts w:ascii="Times New Roman" w:hAnsi="Times New Roman"/>
    </w:rPr>
  </w:style>
  <w:style w:type="paragraph" w:styleId="TOC1">
    <w:name w:val="toc 1"/>
    <w:basedOn w:val="TOCBase"/>
    <w:next w:val="Normal"/>
    <w:rsid w:val="00A60B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0B92"/>
    <w:pPr>
      <w:spacing w:before="5040"/>
      <w:jc w:val="center"/>
    </w:pPr>
    <w:rPr>
      <w:sz w:val="48"/>
      <w:szCs w:val="72"/>
      <w:lang w:val="en-US"/>
    </w:rPr>
  </w:style>
  <w:style w:type="character" w:customStyle="1" w:styleId="TitleChar">
    <w:name w:val="Title Char"/>
    <w:basedOn w:val="DefaultParagraphFont"/>
    <w:link w:val="Title"/>
    <w:rsid w:val="00A60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B92"/>
    <w:pPr>
      <w:tabs>
        <w:tab w:val="left" w:pos="3600"/>
        <w:tab w:val="left" w:pos="3958"/>
      </w:tabs>
    </w:pPr>
  </w:style>
  <w:style w:type="paragraph" w:styleId="List">
    <w:name w:val="List"/>
    <w:basedOn w:val="BodyText"/>
    <w:next w:val="BodyText"/>
    <w:rsid w:val="00A60B92"/>
    <w:pPr>
      <w:tabs>
        <w:tab w:val="left" w:pos="340"/>
      </w:tabs>
      <w:spacing w:before="60" w:after="60"/>
      <w:ind w:left="340" w:hanging="340"/>
    </w:pPr>
  </w:style>
  <w:style w:type="paragraph" w:customStyle="1" w:styleId="Note">
    <w:name w:val="Note"/>
    <w:basedOn w:val="BodyText"/>
    <w:rsid w:val="00A60B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B92"/>
    <w:pPr>
      <w:framePr w:wrap="auto" w:hAnchor="text" w:y="6049"/>
    </w:pPr>
    <w:rPr>
      <w:color w:val="000000"/>
      <w:sz w:val="40"/>
    </w:rPr>
  </w:style>
  <w:style w:type="paragraph" w:customStyle="1" w:styleId="TOCTitle">
    <w:name w:val="TOCTitle"/>
    <w:basedOn w:val="Heading1"/>
    <w:rsid w:val="00A60B92"/>
    <w:pPr>
      <w:spacing w:after="240"/>
      <w:jc w:val="center"/>
      <w:outlineLvl w:val="9"/>
    </w:pPr>
    <w:rPr>
      <w:caps/>
    </w:rPr>
  </w:style>
  <w:style w:type="paragraph" w:customStyle="1" w:styleId="Version">
    <w:name w:val="Version"/>
    <w:rsid w:val="00A60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B92"/>
    <w:pPr>
      <w:keepNext w:val="0"/>
      <w:tabs>
        <w:tab w:val="right" w:pos="4176"/>
      </w:tabs>
      <w:ind w:left="198" w:hanging="198"/>
    </w:pPr>
    <w:rPr>
      <w:rFonts w:ascii="Garamond" w:hAnsi="Garamond"/>
    </w:rPr>
  </w:style>
  <w:style w:type="paragraph" w:styleId="IndexHeading">
    <w:name w:val="index heading"/>
    <w:basedOn w:val="Normal"/>
    <w:next w:val="Index1"/>
    <w:semiHidden/>
    <w:rsid w:val="00A60B92"/>
    <w:pPr>
      <w:spacing w:before="120" w:after="120"/>
    </w:pPr>
    <w:rPr>
      <w:rFonts w:ascii="Arial" w:hAnsi="Arial"/>
      <w:b/>
      <w:color w:val="918585"/>
      <w:sz w:val="24"/>
    </w:rPr>
  </w:style>
  <w:style w:type="paragraph" w:customStyle="1" w:styleId="Chapter">
    <w:name w:val="Chapter"/>
    <w:basedOn w:val="Normal"/>
    <w:rsid w:val="00A60B92"/>
    <w:pPr>
      <w:spacing w:before="240"/>
    </w:pPr>
    <w:rPr>
      <w:rFonts w:ascii="Times New Roman" w:hAnsi="Times New Roman"/>
      <w:smallCaps/>
      <w:spacing w:val="80"/>
      <w:sz w:val="28"/>
    </w:rPr>
  </w:style>
  <w:style w:type="paragraph" w:customStyle="1" w:styleId="InChapter">
    <w:name w:val="InChapter"/>
    <w:basedOn w:val="Heading3"/>
    <w:rsid w:val="00A60B92"/>
    <w:pPr>
      <w:spacing w:after="240"/>
      <w:outlineLvl w:val="9"/>
    </w:pPr>
    <w:rPr>
      <w:noProof/>
    </w:rPr>
  </w:style>
  <w:style w:type="paragraph" w:styleId="Index2">
    <w:name w:val="index 2"/>
    <w:basedOn w:val="Normal"/>
    <w:next w:val="Normal"/>
    <w:semiHidden/>
    <w:rsid w:val="00A60B92"/>
    <w:pPr>
      <w:tabs>
        <w:tab w:val="right" w:pos="4176"/>
      </w:tabs>
      <w:ind w:left="568" w:hanging="284"/>
    </w:pPr>
    <w:rPr>
      <w:rFonts w:ascii="Garamond" w:hAnsi="Garamond"/>
    </w:rPr>
  </w:style>
  <w:style w:type="paragraph" w:customStyle="1" w:styleId="Byline">
    <w:name w:val="Byline"/>
    <w:rsid w:val="00A60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B92"/>
    <w:pPr>
      <w:tabs>
        <w:tab w:val="clear" w:pos="3600"/>
        <w:tab w:val="clear" w:pos="3958"/>
      </w:tabs>
      <w:jc w:val="right"/>
    </w:pPr>
  </w:style>
  <w:style w:type="character" w:styleId="Emphasis">
    <w:name w:val="Emphasis"/>
    <w:basedOn w:val="DefaultParagraphFont"/>
    <w:qFormat/>
    <w:rsid w:val="00A60B92"/>
    <w:rPr>
      <w:i/>
    </w:rPr>
  </w:style>
  <w:style w:type="paragraph" w:styleId="Caption">
    <w:name w:val="caption"/>
    <w:basedOn w:val="BodyText"/>
    <w:next w:val="Normal"/>
    <w:qFormat/>
    <w:rsid w:val="00A60B92"/>
    <w:pPr>
      <w:framePr w:w="2268" w:hSpace="181" w:vSpace="181" w:wrap="around" w:vAnchor="text" w:hAnchor="page" w:x="1135" w:y="285" w:anchorLock="1"/>
    </w:pPr>
    <w:rPr>
      <w:i/>
    </w:rPr>
  </w:style>
  <w:style w:type="paragraph" w:customStyle="1" w:styleId="MiniTOCTitle">
    <w:name w:val="MiniTOCTitle"/>
    <w:basedOn w:val="Heading4"/>
    <w:rsid w:val="00A60B92"/>
    <w:pPr>
      <w:spacing w:before="240"/>
      <w:outlineLvl w:val="9"/>
    </w:pPr>
    <w:rPr>
      <w:noProof/>
      <w:sz w:val="24"/>
    </w:rPr>
  </w:style>
  <w:style w:type="paragraph" w:customStyle="1" w:styleId="MiniTOCItem">
    <w:name w:val="MiniTOCItem"/>
    <w:basedOn w:val="ListBullet"/>
    <w:rsid w:val="00A60B92"/>
    <w:pPr>
      <w:numPr>
        <w:numId w:val="0"/>
      </w:numPr>
      <w:tabs>
        <w:tab w:val="right" w:leader="dot" w:pos="6521"/>
      </w:tabs>
      <w:spacing w:before="0" w:after="0"/>
    </w:pPr>
  </w:style>
  <w:style w:type="paragraph" w:customStyle="1" w:styleId="TOFTitle">
    <w:name w:val="TOFTitle"/>
    <w:basedOn w:val="TOCTitle"/>
    <w:rsid w:val="00A60B92"/>
  </w:style>
  <w:style w:type="paragraph" w:styleId="TableofFigures">
    <w:name w:val="table of figures"/>
    <w:basedOn w:val="Normal"/>
    <w:next w:val="Normal"/>
    <w:semiHidden/>
    <w:rsid w:val="00A60B92"/>
    <w:pPr>
      <w:tabs>
        <w:tab w:val="right" w:leader="dot" w:pos="9072"/>
      </w:tabs>
      <w:ind w:left="970" w:hanging="403"/>
    </w:pPr>
    <w:rPr>
      <w:rFonts w:ascii="Times New Roman" w:hAnsi="Times New Roman"/>
      <w:b/>
    </w:rPr>
  </w:style>
  <w:style w:type="paragraph" w:styleId="ListNumber">
    <w:name w:val="List Number"/>
    <w:basedOn w:val="List"/>
    <w:rsid w:val="00A60B92"/>
    <w:pPr>
      <w:numPr>
        <w:numId w:val="12"/>
      </w:numPr>
    </w:pPr>
  </w:style>
  <w:style w:type="character" w:customStyle="1" w:styleId="WingdingSymbols">
    <w:name w:val="Wingding Symbols"/>
    <w:rsid w:val="00A60B92"/>
    <w:rPr>
      <w:rFonts w:ascii="Wingdings" w:hAnsi="Wingdings"/>
    </w:rPr>
  </w:style>
  <w:style w:type="paragraph" w:customStyle="1" w:styleId="TableHeading">
    <w:name w:val="Table Heading"/>
    <w:basedOn w:val="HeadingBase"/>
    <w:rsid w:val="00A60B92"/>
    <w:pPr>
      <w:keepLines/>
      <w:pBdr>
        <w:bottom w:val="single" w:sz="6" w:space="1" w:color="918585"/>
      </w:pBdr>
      <w:spacing w:before="240"/>
    </w:pPr>
  </w:style>
  <w:style w:type="character" w:customStyle="1" w:styleId="HotSpot">
    <w:name w:val="HotSpot"/>
    <w:rsid w:val="00A60B92"/>
    <w:rPr>
      <w:color w:val="0033CC"/>
      <w:u w:val="none"/>
    </w:rPr>
  </w:style>
  <w:style w:type="paragraph" w:customStyle="1" w:styleId="BodyTextRight">
    <w:name w:val="Body Text Right"/>
    <w:basedOn w:val="BodyText"/>
    <w:rsid w:val="00A60B92"/>
    <w:pPr>
      <w:spacing w:before="0" w:after="0"/>
      <w:jc w:val="right"/>
    </w:pPr>
  </w:style>
  <w:style w:type="paragraph" w:styleId="Index3">
    <w:name w:val="index 3"/>
    <w:basedOn w:val="ListNumber2"/>
    <w:next w:val="Normal"/>
    <w:semiHidden/>
    <w:rsid w:val="00A60B92"/>
    <w:pPr>
      <w:numPr>
        <w:numId w:val="0"/>
      </w:numPr>
      <w:tabs>
        <w:tab w:val="right" w:leader="dot" w:pos="4176"/>
      </w:tabs>
    </w:pPr>
  </w:style>
  <w:style w:type="paragraph" w:styleId="ListNumber2">
    <w:name w:val="List Number 2"/>
    <w:basedOn w:val="List2"/>
    <w:rsid w:val="00A60B92"/>
    <w:pPr>
      <w:numPr>
        <w:numId w:val="11"/>
      </w:numPr>
      <w:tabs>
        <w:tab w:val="clear" w:pos="1060"/>
      </w:tabs>
    </w:pPr>
  </w:style>
  <w:style w:type="paragraph" w:customStyle="1" w:styleId="MarginNote">
    <w:name w:val="Margin Note"/>
    <w:basedOn w:val="BodyText"/>
    <w:rsid w:val="00A60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B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0B92"/>
    <w:rPr>
      <w:sz w:val="32"/>
    </w:rPr>
  </w:style>
  <w:style w:type="paragraph" w:customStyle="1" w:styleId="HeadingProcedure">
    <w:name w:val="Heading Procedure"/>
    <w:basedOn w:val="HeadingBase"/>
    <w:next w:val="Normal"/>
    <w:rsid w:val="00A60B92"/>
    <w:pPr>
      <w:tabs>
        <w:tab w:val="left" w:pos="0"/>
      </w:tabs>
      <w:spacing w:before="120" w:after="60"/>
    </w:pPr>
    <w:rPr>
      <w:i/>
      <w:color w:val="918585"/>
      <w:sz w:val="22"/>
    </w:rPr>
  </w:style>
  <w:style w:type="paragraph" w:customStyle="1" w:styleId="TableBodyText">
    <w:name w:val="Table Body Text"/>
    <w:basedOn w:val="BodyText"/>
    <w:rsid w:val="00A60B92"/>
    <w:pPr>
      <w:spacing w:before="60" w:after="60"/>
    </w:pPr>
  </w:style>
  <w:style w:type="paragraph" w:styleId="ListContinue">
    <w:name w:val="List Continue"/>
    <w:basedOn w:val="List"/>
    <w:rsid w:val="00A60B92"/>
    <w:pPr>
      <w:ind w:firstLine="0"/>
    </w:pPr>
  </w:style>
  <w:style w:type="paragraph" w:customStyle="1" w:styleId="ListNote">
    <w:name w:val="List Note"/>
    <w:basedOn w:val="List"/>
    <w:rsid w:val="00A60B92"/>
    <w:pPr>
      <w:pBdr>
        <w:top w:val="single" w:sz="6" w:space="2" w:color="918585"/>
        <w:bottom w:val="single" w:sz="6" w:space="2" w:color="918585"/>
      </w:pBdr>
      <w:tabs>
        <w:tab w:val="left" w:pos="1021"/>
      </w:tabs>
      <w:ind w:firstLine="0"/>
    </w:pPr>
  </w:style>
  <w:style w:type="paragraph" w:customStyle="1" w:styleId="Warning">
    <w:name w:val="Warning"/>
    <w:basedOn w:val="BodyText"/>
    <w:rsid w:val="00A60B92"/>
    <w:pPr>
      <w:shd w:val="clear" w:color="auto" w:fill="D9D9D9"/>
      <w:tabs>
        <w:tab w:val="left" w:pos="992"/>
      </w:tabs>
      <w:ind w:left="119" w:right="119"/>
    </w:pPr>
    <w:rPr>
      <w:sz w:val="20"/>
    </w:rPr>
  </w:style>
  <w:style w:type="paragraph" w:customStyle="1" w:styleId="MarginIcons">
    <w:name w:val="Margin Icons"/>
    <w:basedOn w:val="BodyText"/>
    <w:rsid w:val="00A60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B92"/>
    <w:rPr>
      <w:rFonts w:ascii="Courier New" w:hAnsi="Courier New"/>
    </w:rPr>
  </w:style>
  <w:style w:type="paragraph" w:customStyle="1" w:styleId="NoteBullet">
    <w:name w:val="Note Bullet"/>
    <w:basedOn w:val="Note"/>
    <w:rsid w:val="00A60B92"/>
    <w:pPr>
      <w:tabs>
        <w:tab w:val="clear" w:pos="680"/>
      </w:tabs>
      <w:spacing w:before="60" w:after="60"/>
    </w:pPr>
  </w:style>
  <w:style w:type="paragraph" w:customStyle="1" w:styleId="SubHeading2">
    <w:name w:val="SubHeading2"/>
    <w:basedOn w:val="HeadingBase"/>
    <w:rsid w:val="00A60B92"/>
    <w:pPr>
      <w:spacing w:before="240" w:after="60"/>
    </w:pPr>
    <w:rPr>
      <w:sz w:val="20"/>
    </w:rPr>
  </w:style>
  <w:style w:type="paragraph" w:customStyle="1" w:styleId="SubHeading1">
    <w:name w:val="SubHeading1"/>
    <w:basedOn w:val="HeadingBase"/>
    <w:rsid w:val="00A60B92"/>
    <w:pPr>
      <w:spacing w:before="240" w:after="60"/>
    </w:pPr>
    <w:rPr>
      <w:color w:val="918585"/>
      <w:sz w:val="22"/>
    </w:rPr>
  </w:style>
  <w:style w:type="paragraph" w:customStyle="1" w:styleId="SideHeading">
    <w:name w:val="Side Heading"/>
    <w:basedOn w:val="HeadingBase"/>
    <w:rsid w:val="00A60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B92"/>
    <w:pPr>
      <w:numPr>
        <w:numId w:val="13"/>
      </w:numPr>
    </w:pPr>
  </w:style>
  <w:style w:type="paragraph" w:styleId="PlainText">
    <w:name w:val="Plain Text"/>
    <w:basedOn w:val="Normal"/>
    <w:link w:val="PlainTextChar"/>
    <w:rsid w:val="00A60B92"/>
    <w:rPr>
      <w:sz w:val="20"/>
    </w:rPr>
  </w:style>
  <w:style w:type="character" w:customStyle="1" w:styleId="PlainTextChar">
    <w:name w:val="Plain Text Char"/>
    <w:basedOn w:val="DefaultParagraphFont"/>
    <w:link w:val="PlainText"/>
    <w:rsid w:val="00A60B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0B92"/>
    <w:rPr>
      <w:b/>
      <w:smallCaps/>
    </w:rPr>
  </w:style>
  <w:style w:type="paragraph" w:customStyle="1" w:styleId="TableListNumber">
    <w:name w:val="Table List Number"/>
    <w:basedOn w:val="ListNumber"/>
    <w:rsid w:val="00A60B92"/>
    <w:pPr>
      <w:numPr>
        <w:numId w:val="0"/>
      </w:numPr>
    </w:pPr>
  </w:style>
  <w:style w:type="paragraph" w:styleId="TOC4">
    <w:name w:val="toc 4"/>
    <w:basedOn w:val="TOCBase"/>
    <w:next w:val="Normal"/>
    <w:semiHidden/>
    <w:rsid w:val="00A60B92"/>
    <w:pPr>
      <w:tabs>
        <w:tab w:val="right" w:leader="dot" w:pos="9071"/>
      </w:tabs>
      <w:ind w:left="1701"/>
    </w:pPr>
  </w:style>
  <w:style w:type="paragraph" w:customStyle="1" w:styleId="ListAlpha">
    <w:name w:val="List Alpha"/>
    <w:basedOn w:val="List"/>
    <w:rsid w:val="00A60B92"/>
    <w:pPr>
      <w:numPr>
        <w:numId w:val="10"/>
      </w:numPr>
    </w:pPr>
  </w:style>
  <w:style w:type="paragraph" w:customStyle="1" w:styleId="ListAlpha2">
    <w:name w:val="List Alpha 2"/>
    <w:basedOn w:val="List2"/>
    <w:rsid w:val="00A60B92"/>
    <w:pPr>
      <w:numPr>
        <w:numId w:val="9"/>
      </w:numPr>
    </w:pPr>
  </w:style>
  <w:style w:type="paragraph" w:styleId="List2">
    <w:name w:val="List 2"/>
    <w:basedOn w:val="BodyText"/>
    <w:rsid w:val="00A60B92"/>
    <w:pPr>
      <w:tabs>
        <w:tab w:val="left" w:pos="680"/>
      </w:tabs>
      <w:spacing w:before="60" w:after="60"/>
      <w:ind w:left="680" w:hanging="340"/>
    </w:pPr>
  </w:style>
  <w:style w:type="paragraph" w:styleId="List3">
    <w:name w:val="List 3"/>
    <w:basedOn w:val="BodyText"/>
    <w:rsid w:val="00A60B92"/>
    <w:pPr>
      <w:tabs>
        <w:tab w:val="left" w:pos="1021"/>
      </w:tabs>
      <w:spacing w:before="60" w:after="60"/>
      <w:ind w:left="1020" w:hanging="340"/>
    </w:pPr>
  </w:style>
  <w:style w:type="paragraph" w:styleId="List4">
    <w:name w:val="List 4"/>
    <w:basedOn w:val="BodyText"/>
    <w:rsid w:val="00A60B92"/>
    <w:pPr>
      <w:tabs>
        <w:tab w:val="left" w:pos="1361"/>
      </w:tabs>
      <w:spacing w:before="60" w:after="60"/>
      <w:ind w:left="1361" w:hanging="340"/>
    </w:pPr>
  </w:style>
  <w:style w:type="paragraph" w:styleId="List5">
    <w:name w:val="List 5"/>
    <w:basedOn w:val="BodyText"/>
    <w:rsid w:val="00A60B92"/>
    <w:pPr>
      <w:tabs>
        <w:tab w:val="left" w:pos="1701"/>
      </w:tabs>
      <w:spacing w:before="60" w:after="60"/>
      <w:ind w:left="1701" w:hanging="340"/>
    </w:pPr>
  </w:style>
  <w:style w:type="paragraph" w:styleId="ListBullet4">
    <w:name w:val="List Bullet 4"/>
    <w:basedOn w:val="List4"/>
    <w:rsid w:val="00A60B92"/>
    <w:pPr>
      <w:numPr>
        <w:numId w:val="4"/>
      </w:numPr>
    </w:pPr>
  </w:style>
  <w:style w:type="paragraph" w:styleId="ListBullet5">
    <w:name w:val="List Bullet 5"/>
    <w:basedOn w:val="List5"/>
    <w:rsid w:val="00A60B92"/>
    <w:pPr>
      <w:numPr>
        <w:numId w:val="5"/>
      </w:numPr>
    </w:pPr>
  </w:style>
  <w:style w:type="paragraph" w:styleId="ListContinue2">
    <w:name w:val="List Continue 2"/>
    <w:basedOn w:val="List2"/>
    <w:rsid w:val="00A60B92"/>
    <w:pPr>
      <w:ind w:firstLine="0"/>
    </w:pPr>
  </w:style>
  <w:style w:type="paragraph" w:styleId="ListContinue3">
    <w:name w:val="List Continue 3"/>
    <w:basedOn w:val="List3"/>
    <w:rsid w:val="00A60B92"/>
    <w:pPr>
      <w:ind w:left="1021" w:firstLine="0"/>
    </w:pPr>
  </w:style>
  <w:style w:type="paragraph" w:styleId="ListContinue4">
    <w:name w:val="List Continue 4"/>
    <w:basedOn w:val="List4"/>
    <w:rsid w:val="00A60B92"/>
    <w:pPr>
      <w:ind w:firstLine="0"/>
    </w:pPr>
  </w:style>
  <w:style w:type="paragraph" w:styleId="ListContinue5">
    <w:name w:val="List Continue 5"/>
    <w:basedOn w:val="List5"/>
    <w:rsid w:val="00A60B92"/>
    <w:pPr>
      <w:ind w:firstLine="0"/>
    </w:pPr>
  </w:style>
  <w:style w:type="paragraph" w:styleId="ListNumber3">
    <w:name w:val="List Number 3"/>
    <w:basedOn w:val="List3"/>
    <w:rsid w:val="00A60B92"/>
    <w:pPr>
      <w:numPr>
        <w:numId w:val="6"/>
      </w:numPr>
    </w:pPr>
  </w:style>
  <w:style w:type="paragraph" w:styleId="ListNumber4">
    <w:name w:val="List Number 4"/>
    <w:basedOn w:val="List4"/>
    <w:rsid w:val="00A60B92"/>
    <w:pPr>
      <w:numPr>
        <w:numId w:val="7"/>
      </w:numPr>
    </w:pPr>
  </w:style>
  <w:style w:type="paragraph" w:styleId="ListNumber5">
    <w:name w:val="List Number 5"/>
    <w:basedOn w:val="List5"/>
    <w:rsid w:val="00A60B92"/>
    <w:pPr>
      <w:numPr>
        <w:numId w:val="8"/>
      </w:numPr>
    </w:pPr>
  </w:style>
  <w:style w:type="paragraph" w:styleId="BlockText">
    <w:name w:val="Block Text"/>
    <w:basedOn w:val="Normal"/>
    <w:rsid w:val="00A60B92"/>
    <w:pPr>
      <w:spacing w:after="120"/>
      <w:ind w:left="1440" w:right="1440"/>
    </w:pPr>
  </w:style>
  <w:style w:type="character" w:customStyle="1" w:styleId="Subscript">
    <w:name w:val="Subscript"/>
    <w:basedOn w:val="DefaultParagraphFont"/>
    <w:rsid w:val="00A60B92"/>
    <w:rPr>
      <w:sz w:val="16"/>
      <w:vertAlign w:val="subscript"/>
    </w:rPr>
  </w:style>
  <w:style w:type="character" w:customStyle="1" w:styleId="Superscript">
    <w:name w:val="Superscript"/>
    <w:basedOn w:val="DefaultParagraphFont"/>
    <w:rsid w:val="00A60B92"/>
    <w:rPr>
      <w:sz w:val="16"/>
      <w:vertAlign w:val="superscript"/>
    </w:rPr>
  </w:style>
  <w:style w:type="character" w:customStyle="1" w:styleId="Symbols">
    <w:name w:val="Symbols"/>
    <w:basedOn w:val="DefaultParagraphFont"/>
    <w:rsid w:val="00A60B92"/>
    <w:rPr>
      <w:rFonts w:ascii="Symbol" w:hAnsi="Symbol"/>
    </w:rPr>
  </w:style>
  <w:style w:type="character" w:customStyle="1" w:styleId="MenuOptions">
    <w:name w:val="Menu Options"/>
    <w:basedOn w:val="DefaultParagraphFont"/>
    <w:rsid w:val="00A60B92"/>
    <w:rPr>
      <w:rFonts w:ascii="Arial Narrow" w:hAnsi="Arial Narrow"/>
      <w:smallCaps/>
    </w:rPr>
  </w:style>
  <w:style w:type="character" w:customStyle="1" w:styleId="Buttons">
    <w:name w:val="Buttons"/>
    <w:basedOn w:val="DefaultParagraphFont"/>
    <w:rsid w:val="00A60B92"/>
    <w:rPr>
      <w:b/>
    </w:rPr>
  </w:style>
  <w:style w:type="character" w:customStyle="1" w:styleId="Underlined">
    <w:name w:val="Underlined"/>
    <w:basedOn w:val="DefaultParagraphFont"/>
    <w:rsid w:val="00A60B92"/>
    <w:rPr>
      <w:u w:val="single"/>
    </w:rPr>
  </w:style>
  <w:style w:type="paragraph" w:customStyle="1" w:styleId="TableBodyTextRight">
    <w:name w:val="Table Body Text Right"/>
    <w:basedOn w:val="TableBodyText"/>
    <w:rsid w:val="00A60B92"/>
    <w:pPr>
      <w:widowControl w:val="0"/>
      <w:autoSpaceDE w:val="0"/>
      <w:autoSpaceDN w:val="0"/>
      <w:adjustRightInd w:val="0"/>
      <w:jc w:val="right"/>
    </w:pPr>
    <w:rPr>
      <w:rFonts w:cs="Arial"/>
      <w:szCs w:val="18"/>
    </w:rPr>
  </w:style>
  <w:style w:type="paragraph" w:customStyle="1" w:styleId="CopyrightText">
    <w:name w:val="Copyright Text"/>
    <w:basedOn w:val="BodyText"/>
    <w:rsid w:val="00A60B92"/>
    <w:rPr>
      <w:sz w:val="18"/>
    </w:rPr>
  </w:style>
  <w:style w:type="paragraph" w:customStyle="1" w:styleId="BodySmallRight">
    <w:name w:val="Body Small Right"/>
    <w:basedOn w:val="BodyTextRight"/>
    <w:rsid w:val="00A60B92"/>
    <w:rPr>
      <w:sz w:val="18"/>
      <w:szCs w:val="18"/>
    </w:rPr>
  </w:style>
  <w:style w:type="paragraph" w:customStyle="1" w:styleId="MarginEdition">
    <w:name w:val="Margin Edition"/>
    <w:basedOn w:val="MarginNote"/>
    <w:rsid w:val="00A60B92"/>
    <w:pPr>
      <w:spacing w:before="0" w:after="0"/>
    </w:pPr>
    <w:rPr>
      <w:rFonts w:ascii="Times New Roman" w:hAnsi="Times New Roman"/>
      <w:color w:val="999999"/>
    </w:rPr>
  </w:style>
  <w:style w:type="paragraph" w:customStyle="1" w:styleId="Spacer">
    <w:name w:val="Spacer"/>
    <w:basedOn w:val="Normal"/>
    <w:rsid w:val="00A60B92"/>
    <w:rPr>
      <w:sz w:val="2"/>
      <w:szCs w:val="2"/>
    </w:rPr>
  </w:style>
  <w:style w:type="character" w:customStyle="1" w:styleId="Small">
    <w:name w:val="Small"/>
    <w:basedOn w:val="DefaultParagraphFont"/>
    <w:rsid w:val="00A60B92"/>
    <w:rPr>
      <w:sz w:val="16"/>
    </w:rPr>
  </w:style>
  <w:style w:type="paragraph" w:customStyle="1" w:styleId="WideTable">
    <w:name w:val="Wide Table"/>
    <w:basedOn w:val="Normal"/>
    <w:rsid w:val="00A60B92"/>
    <w:pPr>
      <w:ind w:left="-1418"/>
    </w:pPr>
    <w:rPr>
      <w:sz w:val="2"/>
      <w:szCs w:val="2"/>
    </w:rPr>
  </w:style>
  <w:style w:type="character" w:styleId="PageNumber">
    <w:name w:val="page number"/>
    <w:basedOn w:val="DefaultParagraphFont"/>
    <w:rsid w:val="00A60B92"/>
  </w:style>
  <w:style w:type="paragraph" w:styleId="Quote">
    <w:name w:val="Quote"/>
    <w:basedOn w:val="Heading1"/>
    <w:link w:val="QuoteChar"/>
    <w:qFormat/>
    <w:rsid w:val="00A60B92"/>
    <w:rPr>
      <w:b w:val="0"/>
      <w:sz w:val="72"/>
      <w:szCs w:val="72"/>
      <w:lang w:val="en-NZ"/>
    </w:rPr>
  </w:style>
  <w:style w:type="character" w:customStyle="1" w:styleId="QuoteChar">
    <w:name w:val="Quote Char"/>
    <w:basedOn w:val="DefaultParagraphFont"/>
    <w:link w:val="Quote"/>
    <w:rsid w:val="00A60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B92"/>
    <w:pPr>
      <w:pageBreakBefore/>
    </w:pPr>
  </w:style>
  <w:style w:type="paragraph" w:customStyle="1" w:styleId="Border">
    <w:name w:val="Border"/>
    <w:basedOn w:val="Normal"/>
    <w:qFormat/>
    <w:rsid w:val="00A60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B92"/>
    <w:rPr>
      <w:b/>
      <w:bCs/>
      <w:i/>
      <w:iCs/>
      <w:color w:val="auto"/>
    </w:rPr>
  </w:style>
  <w:style w:type="paragraph" w:styleId="IntenseQuote">
    <w:name w:val="Intense Quote"/>
    <w:basedOn w:val="Normal"/>
    <w:next w:val="Normal"/>
    <w:link w:val="IntenseQuoteChar"/>
    <w:uiPriority w:val="30"/>
    <w:qFormat/>
    <w:rsid w:val="00A60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B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0B92"/>
    <w:rPr>
      <w:smallCaps/>
      <w:color w:val="auto"/>
      <w:u w:val="single"/>
    </w:rPr>
  </w:style>
  <w:style w:type="character" w:styleId="IntenseReference">
    <w:name w:val="Intense Reference"/>
    <w:basedOn w:val="DefaultParagraphFont"/>
    <w:uiPriority w:val="32"/>
    <w:qFormat/>
    <w:rsid w:val="00A60B92"/>
    <w:rPr>
      <w:b/>
      <w:bCs/>
      <w:smallCaps/>
      <w:color w:val="auto"/>
      <w:spacing w:val="5"/>
      <w:u w:val="single"/>
    </w:rPr>
  </w:style>
  <w:style w:type="paragraph" w:customStyle="1" w:styleId="2ColumnHeading">
    <w:name w:val="2Column Heading"/>
    <w:basedOn w:val="BodyText"/>
    <w:qFormat/>
    <w:rsid w:val="00A60B92"/>
    <w:pPr>
      <w:spacing w:after="60"/>
      <w:ind w:left="-2268"/>
    </w:pPr>
    <w:rPr>
      <w:b/>
    </w:rPr>
  </w:style>
  <w:style w:type="paragraph" w:customStyle="1" w:styleId="Heading1TOC">
    <w:name w:val="Heading1 TOC"/>
    <w:basedOn w:val="Normal"/>
    <w:qFormat/>
    <w:rsid w:val="00A60B92"/>
    <w:pPr>
      <w:spacing w:before="240" w:after="120"/>
    </w:pPr>
    <w:rPr>
      <w:rFonts w:ascii="Times New Roman" w:hAnsi="Times New Roman"/>
      <w:b/>
      <w:sz w:val="32"/>
    </w:rPr>
  </w:style>
  <w:style w:type="paragraph" w:customStyle="1" w:styleId="Heading2TOC">
    <w:name w:val="Heading2 TOC"/>
    <w:basedOn w:val="Normal"/>
    <w:qFormat/>
    <w:rsid w:val="00A60B92"/>
    <w:pPr>
      <w:spacing w:before="240" w:after="60"/>
    </w:pPr>
    <w:rPr>
      <w:rFonts w:ascii="Times New Roman" w:hAnsi="Times New Roman"/>
      <w:b/>
      <w:sz w:val="28"/>
    </w:rPr>
  </w:style>
  <w:style w:type="character" w:customStyle="1" w:styleId="Underline">
    <w:name w:val="Underline"/>
    <w:basedOn w:val="DefaultParagraphFont"/>
    <w:qFormat/>
    <w:rsid w:val="00A60B92"/>
    <w:rPr>
      <w:u w:val="single"/>
    </w:rPr>
  </w:style>
  <w:style w:type="character" w:customStyle="1" w:styleId="BoldandItalics">
    <w:name w:val="Bold and Italics"/>
    <w:qFormat/>
    <w:rsid w:val="00A60B92"/>
    <w:rPr>
      <w:b/>
      <w:i/>
      <w:u w:val="none"/>
    </w:rPr>
  </w:style>
  <w:style w:type="paragraph" w:styleId="BalloonText">
    <w:name w:val="Balloon Text"/>
    <w:basedOn w:val="Normal"/>
    <w:link w:val="BalloonTextChar"/>
    <w:rsid w:val="00A60B92"/>
    <w:rPr>
      <w:rFonts w:ascii="Tahoma" w:hAnsi="Tahoma" w:cs="Tahoma"/>
      <w:sz w:val="16"/>
      <w:szCs w:val="16"/>
    </w:rPr>
  </w:style>
  <w:style w:type="character" w:customStyle="1" w:styleId="BalloonTextChar">
    <w:name w:val="Balloon Text Char"/>
    <w:basedOn w:val="DefaultParagraphFont"/>
    <w:link w:val="BalloonText"/>
    <w:rsid w:val="00A60B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0B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0B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2600</Words>
  <Characters>16410</Characters>
  <Application>Microsoft Office Word</Application>
  <DocSecurity>0</DocSecurity>
  <Lines>681</Lines>
  <Paragraphs>278</Paragraphs>
  <ScaleCrop>false</ScaleCrop>
  <Company>Author-it Software Corporation Ltd.</Company>
  <LinksUpToDate>false</LinksUpToDate>
  <CharactersWithSpaces>18802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UETTDRRT26A Maintain overhead rail traction configurations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