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E7A" w:rsidP="009A2E7A">
      <w:pPr>
        <w:pStyle w:val="Title"/>
      </w:pPr>
      <w:r>
        <w:fldChar w:fldCharType="begin"/>
      </w:r>
      <w:r>
        <w:instrText xml:space="preserve"> TITLE   \* MERGEFORMAT </w:instrText>
      </w:r>
      <w:r>
        <w:fldChar w:fldCharType="separate"/>
      </w:r>
      <w:r>
        <w:t>UETTDRRT24A Maintain rail traction bonds</w:t>
      </w:r>
      <w:r>
        <w:fldChar w:fldCharType="end"/>
      </w:r>
    </w:p>
    <w:p w:rsidR="009A2E7A" w:rsidP="009A2E7A">
      <w:pPr>
        <w:pStyle w:val="Version"/>
        <w:sectPr w:rsidSect="005B61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1BB" w:rsidP="005B61BB">
      <w:pPr>
        <w:pStyle w:val="SuperHeading"/>
      </w:pPr>
      <w:r w:rsidRPr="005B61BB">
        <w:t>UETTDRRT24A Maintain rail traction bonds</w:t>
      </w:r>
    </w:p>
    <w:p w:rsidR="00000000" w:rsidRPr="005B61BB" w:rsidP="005B61BB">
      <w:pPr>
        <w:pStyle w:val="Heading1"/>
      </w:pPr>
      <w:bookmarkStart w:id="1" w:name="O_465275"/>
      <w:bookmarkEnd w:id="1"/>
      <w:r w:rsidRPr="005B61BB">
        <w:t>Modification History</w:t>
      </w:r>
    </w:p>
    <w:p w:rsidR="00000000" w:rsidRPr="005B61BB" w:rsidP="005B61BB">
      <w:pPr>
        <w:pStyle w:val="BodyText"/>
      </w:pPr>
      <w:r w:rsidRPr="005B61BB">
        <w:t>Not applicable.</w:t>
      </w:r>
    </w:p>
    <w:p w:rsidR="00000000" w:rsidRPr="005B61BB" w:rsidP="005B61BB">
      <w:pPr>
        <w:pStyle w:val="AllowPageBreak"/>
      </w:pPr>
    </w:p>
    <w:p w:rsidR="00000000" w:rsidRPr="005B61BB" w:rsidP="005B61BB">
      <w:pPr>
        <w:pStyle w:val="Heading1"/>
      </w:pPr>
      <w:bookmarkStart w:id="2" w:name="O_465273"/>
      <w:bookmarkEnd w:id="2"/>
      <w:r w:rsidRPr="005B61BB">
        <w:t>Unit Descriptor</w:t>
      </w:r>
    </w:p>
    <w:tbl>
      <w:tblPr>
        <w:tblW w:w="0" w:type="auto"/>
        <w:tblLayout w:type="fixed"/>
        <w:tblCellMar>
          <w:left w:w="62" w:type="dxa"/>
          <w:right w:w="62" w:type="dxa"/>
        </w:tblCellMar>
        <w:tblLook w:val="0000"/>
      </w:tblPr>
      <w:tblGrid>
        <w:gridCol w:w="2700"/>
        <w:gridCol w:w="5760"/>
      </w:tblGrid>
      <w:tr w:rsidTr="009A2E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1)</w:t>
            </w:r>
            <w:r w:rsidRPr="005B61BB">
              <w:t xml:space="preserve"> </w:t>
            </w:r>
            <w:r w:rsidRPr="005B61BB">
              <w:rPr>
                <w:rStyle w:val="SpecialBold"/>
              </w:rPr>
              <w:t>Scope:</w:t>
            </w:r>
          </w:p>
        </w:tc>
      </w:tr>
      <w:tr w:rsidTr="009A2E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61B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1.1) Descriptor</w:t>
            </w:r>
          </w:p>
        </w:tc>
      </w:tr>
      <w:tr w:rsidTr="009A2E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This Competency Standard Unit covers the maintenance and repair of the temporary and permanent traction bonds and bonding cables. It includes the undertaking of OHS and safe working practices on or about the running line/track. It also encompasses the isol</w:t>
            </w:r>
            <w:r w:rsidRPr="005B61BB">
              <w:t>ation of systems and circuits for safe working according to work plans and the correct positioning of road signs, barriers and or warning devices and the procedure of issuing/accepting electrical permits. It also includes the visual inspection and other ne</w:t>
            </w:r>
            <w:r w:rsidRPr="005B61BB">
              <w:t>cessary checks to confirm that equipment and associated hardware are in a safe condition to test and/or return to service and the undertaking of re-commissioning tests to ensure the integrity of the bonding system prior to a return to service and the updat</w:t>
            </w:r>
            <w:r w:rsidRPr="005B61BB">
              <w:t>ing of system data/maintenance records.</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3" w:name="O_465262"/>
      <w:bookmarkEnd w:id="3"/>
      <w:r w:rsidRPr="005B61BB">
        <w:t>Application of the Unit</w:t>
      </w:r>
    </w:p>
    <w:tbl>
      <w:tblPr>
        <w:tblW w:w="0" w:type="auto"/>
        <w:tblLayout w:type="fixed"/>
        <w:tblCellMar>
          <w:left w:w="62" w:type="dxa"/>
          <w:right w:w="62" w:type="dxa"/>
        </w:tblCellMar>
        <w:tblLook w:val="0000"/>
      </w:tblPr>
      <w:tblGrid>
        <w:gridCol w:w="2672"/>
        <w:gridCol w:w="5699"/>
      </w:tblGrid>
      <w:tr w:rsidTr="009A2E7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2)</w:t>
            </w:r>
          </w:p>
        </w:tc>
      </w:tr>
      <w:tr w:rsidTr="009A2E7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 xml:space="preserve">This Competency Standard Unit is intended to augment formally acquired competencies. It is suitable for employment-based programs under an </w:t>
            </w:r>
            <w:r w:rsidRPr="005B61BB">
              <w:t>approved contract of training.</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4" w:name="O_465269"/>
      <w:bookmarkEnd w:id="4"/>
      <w:r w:rsidRPr="005B61BB">
        <w:t>Licensing/Regulatory Information</w:t>
      </w:r>
    </w:p>
    <w:tbl>
      <w:tblPr>
        <w:tblW w:w="0" w:type="auto"/>
        <w:tblLayout w:type="fixed"/>
        <w:tblCellMar>
          <w:left w:w="62" w:type="dxa"/>
          <w:right w:w="62" w:type="dxa"/>
        </w:tblCellMar>
        <w:tblLook w:val="0000"/>
      </w:tblPr>
      <w:tblGrid>
        <w:gridCol w:w="2700"/>
        <w:gridCol w:w="5760"/>
      </w:tblGrid>
      <w:tr w:rsidTr="009A2E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 xml:space="preserve">3) </w:t>
            </w:r>
          </w:p>
        </w:tc>
      </w:tr>
      <w:tr w:rsidTr="009A2E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The skills and knowledge described in this unit may require a licence/registration to practice in the work place subject to regulations for underta</w:t>
            </w:r>
            <w:r w:rsidRPr="005B61BB">
              <w:t>king of electrical work. Practice in workplace and during training is also subject to regulations directly related to Occupational Health and Safety, electricity/telecommunications/gas/water industry safety and compliance, industrial relations, environment</w:t>
            </w:r>
            <w:r w:rsidRPr="005B61BB">
              <w:t>al protection, anti discrimination and training. Commonwealth, State/Territory or Local Government legislation and regulations may exist that limits the age of operating certain equipment.</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5" w:name="O_465270"/>
      <w:bookmarkEnd w:id="5"/>
      <w:r w:rsidRPr="005B61BB">
        <w:t>Pre-Requisites</w:t>
      </w:r>
    </w:p>
    <w:tbl>
      <w:tblPr>
        <w:tblW w:w="0" w:type="auto"/>
        <w:tblLayout w:type="fixed"/>
        <w:tblCellMar>
          <w:left w:w="62" w:type="dxa"/>
          <w:right w:w="62" w:type="dxa"/>
        </w:tblCellMar>
        <w:tblLook w:val="0000"/>
      </w:tblPr>
      <w:tblGrid>
        <w:gridCol w:w="2686"/>
        <w:gridCol w:w="14"/>
        <w:gridCol w:w="1890"/>
        <w:gridCol w:w="3870"/>
      </w:tblGrid>
      <w:tr w:rsidTr="009A2E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 xml:space="preserve">4) </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4.1)</w:t>
            </w:r>
          </w:p>
        </w:tc>
      </w:tr>
      <w:tr w:rsidTr="009A2E7A">
        <w:tblPrEx>
          <w:tblW w:w="0" w:type="auto"/>
          <w:tblLayout w:type="fixed"/>
          <w:tblCellMar>
            <w:left w:w="62" w:type="dxa"/>
            <w:right w:w="62" w:type="dxa"/>
          </w:tblCellMar>
          <w:tblLook w:val="0000"/>
        </w:tblPrEx>
        <w:tc>
          <w:tcPr>
            <w:tcW w:w="2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4" w:type="dxa"/>
            <w:gridSpan w:val="3"/>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Granting of competency in this unit shall be made only after competency in the following unit(s) has/have been confirmed.</w:t>
            </w:r>
          </w:p>
          <w:p w:rsidR="00000000" w:rsidRPr="005B61BB" w:rsidP="005B61BB">
            <w:pPr>
              <w:pStyle w:val="BodyText"/>
            </w:pPr>
            <w:r w:rsidRPr="005B61BB">
              <w:t>Where pre-requisite pathways have been identified. All competencies in the Common Unit Group must be have been completed.</w:t>
            </w:r>
          </w:p>
          <w:p w:rsidR="00000000" w:rsidP="005B61BB">
            <w:pPr>
              <w:pStyle w:val="BodyText"/>
              <w:rPr>
                <w:lang w:val="en-NZ"/>
              </w:rPr>
            </w:pPr>
            <w:r w:rsidRPr="005B61BB">
              <w:t>Common Unit Group</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Unit Code</w:t>
            </w:r>
            <w:r w:rsidRPr="005B61BB">
              <w:tab/>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Unit Title</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Apply Occupational Health and Safety regulations, codes and practices in the workplace</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Fabricate, assemble and dismantle utilities industry components</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UEENEEE104A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Solve problems in d.c. Circuits</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Fix and secure electrotechnolog</w:t>
            </w:r>
            <w:r w:rsidRPr="005B61BB">
              <w:t>y equipment</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Use drawings, diagrams, schedules, standards, codes and specifications</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UEENEEG101A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Solve problems in electromagnetic devices and related circuits</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UEENEEG102A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Solve problems in low voltage a.c. Circuits</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 xml:space="preserve">Apply sustainable energy and environmental procedures </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 xml:space="preserve">Operate plant and equipment near live electrical conductors and apparatus </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 xml:space="preserve">Working safely near live electrical apparatus </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Install and maintain poles, structure</w:t>
            </w:r>
            <w:r w:rsidRPr="005B61BB">
              <w:t>s and associated hardware</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 xml:space="preserve">Install and maintain poles, structures, overhead conductors and cables </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UETTDRRT21A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 xml:space="preserve">Install traction overhead wiring systems </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UETTDRRT22A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 xml:space="preserve">Maintain traction overhead wiring systems </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UETTDRRT23A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 xml:space="preserve">Install rail traction bonds </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UETTDRRT27A</w:t>
            </w:r>
          </w:p>
        </w:tc>
        <w:tc>
          <w:tcPr>
            <w:tcW w:w="3870" w:type="dxa"/>
            <w:tcBorders>
              <w:top w:val="nil"/>
              <w:left w:val="nil"/>
              <w:bottom w:val="nil"/>
              <w:right w:val="nil"/>
            </w:tcBorders>
            <w:tcMar>
              <w:top w:w="0" w:type="dxa"/>
              <w:left w:w="62" w:type="dxa"/>
              <w:bottom w:w="0" w:type="dxa"/>
              <w:right w:w="62" w:type="dxa"/>
            </w:tcMar>
            <w:vAlign w:val="bottom"/>
          </w:tcPr>
          <w:p w:rsidR="00000000" w:rsidP="005B61BB">
            <w:pPr>
              <w:pStyle w:val="BodyText"/>
              <w:rPr>
                <w:lang w:val="en-NZ"/>
              </w:rPr>
            </w:pPr>
            <w:r w:rsidRPr="005B61BB">
              <w:t xml:space="preserve">Install overhead traction components and equipment </w:t>
            </w:r>
          </w:p>
        </w:tc>
      </w:tr>
      <w:tr w:rsidTr="009A2E7A">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UETTDRRT28A</w:t>
            </w:r>
          </w:p>
        </w:tc>
        <w:tc>
          <w:tcPr>
            <w:tcW w:w="3870" w:type="dxa"/>
            <w:tcBorders>
              <w:top w:val="nil"/>
              <w:left w:val="nil"/>
              <w:bottom w:val="nil"/>
              <w:right w:val="nil"/>
            </w:tcBorders>
            <w:tcMar>
              <w:top w:w="0" w:type="dxa"/>
              <w:left w:w="62" w:type="dxa"/>
              <w:bottom w:w="0" w:type="dxa"/>
              <w:right w:w="62" w:type="dxa"/>
            </w:tcMar>
            <w:vAlign w:val="bottom"/>
          </w:tcPr>
          <w:p w:rsidR="00000000" w:rsidRPr="005B61BB" w:rsidP="005B61BB">
            <w:pPr>
              <w:pStyle w:val="BodyText"/>
            </w:pPr>
            <w:r w:rsidRPr="005B61BB">
              <w:t xml:space="preserve">Maintain overhead traction components and equipment </w:t>
            </w:r>
          </w:p>
        </w:tc>
      </w:tr>
    </w:tbl>
    <w:p w:rsidR="00000000" w:rsidRPr="005B61BB" w:rsidP="005B61B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A2E7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 xml:space="preserve">4.2) </w:t>
            </w:r>
          </w:p>
        </w:tc>
      </w:tr>
      <w:tr w:rsidTr="009A2E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Participants are best equipped to achieve this unit if they have reading, writing and numeracy skills indicated by the following scales. Description of each scale is given in Volume 2, Part 3 “Literacy and Numeracy”.</w:t>
            </w:r>
          </w:p>
        </w:tc>
      </w:tr>
      <w:tr w:rsidTr="009A2E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Reading</w:t>
            </w:r>
          </w:p>
        </w:tc>
        <w:tc>
          <w:tcPr>
            <w:tcW w:w="81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3</w:t>
            </w:r>
          </w:p>
        </w:tc>
        <w:tc>
          <w:tcPr>
            <w:tcW w:w="99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Writing</w:t>
            </w:r>
          </w:p>
        </w:tc>
        <w:tc>
          <w:tcPr>
            <w:tcW w:w="90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3</w:t>
            </w:r>
          </w:p>
        </w:tc>
        <w:tc>
          <w:tcPr>
            <w:tcW w:w="126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Numeracy</w:t>
            </w:r>
          </w:p>
        </w:tc>
        <w:tc>
          <w:tcPr>
            <w:tcW w:w="72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3</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6" w:name="O_465266"/>
      <w:bookmarkEnd w:id="6"/>
      <w:r w:rsidRPr="005B61BB">
        <w:t>Employability Skills Information</w:t>
      </w:r>
    </w:p>
    <w:tbl>
      <w:tblPr>
        <w:tblW w:w="0" w:type="auto"/>
        <w:tblLayout w:type="fixed"/>
        <w:tblCellMar>
          <w:left w:w="62" w:type="dxa"/>
          <w:right w:w="62" w:type="dxa"/>
        </w:tblCellMar>
        <w:tblLook w:val="0000"/>
      </w:tblPr>
      <w:tblGrid>
        <w:gridCol w:w="2700"/>
        <w:gridCol w:w="5760"/>
      </w:tblGrid>
      <w:tr w:rsidTr="009A2E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 xml:space="preserve">5) </w:t>
            </w:r>
          </w:p>
        </w:tc>
      </w:tr>
      <w:tr w:rsidTr="009A2E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 xml:space="preserve">The required outcomes described in this unit of competency contain applicable facets of Employability Skills. The Employability Skills Summary </w:t>
            </w:r>
            <w:r w:rsidRPr="005B61BB">
              <w:t>of the qualification in which this unit of competency is packaged will assist in identifying Employability Skill requirements.</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7" w:name="O_465265"/>
      <w:bookmarkEnd w:id="7"/>
      <w:r w:rsidRPr="005B61BB">
        <w:t>Elements and Performance Criteria Pre-Content</w:t>
      </w:r>
    </w:p>
    <w:tbl>
      <w:tblPr>
        <w:tblW w:w="0" w:type="auto"/>
        <w:tblLayout w:type="fixed"/>
        <w:tblCellMar>
          <w:left w:w="62" w:type="dxa"/>
          <w:right w:w="62" w:type="dxa"/>
        </w:tblCellMar>
        <w:tblLook w:val="0000"/>
      </w:tblPr>
      <w:tblGrid>
        <w:gridCol w:w="2700"/>
        <w:gridCol w:w="5760"/>
      </w:tblGrid>
      <w:tr w:rsidTr="009A2E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6)</w:t>
            </w:r>
            <w:r w:rsidRPr="005B61BB">
              <w:t xml:space="preserve"> Elements describe the essential outcomes of a competency stan</w:t>
            </w:r>
            <w:r w:rsidRPr="005B61BB">
              <w:t>dard unit</w:t>
            </w:r>
          </w:p>
        </w:tc>
        <w:tc>
          <w:tcPr>
            <w:tcW w:w="576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Performance Criteria describe the required performance needed to demonstrate achievement of the element. Assessment of performance is to be consistent with the Evidence Guide.</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8" w:name="O_465264"/>
      <w:bookmarkEnd w:id="8"/>
      <w:r w:rsidRPr="005B61BB">
        <w:t>Elements and Performance Criteria</w:t>
      </w:r>
    </w:p>
    <w:tbl>
      <w:tblPr>
        <w:tblW w:w="0" w:type="auto"/>
        <w:tblLayout w:type="fixed"/>
        <w:tblCellMar>
          <w:left w:w="62" w:type="dxa"/>
          <w:right w:w="62" w:type="dxa"/>
        </w:tblCellMar>
        <w:tblLook w:val="0000"/>
      </w:tblPr>
      <w:tblGrid>
        <w:gridCol w:w="405"/>
        <w:gridCol w:w="2295"/>
        <w:gridCol w:w="831"/>
        <w:gridCol w:w="4929"/>
      </w:tblGrid>
      <w:tr w:rsidTr="009A2E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PERFORMANCE CRITERIA</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w:t>
            </w:r>
          </w:p>
        </w:tc>
        <w:tc>
          <w:tcPr>
            <w:tcW w:w="2295"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Prepare the maintenance of traction bonds</w:t>
            </w: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1.1</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Works schedule(s), including drawings, plans, requirements, established procedures, and material lists, are received, analysed and confirmed, if necessary, by site inspection.</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1.2</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Relevant requirements and established procedures for the work are communicated to all personnel and identified for all work sites.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1.3</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OHS policies and procedures related to requirements and established procedures for the maintenance of traction bonds a</w:t>
            </w:r>
            <w:r w:rsidRPr="005B61BB">
              <w:t>re obtained and confirmed for the purposes of the work to be performed and communicated.</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1.4</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Work is prioritised and sequenced following consultation with others for completion within acceptable timeframes and in accordance with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1.5</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Hazards are identified; OHS risks assessed and control measures are prioritised, implemented and monitored including emergency exits kept clear according to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1.6</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Relevant work permits are obtained to access and perform work</w:t>
            </w:r>
            <w:r w:rsidRPr="005B61BB">
              <w:t xml:space="preserve"> according to requirements and/or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1.7</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Resources including personnel, equipment, tools and personal protective equipment required for the job are obtained and confirmed in working order.</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1.8</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Relevant personnel at worksite are confirmed current in CPR, First Aid, and other rescue procedures according to requirements.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1.9</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Liaison and communication issues with other authorised personnel, authorities, clients and land owners are resolved to car</w:t>
            </w:r>
            <w:r w:rsidRPr="005B61BB">
              <w:t>ry out work where necessary.</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1.10</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Site is prepared according to the work schedule and to minimise risk and damage to property, commerce, and individuals in accordance with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1.11</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Personnel participating in the work, including plant operators and contractors, are fully briefed and respective responsibilities confirmed where applicable in accordance with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1.12</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Rail/Road signs, barriers and warning devices ar</w:t>
            </w:r>
            <w:r w:rsidRPr="005B61BB">
              <w:t>e positioned in accordance with requirements.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1.13</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Environmental constraints applicable to work are identified and control measures applied.</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w:t>
            </w:r>
          </w:p>
        </w:tc>
        <w:tc>
          <w:tcPr>
            <w:tcW w:w="2295"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Carry out maintenance of traction bonds</w:t>
            </w: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2.1</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OHS and sustainable energy principles and practices to reduce the</w:t>
            </w:r>
            <w:r w:rsidRPr="005B61BB">
              <w:t xml:space="preserve"> incidents of accidents and minimise waste are monitored and followed in accordance with requirements and/or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2.2</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Lifting, climbing, working aloft, and use of power tools/equipment, techniques and practices are safely followed and, currency according to requirements confirmed.</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2.3</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Systems and circuits are isolated as required, proved safe to work on in accordance w</w:t>
            </w:r>
            <w:r w:rsidRPr="005B61BB">
              <w:t>ith the requirements/permits and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2.4</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Essential knowledge and associated skills are applied in the safe maintenance and repair of traction bonds and bonding cables to ensure completion in an agreed timeframe and, to quality standa</w:t>
            </w:r>
            <w:r w:rsidRPr="005B61BB">
              <w:t>rds with a minimum of waste according to requirements.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2.5</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Cable and surrounds, including rail and other surfaces, are prepared to enable joint and terminations to be carried out according to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2.6</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Maintenance is carried out, in</w:t>
            </w:r>
            <w:r w:rsidRPr="005B61BB">
              <w:t xml:space="preserve"> accordance with the work schedule and requirements/established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2.7</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 xml:space="preserve">Hazard warnings and safety signs are recognised and hazards and assessed OHS risks are reported to the immediate authorised persons for directions </w:t>
            </w:r>
            <w:r w:rsidRPr="005B61BB">
              <w:t>according to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2.8</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Unplanned events in the maintenance of traction bonds are undertaken within the scope of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2.9</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 xml:space="preserve">Known solutions to a variety of problems are applied using acquired essential knowledge and </w:t>
            </w:r>
            <w:r w:rsidRPr="005B61BB">
              <w:t>associated skills.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2.10</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Ongoing checks of quality of the work are undertaken in accordance with instructions and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3</w:t>
            </w:r>
          </w:p>
        </w:tc>
        <w:tc>
          <w:tcPr>
            <w:tcW w:w="2295"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Complete the maintenance of traction bonds</w:t>
            </w: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3.1</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Work undertaken is checked and tested against design drawings and works schedule for conformance with requirements and anomalies reported in accordance with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3.2</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Work site is rehabilitated, cleaned up and made safe in accordance w</w:t>
            </w:r>
            <w:r w:rsidRPr="005B61BB">
              <w:t>ith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3.3</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Tools, equipment and any surplus resources and materials are, where appropriate, cleaned, checked and returned to storage in accordance with established procedures.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3.4</w:t>
            </w:r>
          </w:p>
        </w:tc>
        <w:tc>
          <w:tcPr>
            <w:tcW w:w="4929"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Relevant work permit(s) are signed off and, the s</w:t>
            </w:r>
            <w:r w:rsidRPr="005B61BB">
              <w:t>ystem that has undergone the maintenance of a traction bond(s) is returned to service in accordance with requirements.</w:t>
            </w:r>
          </w:p>
        </w:tc>
      </w:tr>
      <w:tr w:rsidTr="009A2E7A">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t>3.5</w:t>
            </w:r>
          </w:p>
        </w:tc>
        <w:tc>
          <w:tcPr>
            <w:tcW w:w="4929"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Works completion records, reports, as installed /modified drawing and/or documentation and information are finalised and processed</w:t>
            </w:r>
            <w:r w:rsidRPr="005B61BB">
              <w:t xml:space="preserve"> and appropriate personnel notified.</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9" w:name="O_465272"/>
      <w:bookmarkEnd w:id="9"/>
      <w:r w:rsidRPr="005B61BB">
        <w:t>Required Skills and Knowledge</w:t>
      </w:r>
    </w:p>
    <w:tbl>
      <w:tblPr>
        <w:tblW w:w="0" w:type="auto"/>
        <w:tblLayout w:type="fixed"/>
        <w:tblCellMar>
          <w:left w:w="62" w:type="dxa"/>
          <w:right w:w="62" w:type="dxa"/>
        </w:tblCellMar>
        <w:tblLook w:val="0000"/>
      </w:tblPr>
      <w:tblGrid>
        <w:gridCol w:w="8460"/>
      </w:tblGrid>
      <w:tr w:rsidTr="009A2E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REQUIRED SKILLS AND KNOWLEDGE</w:t>
            </w:r>
          </w:p>
        </w:tc>
      </w:tr>
      <w:tr w:rsidTr="009A2E7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8)</w:t>
            </w:r>
            <w:r w:rsidRPr="005B61BB">
              <w:t xml:space="preserve"> Essential Knowledge and Associated Skills (EKAS): This describes the essential skills and knowledge </w:t>
            </w:r>
            <w:r w:rsidRPr="005B61BB">
              <w:t>and their level, required for this unit.</w:t>
            </w:r>
          </w:p>
          <w:p w:rsidR="00000000" w:rsidRPr="005B61BB" w:rsidP="005B61BB">
            <w:pPr>
              <w:pStyle w:val="BodyText"/>
            </w:pPr>
            <w:r w:rsidRPr="005B61BB">
              <w:t>Evidence shall show that knowledge of maintaining traction bonds has been acquired.</w:t>
            </w:r>
          </w:p>
          <w:p w:rsidR="00000000" w:rsidRPr="005B61BB" w:rsidP="005B61BB">
            <w:pPr>
              <w:pStyle w:val="BodyText"/>
            </w:pPr>
            <w:r w:rsidRPr="005B61BB">
              <w:t>All knowledge and skills detailed in this unit should be contextualised to current industry practices and technologies.</w:t>
            </w:r>
          </w:p>
          <w:p w:rsidR="00000000" w:rsidRPr="005B61BB" w:rsidP="005B61BB">
            <w:pPr>
              <w:pStyle w:val="BodyText"/>
            </w:pPr>
            <w:r w:rsidRPr="005B61BB">
              <w:t>KS01-TRT24A</w:t>
            </w:r>
            <w:r w:rsidRPr="005B61BB">
              <w:tab/>
              <w:t>Maintain traction bonds</w:t>
            </w:r>
          </w:p>
          <w:p w:rsidR="00000000" w:rsidRPr="005B61BB" w:rsidP="005B61BB">
            <w:pPr>
              <w:pStyle w:val="BodyText"/>
            </w:pPr>
            <w:r w:rsidRPr="005B61BB">
              <w:t>Evidence shall show an understanding of the maintenance of traction bonding systems indicated by the following aspects:</w:t>
            </w:r>
          </w:p>
          <w:p w:rsidR="00000000" w:rsidRPr="005B61BB" w:rsidP="005B61BB">
            <w:pPr>
              <w:pStyle w:val="BodyText"/>
            </w:pPr>
            <w:r w:rsidRPr="005B61BB">
              <w:t>T1</w:t>
            </w:r>
            <w:r w:rsidRPr="005B61BB">
              <w:tab/>
              <w:t>Traction bond and cables encompassing:</w:t>
            </w:r>
          </w:p>
          <w:p w:rsidR="00000000" w:rsidRPr="005B61BB" w:rsidP="005B61BB">
            <w:pPr>
              <w:pStyle w:val="ListBullet"/>
            </w:pPr>
            <w:r w:rsidRPr="005B61BB">
              <w:t>Temporary and permanent bonding methods</w:t>
            </w:r>
          </w:p>
          <w:p w:rsidR="00000000" w:rsidRPr="005B61BB" w:rsidP="005B61BB">
            <w:pPr>
              <w:pStyle w:val="ListBullet"/>
            </w:pPr>
            <w:r w:rsidRPr="005B61BB">
              <w:t>Applications for temporary and permanent bonding</w:t>
            </w:r>
          </w:p>
          <w:p w:rsidR="00000000" w:rsidRPr="005B61BB" w:rsidP="005B61BB">
            <w:pPr>
              <w:pStyle w:val="ListBullet"/>
            </w:pPr>
            <w:r w:rsidRPr="005B61BB">
              <w:t>Components of temporary and permanent bonds</w:t>
            </w:r>
          </w:p>
          <w:p w:rsidR="00000000" w:rsidRPr="005B61BB" w:rsidP="005B61BB">
            <w:pPr>
              <w:pStyle w:val="ListBullet"/>
            </w:pPr>
            <w:r w:rsidRPr="005B61BB">
              <w:t>Interface between traction and signalling circuits</w:t>
            </w:r>
          </w:p>
          <w:p w:rsidR="00000000" w:rsidRPr="005B61BB" w:rsidP="005B61BB">
            <w:pPr>
              <w:pStyle w:val="BodyText"/>
            </w:pPr>
            <w:r w:rsidRPr="005B61BB">
              <w:t>T2</w:t>
            </w:r>
            <w:r w:rsidRPr="005B61BB">
              <w:tab/>
              <w:t>Safe working procedures/practices when carrying out temporary and permanent bonding encompassing:</w:t>
            </w:r>
          </w:p>
          <w:p w:rsidR="00000000" w:rsidRPr="005B61BB" w:rsidP="005B61BB">
            <w:pPr>
              <w:pStyle w:val="ListBullet"/>
            </w:pPr>
            <w:r w:rsidRPr="005B61BB">
              <w:t xml:space="preserve">Personnel </w:t>
            </w:r>
            <w:r w:rsidRPr="005B61BB">
              <w:t>protective equipment (PPE)</w:t>
            </w:r>
          </w:p>
          <w:p w:rsidR="00000000" w:rsidRPr="005B61BB" w:rsidP="005B61BB">
            <w:pPr>
              <w:pStyle w:val="ListBullet"/>
            </w:pPr>
            <w:r w:rsidRPr="005B61BB">
              <w:t>Electrical and visual testing on PPE</w:t>
            </w:r>
          </w:p>
          <w:p w:rsidR="00000000" w:rsidRPr="005B61BB" w:rsidP="005B61BB">
            <w:pPr>
              <w:pStyle w:val="BodyText"/>
            </w:pPr>
            <w:r w:rsidRPr="005B61BB">
              <w:t>T3</w:t>
            </w:r>
            <w:r w:rsidRPr="005B61BB">
              <w:tab/>
              <w:t>Installation and removal of temporary traction bonds and cables encompassing:</w:t>
            </w:r>
          </w:p>
          <w:p w:rsidR="00000000" w:rsidRPr="005B61BB" w:rsidP="005B61BB">
            <w:pPr>
              <w:pStyle w:val="ListBullet"/>
            </w:pPr>
            <w:r w:rsidRPr="005B61BB">
              <w:t>Types and purpose of tools and equipment</w:t>
            </w:r>
          </w:p>
          <w:p w:rsidR="00000000" w:rsidRPr="005B61BB" w:rsidP="005B61BB">
            <w:pPr>
              <w:pStyle w:val="ListBullet"/>
            </w:pPr>
            <w:r w:rsidRPr="005B61BB">
              <w:t>Installation and removal methods</w:t>
            </w:r>
          </w:p>
          <w:p w:rsidR="00000000" w:rsidRPr="005B61BB" w:rsidP="005B61BB">
            <w:pPr>
              <w:pStyle w:val="ListBullet"/>
            </w:pPr>
            <w:r w:rsidRPr="005B61BB">
              <w:t xml:space="preserve">Testing for electrical integrity of </w:t>
            </w:r>
            <w:r w:rsidRPr="005B61BB">
              <w:t>bonds and cables</w:t>
            </w:r>
          </w:p>
          <w:p w:rsidR="00000000" w:rsidRPr="005B61BB" w:rsidP="005B61BB">
            <w:pPr>
              <w:pStyle w:val="BodyText"/>
            </w:pPr>
            <w:r w:rsidRPr="005B61BB">
              <w:t>T4</w:t>
            </w:r>
            <w:r w:rsidRPr="005B61BB">
              <w:tab/>
              <w:t>Maintenance of traction bond encompassing:</w:t>
            </w:r>
          </w:p>
          <w:p w:rsidR="00000000" w:rsidRPr="005B61BB" w:rsidP="005B61BB">
            <w:pPr>
              <w:pStyle w:val="ListBullet"/>
            </w:pPr>
            <w:r w:rsidRPr="005B61BB">
              <w:t>Types and components</w:t>
            </w:r>
          </w:p>
          <w:p w:rsidR="00000000" w:rsidRPr="005B61BB" w:rsidP="005B61BB">
            <w:pPr>
              <w:pStyle w:val="ListBullet"/>
            </w:pPr>
            <w:r w:rsidRPr="005B61BB">
              <w:t>Types and function of tools and equipment</w:t>
            </w:r>
          </w:p>
          <w:p w:rsidR="00000000" w:rsidRPr="005B61BB" w:rsidP="005B61BB">
            <w:pPr>
              <w:pStyle w:val="ListBullet"/>
            </w:pPr>
            <w:r w:rsidRPr="005B61BB">
              <w:t>Maintenance/repair procedures</w:t>
            </w:r>
          </w:p>
          <w:p w:rsidR="00000000" w:rsidRPr="005B61BB" w:rsidP="005B61BB">
            <w:pPr>
              <w:pStyle w:val="ListBullet"/>
            </w:pPr>
            <w:r w:rsidRPr="005B61BB">
              <w:t>Inspection and recording procedures</w:t>
            </w:r>
          </w:p>
          <w:p w:rsidR="00000000" w:rsidRPr="005B61BB" w:rsidP="005B61BB">
            <w:pPr>
              <w:pStyle w:val="BodyText"/>
            </w:pPr>
            <w:r w:rsidRPr="005B61BB">
              <w:t>T5</w:t>
            </w:r>
            <w:r w:rsidRPr="005B61BB">
              <w:tab/>
              <w:t>Diagnose and correct simple faults in specific traction bond</w:t>
            </w:r>
            <w:r w:rsidRPr="005B61BB">
              <w:t>s encompassing:</w:t>
            </w:r>
          </w:p>
          <w:p w:rsidR="00000000" w:rsidRPr="005B61BB" w:rsidP="005B61BB">
            <w:pPr>
              <w:pStyle w:val="ListBullet"/>
            </w:pPr>
            <w:r w:rsidRPr="005B61BB">
              <w:t>Types and causes</w:t>
            </w:r>
          </w:p>
          <w:p w:rsidR="00000000" w:rsidRPr="005B61BB" w:rsidP="005B61BB">
            <w:pPr>
              <w:pStyle w:val="ListBullet"/>
            </w:pPr>
            <w:r w:rsidRPr="005B61BB">
              <w:t>Determination of appropriate corrective actions</w:t>
            </w:r>
          </w:p>
          <w:p w:rsidR="00000000" w:rsidRPr="005B61BB" w:rsidP="005B61BB">
            <w:pPr>
              <w:pStyle w:val="ListBullet"/>
            </w:pPr>
            <w:r w:rsidRPr="005B61BB">
              <w:t xml:space="preserve">Repair and replace procedures </w:t>
            </w:r>
          </w:p>
          <w:p w:rsidR="00000000" w:rsidRPr="005B61BB" w:rsidP="005B61BB">
            <w:pPr>
              <w:pStyle w:val="BodyText"/>
            </w:pPr>
            <w:r w:rsidRPr="005B61BB">
              <w:t>T6</w:t>
            </w:r>
            <w:r w:rsidRPr="005B61BB">
              <w:tab/>
              <w:t>Installation and removal of permanent traction bonds and cables encompassing:</w:t>
            </w:r>
          </w:p>
          <w:p w:rsidR="00000000" w:rsidRPr="005B61BB" w:rsidP="005B61BB">
            <w:pPr>
              <w:pStyle w:val="ListBullet"/>
            </w:pPr>
            <w:r w:rsidRPr="005B61BB">
              <w:t>Types and purposes of tools and equipment</w:t>
            </w:r>
          </w:p>
          <w:p w:rsidR="00000000" w:rsidRPr="005B61BB" w:rsidP="005B61BB">
            <w:pPr>
              <w:pStyle w:val="ListBullet"/>
            </w:pPr>
            <w:r w:rsidRPr="005B61BB">
              <w:t>Installation and removal methods</w:t>
            </w:r>
          </w:p>
          <w:p w:rsidR="00000000" w:rsidRPr="005B61BB" w:rsidP="005B61BB">
            <w:pPr>
              <w:pStyle w:val="ListBullet"/>
            </w:pPr>
            <w:r w:rsidRPr="005B61BB">
              <w:t>Testing for electrical integrity of bond, cables and equipment</w:t>
            </w:r>
          </w:p>
          <w:p w:rsidR="00000000" w:rsidRPr="005B61BB" w:rsidP="005B61BB">
            <w:pPr>
              <w:pStyle w:val="BodyText"/>
            </w:pPr>
            <w:r w:rsidRPr="005B61BB">
              <w:t>T7</w:t>
            </w:r>
            <w:r w:rsidRPr="005B61BB">
              <w:tab/>
              <w:t>Maintenance and repair of permanent traction bonds, cables and equipment</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10" w:name="O_465267"/>
      <w:bookmarkEnd w:id="10"/>
      <w:r w:rsidRPr="005B61BB">
        <w:t>Evidence Guide</w:t>
      </w:r>
    </w:p>
    <w:tbl>
      <w:tblPr>
        <w:tblW w:w="0" w:type="auto"/>
        <w:tblLayout w:type="fixed"/>
        <w:tblCellMar>
          <w:left w:w="62" w:type="dxa"/>
          <w:right w:w="62" w:type="dxa"/>
        </w:tblCellMar>
        <w:tblLook w:val="0000"/>
      </w:tblPr>
      <w:tblGrid>
        <w:gridCol w:w="8460"/>
      </w:tblGrid>
      <w:tr w:rsidTr="009A2E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EVIDENCE GUIDE</w:t>
            </w:r>
          </w:p>
        </w:tc>
      </w:tr>
      <w:tr w:rsidTr="009A2E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9)</w:t>
            </w:r>
            <w:r w:rsidRPr="005B61BB">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5B61BB" w:rsidP="005B61BB">
            <w:pPr>
              <w:pStyle w:val="BodyText"/>
            </w:pPr>
            <w:r w:rsidRPr="005B61BB">
              <w:t>The Evidenc</w:t>
            </w:r>
            <w:r w:rsidRPr="005B61BB">
              <w:t>e Guide forms an integral part of this Competency Standard Unit and shall be used in conjunction with all component parts of this unit and, performed in accordance with the Assessment Guidelines of this Training Package.</w:t>
            </w:r>
          </w:p>
        </w:tc>
      </w:tr>
    </w:tbl>
    <w:p w:rsidR="00000000" w:rsidRPr="005B61BB" w:rsidP="005B61BB">
      <w:pPr>
        <w:pStyle w:val="BodyText"/>
      </w:pPr>
    </w:p>
    <w:tbl>
      <w:tblPr>
        <w:tblW w:w="0" w:type="auto"/>
        <w:tblLayout w:type="fixed"/>
        <w:tblCellMar>
          <w:left w:w="62" w:type="dxa"/>
          <w:right w:w="62" w:type="dxa"/>
        </w:tblCellMar>
        <w:tblLook w:val="0000"/>
      </w:tblPr>
      <w:tblGrid>
        <w:gridCol w:w="1890"/>
        <w:gridCol w:w="6570"/>
      </w:tblGrid>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9.1)</w:t>
            </w:r>
          </w:p>
        </w:tc>
      </w:tr>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Lon</w:t>
            </w:r>
            <w:r w:rsidRPr="005B61BB">
              <w:t>gitudinal competency development approaches to assessment, such as Profiling, require data to be reliably gathered in a form that can be consistently interpreted over time. This approach is best utilised in Apprenticeship programs and reduces assessment in</w:t>
            </w:r>
            <w:r w:rsidRPr="005B61BB">
              <w:t>tervention. It is the Industry’s preferred model for apprenticeships. However, where summative (or final) assessment is used it is to include the application of the competency in the normal work environment or, at a minimum, the application of the competen</w:t>
            </w:r>
            <w:r w:rsidRPr="005B61BB">
              <w:t>cy in a realistically simulated work environment. It is recognised that, in some circumstances, assessment in part or full can occur outside the workplace. However, it must be in accord with Industry and, Regulatory policy in this regard.</w:t>
            </w:r>
          </w:p>
          <w:p w:rsidR="00000000" w:rsidRPr="005B61BB" w:rsidP="005B61BB">
            <w:pPr>
              <w:pStyle w:val="BodyText"/>
            </w:pPr>
            <w:r w:rsidRPr="005B61BB">
              <w:t>Methods chosen fo</w:t>
            </w:r>
            <w:r w:rsidRPr="005B61BB">
              <w:t>r a particular assessment will be influenced by various factors. These include the extent of the assessment, the most effective locations for the assessment activities to take place, access to physical resources, additional safety measures that may be requ</w:t>
            </w:r>
            <w:r w:rsidRPr="005B61BB">
              <w:t>ired and the critical nature of the competencies being assessed.</w:t>
            </w:r>
          </w:p>
          <w:p w:rsidR="00000000" w:rsidRPr="005B61BB" w:rsidP="005B61BB">
            <w:pPr>
              <w:pStyle w:val="BodyText"/>
            </w:pPr>
            <w:r w:rsidRPr="005B61BB">
              <w:t>The critical safety nature of working with electricity, electrical equipment, gas or any other hazardous substance/material carries risk in deeming a person competent. Hence, sources of evide</w:t>
            </w:r>
            <w:r w:rsidRPr="005B61BB">
              <w:t>nce need to be ‘rich’ in nature so as to minimise error in judgment.</w:t>
            </w:r>
          </w:p>
          <w:p w:rsidR="00000000" w:rsidRPr="005B61BB" w:rsidP="005B61BB">
            <w:pPr>
              <w:pStyle w:val="BodyText"/>
            </w:pPr>
            <w:r w:rsidRPr="005B61BB">
              <w:t>Activities associated with normal every day work have a bearing on the decision as to how much and how detailed the data gathered will contribute to its ‘richness’</w:t>
            </w:r>
            <w:r w:rsidRPr="005B61BB">
              <w:t>. Some skills are more critical to safety and operational requirements while the same skills may be more or less frequently practiced. These points are raised for the assessors to consider when choosing an assessment method and developing assessment instru</w:t>
            </w:r>
            <w:r w:rsidRPr="005B61BB">
              <w:t>ments. Sample assessment instruments are included for Assessors in the Assessment Guidelines of this Training Package.</w:t>
            </w:r>
          </w:p>
        </w:tc>
      </w:tr>
    </w:tbl>
    <w:p w:rsidR="00000000" w:rsidRPr="005B61BB" w:rsidP="005B61B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9.2)</w:t>
            </w:r>
          </w:p>
        </w:tc>
      </w:tr>
      <w:tr w:rsidTr="009A2E7A">
        <w:tblPrEx>
          <w:tblW w:w="0" w:type="auto"/>
          <w:tblLayout w:type="fixed"/>
          <w:tblCellMar>
            <w:left w:w="62" w:type="dxa"/>
            <w:right w:w="62" w:type="dxa"/>
          </w:tblCellMar>
          <w:tblLook w:val="0000"/>
        </w:tblPrEx>
        <w:trPr>
          <w:trHeight w:val="694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Before the critical aspects of evidence are cons</w:t>
            </w:r>
            <w:r w:rsidRPr="005B61BB">
              <w:t>idered all prerequisites shall be met.</w:t>
            </w:r>
          </w:p>
          <w:p w:rsidR="00000000" w:rsidRPr="005B61BB" w:rsidP="005B61BB">
            <w:pPr>
              <w:pStyle w:val="BodyText"/>
            </w:pPr>
            <w:r w:rsidRPr="005B61BB">
              <w:t>Evidence for competence in this unit shall be considered holistically. Each element and associated Performance Criteria shall be demonstrated on at least two occasions in accordance with the “Assessment Guidelines – U</w:t>
            </w:r>
            <w:r w:rsidRPr="005B61BB">
              <w:t>ET12”. Evidence shall also comprise:</w:t>
            </w:r>
          </w:p>
          <w:p w:rsidR="00000000" w:rsidRPr="005B61BB" w:rsidP="005B61BB">
            <w:pPr>
              <w:pStyle w:val="ListBullet"/>
            </w:pPr>
            <w:r w:rsidRPr="005B61BB">
              <w:t xml:space="preserve">A representative body of Performance Criteria demonstrated within the timeframes typically expected of the discipline, work function and industrial environment. In particular this shall incorporate evidence that shows </w:t>
            </w:r>
            <w:r w:rsidRPr="005B61BB">
              <w:t>a candidate is able to:</w:t>
            </w:r>
          </w:p>
          <w:p w:rsidR="00000000" w:rsidRPr="005B61BB" w:rsidP="005B61BB">
            <w:pPr>
              <w:pStyle w:val="ListBullet2"/>
            </w:pPr>
            <w:r w:rsidRPr="005B61BB">
              <w:t>Implement Occupational Health and Safety workplace procedures and practices including the use of risk control measures as specified in the Performance Criteria and range; and</w:t>
            </w:r>
          </w:p>
          <w:p w:rsidR="00000000" w:rsidRPr="005B61BB" w:rsidP="005B61BB">
            <w:pPr>
              <w:pStyle w:val="ListBullet2"/>
            </w:pPr>
            <w:r w:rsidRPr="005B61BB">
              <w:t>Apply sustainable energy principles and</w:t>
            </w:r>
            <w:r w:rsidRPr="005B61BB">
              <w:t xml:space="preserve"> practices as specified in the Performance Criteria and range; and</w:t>
            </w:r>
          </w:p>
          <w:p w:rsidR="00000000" w:rsidRPr="005B61BB" w:rsidP="005B61BB">
            <w:pPr>
              <w:pStyle w:val="ListBullet2"/>
            </w:pPr>
            <w:r w:rsidRPr="005B61BB">
              <w:t>Demonstrate an understanding of the essential knowledge and associated skills as described in this unit to such an extent that the learner’s performance outcome is reported in accordance wi</w:t>
            </w:r>
            <w:r w:rsidRPr="005B61BB">
              <w:t>th the preferred approach; namely a percentile graded result, where required by the regulated environment; and</w:t>
            </w:r>
          </w:p>
          <w:p w:rsidR="00000000" w:rsidRPr="005B61BB" w:rsidP="005B61BB">
            <w:pPr>
              <w:pStyle w:val="ListBullet2"/>
            </w:pPr>
            <w:r w:rsidRPr="005B61BB">
              <w:t>Demonstrate an appropriate level of employability skills; and</w:t>
            </w:r>
          </w:p>
          <w:p w:rsidR="00000000" w:rsidRPr="005B61BB" w:rsidP="005B61BB">
            <w:pPr>
              <w:pStyle w:val="ListBullet"/>
            </w:pPr>
            <w:r w:rsidRPr="005B61BB">
              <w:t xml:space="preserve">Conduct work observing the relevant Anti Discrimination legislation, regulations, </w:t>
            </w:r>
            <w:r w:rsidRPr="005B61BB">
              <w:t>policies and workplace procedures; and</w:t>
            </w:r>
          </w:p>
          <w:p w:rsidR="00000000" w:rsidP="005B61BB">
            <w:pPr>
              <w:pStyle w:val="ListBullet2"/>
              <w:rPr>
                <w:lang w:val="en-NZ"/>
              </w:rPr>
            </w:pPr>
            <w:r w:rsidRPr="005B61BB">
              <w:t>Demonstrated performance across a representative range of contexts from the prescribed items below:</w:t>
            </w:r>
          </w:p>
        </w:tc>
      </w:tr>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B61B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1BB">
            <w:pPr>
              <w:pStyle w:val="BodyText"/>
              <w:rPr>
                <w:lang w:val="en-NZ"/>
              </w:rPr>
            </w:pPr>
            <w:r w:rsidRPr="005B61BB">
              <w:rPr>
                <w:rStyle w:val="SpecialBold"/>
              </w:rPr>
              <w:t>Range of tools/equipment/materials/procedures/workplaces/other variables</w:t>
            </w:r>
          </w:p>
        </w:tc>
      </w:tr>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B61B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1BB" w:rsidP="005B61BB">
            <w:pPr>
              <w:pStyle w:val="BodyText"/>
            </w:pPr>
            <w:r w:rsidRPr="005B61B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1BB" w:rsidP="005B61BB">
            <w:pPr>
              <w:pStyle w:val="BodyText"/>
            </w:pPr>
            <w:r w:rsidRPr="005B61B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1BB">
            <w:pPr>
              <w:pStyle w:val="BodyText"/>
              <w:rPr>
                <w:lang w:val="en-NZ"/>
              </w:rPr>
            </w:pPr>
            <w:r w:rsidRPr="005B61BB">
              <w:rPr>
                <w:rStyle w:val="SpecialBold"/>
              </w:rPr>
              <w:t>Item List</w:t>
            </w:r>
          </w:p>
        </w:tc>
      </w:tr>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1BB">
            <w:pPr>
              <w:pStyle w:val="BodyText"/>
              <w:rPr>
                <w:lang w:val="en-NZ"/>
              </w:rPr>
            </w:pPr>
            <w:r w:rsidRPr="005B61B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1BB">
            <w:pPr>
              <w:pStyle w:val="BodyText"/>
              <w:rPr>
                <w:lang w:val="en-NZ"/>
              </w:rPr>
            </w:pPr>
            <w:r w:rsidRPr="005B61BB">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1BB" w:rsidP="005B61BB">
            <w:pPr>
              <w:pStyle w:val="BodyText"/>
            </w:pPr>
            <w:r w:rsidRPr="005B61BB">
              <w:t>Covered or bare aluminium bonds</w:t>
            </w:r>
          </w:p>
          <w:p w:rsidR="00000000" w:rsidRPr="005B61BB" w:rsidP="005B61BB">
            <w:pPr>
              <w:pStyle w:val="BodyText"/>
            </w:pPr>
            <w:r w:rsidRPr="005B61BB">
              <w:t>Copper bonds</w:t>
            </w:r>
          </w:p>
          <w:p w:rsidR="00000000" w:rsidRPr="005B61BB" w:rsidP="005B61BB">
            <w:pPr>
              <w:pStyle w:val="BodyText"/>
            </w:pPr>
            <w:r w:rsidRPr="005B61BB">
              <w:t>Steel bonds</w:t>
            </w:r>
          </w:p>
          <w:p w:rsidR="00000000" w:rsidP="005B61BB">
            <w:pPr>
              <w:pStyle w:val="BodyText"/>
              <w:rPr>
                <w:lang w:val="en-NZ"/>
              </w:rPr>
            </w:pPr>
            <w:r w:rsidRPr="005B61BB">
              <w:t>Steel rail</w:t>
            </w:r>
          </w:p>
        </w:tc>
      </w:tr>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1BB">
            <w:pPr>
              <w:pStyle w:val="BodyText"/>
              <w:rPr>
                <w:lang w:val="en-NZ"/>
              </w:rPr>
            </w:pPr>
            <w:r w:rsidRPr="005B61B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1BB">
            <w:pPr>
              <w:pStyle w:val="BodyText"/>
              <w:rPr>
                <w:lang w:val="en-NZ"/>
              </w:rPr>
            </w:pPr>
            <w:r w:rsidRPr="005B61BB">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1BB" w:rsidP="005B61BB">
            <w:pPr>
              <w:pStyle w:val="BodyText"/>
            </w:pPr>
            <w:r w:rsidRPr="005B61BB">
              <w:t>Bonding specific tools</w:t>
            </w:r>
          </w:p>
          <w:p w:rsidR="00000000" w:rsidRPr="005B61BB" w:rsidP="005B61BB">
            <w:pPr>
              <w:pStyle w:val="BodyText"/>
            </w:pPr>
            <w:r w:rsidRPr="005B61BB">
              <w:t>Crimping devices</w:t>
            </w:r>
          </w:p>
          <w:p w:rsidR="00000000" w:rsidRPr="005B61BB" w:rsidP="005B61BB">
            <w:pPr>
              <w:pStyle w:val="BodyText"/>
            </w:pPr>
            <w:r w:rsidRPr="005B61BB">
              <w:t>Thermal moulds</w:t>
            </w:r>
          </w:p>
          <w:p w:rsidR="00000000" w:rsidRPr="005B61BB" w:rsidP="005B61BB">
            <w:pPr>
              <w:pStyle w:val="BodyText"/>
            </w:pPr>
            <w:r w:rsidRPr="005B61BB">
              <w:t>Rail drill</w:t>
            </w:r>
          </w:p>
          <w:p w:rsidR="00000000" w:rsidRPr="005B61BB" w:rsidP="005B61BB">
            <w:pPr>
              <w:pStyle w:val="BodyText"/>
            </w:pPr>
            <w:r w:rsidRPr="005B61BB">
              <w:t>Bonding fittings</w:t>
            </w:r>
          </w:p>
          <w:p w:rsidR="00000000" w:rsidRPr="005B61BB" w:rsidP="005B61BB">
            <w:pPr>
              <w:pStyle w:val="BodyText"/>
            </w:pPr>
            <w:r w:rsidRPr="005B61BB">
              <w:t>Explosive power tools</w:t>
            </w:r>
          </w:p>
          <w:p w:rsidR="00000000" w:rsidP="005B61BB">
            <w:pPr>
              <w:pStyle w:val="BodyText"/>
              <w:rPr>
                <w:lang w:val="en-NZ"/>
              </w:rPr>
            </w:pPr>
            <w:r w:rsidRPr="005B61BB">
              <w:t>Portable hand tools</w:t>
            </w:r>
          </w:p>
        </w:tc>
      </w:tr>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1BB">
            <w:pPr>
              <w:pStyle w:val="BodyText"/>
              <w:rPr>
                <w:lang w:val="en-NZ"/>
              </w:rPr>
            </w:pPr>
            <w:r w:rsidRPr="005B61B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1BB">
            <w:pPr>
              <w:pStyle w:val="BodyText"/>
              <w:rPr>
                <w:lang w:val="en-NZ"/>
              </w:rPr>
            </w:pPr>
            <w:r w:rsidRPr="005B61B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1BB" w:rsidP="005B61BB">
            <w:pPr>
              <w:pStyle w:val="BodyText"/>
            </w:pPr>
            <w:r w:rsidRPr="005B61BB">
              <w:t xml:space="preserve">Dealing with an unplanned event by drawing on essential knowledge and associated skills to provide appropriate solutions incorporated in the </w:t>
            </w:r>
            <w:r w:rsidRPr="005B61BB">
              <w:t>holistic assessment with the above listed items.</w:t>
            </w:r>
          </w:p>
        </w:tc>
      </w:tr>
    </w:tbl>
    <w:p w:rsidR="00000000" w:rsidRPr="005B61BB" w:rsidP="005B61BB">
      <w:pPr>
        <w:pStyle w:val="BodyText"/>
      </w:pPr>
    </w:p>
    <w:tbl>
      <w:tblPr>
        <w:tblW w:w="0" w:type="auto"/>
        <w:tblLayout w:type="fixed"/>
        <w:tblCellMar>
          <w:left w:w="62" w:type="dxa"/>
          <w:right w:w="62" w:type="dxa"/>
        </w:tblCellMar>
        <w:tblLook w:val="0000"/>
      </w:tblPr>
      <w:tblGrid>
        <w:gridCol w:w="1890"/>
        <w:gridCol w:w="6570"/>
      </w:tblGrid>
      <w:tr w:rsidTr="009A2E7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9.3)</w:t>
            </w:r>
          </w:p>
        </w:tc>
      </w:tr>
      <w:tr w:rsidTr="009A2E7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 xml:space="preserve">This unit should be assessed as it relates to normal work practice using procedures, information and resources typical of a workplace. This </w:t>
            </w:r>
            <w:r w:rsidRPr="005B61BB">
              <w:t>should include:</w:t>
            </w:r>
          </w:p>
          <w:p w:rsidR="00000000" w:rsidRPr="005B61BB" w:rsidP="005B61BB">
            <w:pPr>
              <w:pStyle w:val="ListBullet"/>
            </w:pPr>
            <w:r w:rsidRPr="005B61BB">
              <w:t>OHS policy and work procedures and instructions.</w:t>
            </w:r>
          </w:p>
          <w:p w:rsidR="00000000" w:rsidRPr="005B61BB" w:rsidP="005B61BB">
            <w:pPr>
              <w:pStyle w:val="ListBullet"/>
            </w:pPr>
            <w:r w:rsidRPr="005B61BB">
              <w:t xml:space="preserve">Suitable work environment, facilities, equipment and materials to undertake actual maintenance of traction bonds. </w:t>
            </w:r>
          </w:p>
          <w:p w:rsidR="00000000" w:rsidRPr="005B61BB" w:rsidP="005B61BB">
            <w:pPr>
              <w:pStyle w:val="BodyText"/>
            </w:pPr>
            <w:r w:rsidRPr="005B61BB">
              <w:t>In addition to the resources listed above, in context of and specific resou</w:t>
            </w:r>
            <w:r w:rsidRPr="005B61BB">
              <w:t>rces for assessment, evidence should show demonstrated competency working below ground, in limited spaces, with different structural/construction types and method and in a variety of environments.</w:t>
            </w:r>
          </w:p>
        </w:tc>
      </w:tr>
    </w:tbl>
    <w:p w:rsidR="00000000" w:rsidRPr="005B61BB" w:rsidP="005B61BB">
      <w:pPr>
        <w:pStyle w:val="BodyText"/>
      </w:pPr>
    </w:p>
    <w:tbl>
      <w:tblPr>
        <w:tblW w:w="0" w:type="auto"/>
        <w:tblLayout w:type="fixed"/>
        <w:tblCellMar>
          <w:left w:w="62" w:type="dxa"/>
          <w:right w:w="62" w:type="dxa"/>
        </w:tblCellMar>
        <w:tblLook w:val="0000"/>
      </w:tblPr>
      <w:tblGrid>
        <w:gridCol w:w="1890"/>
        <w:gridCol w:w="6570"/>
      </w:tblGrid>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9.4)</w:t>
            </w:r>
          </w:p>
        </w:tc>
      </w:tr>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This Competency Standard Unit shall be assessed by methods given in Volume 1, Part 3 “Assessment Guidelines”.</w:t>
            </w:r>
          </w:p>
          <w:p w:rsidR="00000000" w:rsidRPr="005B61BB" w:rsidP="005B61BB">
            <w:pPr>
              <w:pStyle w:val="BodyText"/>
            </w:pPr>
            <w:r w:rsidRPr="005B61BB">
              <w:t>Note:</w:t>
            </w:r>
          </w:p>
          <w:p w:rsidR="00000000" w:rsidRPr="005B61BB" w:rsidP="005B61BB">
            <w:pPr>
              <w:pStyle w:val="BodyText"/>
            </w:pPr>
            <w:r w:rsidRPr="005B61BB">
              <w:t>Competent performance with inherent safe working practices is expected in the Transmission, Distribution and Rail Traction Industry. This re</w:t>
            </w:r>
            <w:r w:rsidRPr="005B61BB">
              <w:t>quires that the specified essential knowledge and associated skills are assessed in a structured environment which is primarily intended for learning/assessment and incorporates all necessary equipment and facilities for learners to develop and demonstrate</w:t>
            </w:r>
            <w:r w:rsidRPr="005B61BB">
              <w:t xml:space="preserve"> the essential knowledge and associated skills described in this unit.</w:t>
            </w:r>
          </w:p>
        </w:tc>
      </w:tr>
    </w:tbl>
    <w:p w:rsidR="00000000" w:rsidRPr="005B61BB" w:rsidP="005B61BB">
      <w:pPr>
        <w:pStyle w:val="BodyText"/>
      </w:pPr>
    </w:p>
    <w:tbl>
      <w:tblPr>
        <w:tblW w:w="0" w:type="auto"/>
        <w:tblLayout w:type="fixed"/>
        <w:tblCellMar>
          <w:left w:w="62" w:type="dxa"/>
          <w:right w:w="62" w:type="dxa"/>
        </w:tblCellMar>
        <w:tblLook w:val="0000"/>
      </w:tblPr>
      <w:tblGrid>
        <w:gridCol w:w="1890"/>
        <w:gridCol w:w="6570"/>
      </w:tblGrid>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9.5)</w:t>
            </w:r>
          </w:p>
        </w:tc>
      </w:tr>
      <w:tr w:rsidTr="009A2E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There are no concurrent assessment recommendations for this unit.</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11" w:name="O_465271"/>
      <w:bookmarkEnd w:id="11"/>
      <w:r w:rsidRPr="005B61BB">
        <w:t>Range Statement</w:t>
      </w:r>
    </w:p>
    <w:tbl>
      <w:tblPr>
        <w:tblW w:w="0" w:type="auto"/>
        <w:tblLayout w:type="fixed"/>
        <w:tblCellMar>
          <w:left w:w="62" w:type="dxa"/>
          <w:right w:w="62" w:type="dxa"/>
        </w:tblCellMar>
        <w:tblLook w:val="0000"/>
      </w:tblPr>
      <w:tblGrid>
        <w:gridCol w:w="8460"/>
      </w:tblGrid>
      <w:tr w:rsidTr="009A2E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RANGE STATEMENT</w:t>
            </w:r>
          </w:p>
        </w:tc>
      </w:tr>
      <w:tr w:rsidTr="009A2E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10)</w:t>
            </w:r>
            <w:r w:rsidRPr="005B61BB">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5B61BB" w:rsidP="005B61BB">
            <w:pPr>
              <w:pStyle w:val="BodyText"/>
            </w:pPr>
            <w:r w:rsidRPr="005B61BB">
              <w:t>This Competency Stand</w:t>
            </w:r>
            <w:r w:rsidRPr="005B61BB">
              <w:t xml:space="preserve">ard Unit shall be demonstrated in relation to the maintenance of the temporary and permanent traction bonds and bonding cables according to work plans. </w:t>
            </w:r>
          </w:p>
          <w:p w:rsidR="00000000" w:rsidRPr="005B61BB" w:rsidP="005B61BB">
            <w:pPr>
              <w:pStyle w:val="BodyText"/>
            </w:pPr>
            <w:r w:rsidRPr="005B61BB">
              <w:t>Maintenance may include the removal, repair and replacement of bonds and bonding cables, conductors and</w:t>
            </w:r>
            <w:r w:rsidRPr="005B61BB">
              <w:t xml:space="preserve"> associated hardware.</w:t>
            </w:r>
          </w:p>
          <w:p w:rsidR="00000000" w:rsidRPr="005B61BB" w:rsidP="005B61BB">
            <w:pPr>
              <w:pStyle w:val="BodyText"/>
            </w:pPr>
            <w:r w:rsidRPr="005B61BB">
              <w:t>Maintenance includes the carrying out of diagnostics and tests on structures, conductors, equipment, spark gaps, systems as well as the removal, repair and replacement of bonding cables, spark gaps, conductors, and associated hardware</w:t>
            </w:r>
            <w:r w:rsidRPr="005B61BB">
              <w:t xml:space="preserve"> and returning such to operational service. </w:t>
            </w:r>
          </w:p>
          <w:p w:rsidR="00000000" w:rsidRPr="005B61BB" w:rsidP="005B61BB">
            <w:pPr>
              <w:pStyle w:val="BodyText"/>
            </w:pPr>
            <w:r w:rsidRPr="005B61BB">
              <w:t>Earthing and bonding systems may be permanent or temporary.</w:t>
            </w:r>
          </w:p>
          <w:p w:rsidR="00000000" w:rsidRPr="005B61BB" w:rsidP="005B61BB">
            <w:pPr>
              <w:pStyle w:val="BodyText"/>
            </w:pPr>
            <w:r w:rsidRPr="005B61BB">
              <w:t>Types of conductors may include steel, steel rail, copper, aluminium and steel, bare and sheathed cables, single core, stranded and flexible.</w:t>
            </w:r>
          </w:p>
          <w:p w:rsidR="00000000" w:rsidRPr="005B61BB" w:rsidP="005B61BB">
            <w:pPr>
              <w:pStyle w:val="BodyText"/>
            </w:pPr>
            <w:r w:rsidRPr="005B61BB">
              <w:t>Cables ma</w:t>
            </w:r>
            <w:r w:rsidRPr="005B61BB">
              <w:t>y be surfaced mounted, buried and enclosed.</w:t>
            </w:r>
          </w:p>
          <w:p w:rsidR="00000000" w:rsidRPr="005B61BB" w:rsidP="005B61BB">
            <w:pPr>
              <w:pStyle w:val="BodyText"/>
            </w:pPr>
            <w:r w:rsidRPr="005B61BB">
              <w:t>Permanent jointing and terminating materials include polymeric tape materials, polymeric heat shrink and covering materials, exothermic welds, crimped and bolted connections.</w:t>
            </w:r>
          </w:p>
          <w:p w:rsidR="00000000" w:rsidRPr="005B61BB" w:rsidP="005B61BB">
            <w:pPr>
              <w:pStyle w:val="BodyText"/>
            </w:pPr>
            <w:r w:rsidRPr="005B61BB">
              <w:t>Temporary terminating components incl</w:t>
            </w:r>
            <w:r w:rsidRPr="005B61BB">
              <w:t>ude screwed and clipped earth/rail/conductor clamps.</w:t>
            </w:r>
          </w:p>
          <w:p w:rsidR="00000000" w:rsidRPr="005B61BB" w:rsidP="005B61BB">
            <w:pPr>
              <w:pStyle w:val="BodyText"/>
            </w:pPr>
            <w:r w:rsidRPr="005B61BB">
              <w:t>The following constants and variables included in the element/Performance Criteria in this unit are fully described in the Definitions Section 1 of this volume and form an integral part of the Range Stat</w:t>
            </w:r>
            <w:r w:rsidRPr="005B61BB">
              <w:t>ement of this unit:</w:t>
            </w:r>
          </w:p>
          <w:p w:rsidR="00000000" w:rsidRPr="005B61BB" w:rsidP="005B61BB">
            <w:pPr>
              <w:pStyle w:val="ListBullet3"/>
            </w:pPr>
            <w:r w:rsidRPr="005B61BB">
              <w:t>Appropriate and relevant persons (see Personnel)</w:t>
            </w:r>
          </w:p>
          <w:p w:rsidR="00000000" w:rsidRPr="005B61BB" w:rsidP="005B61BB">
            <w:pPr>
              <w:pStyle w:val="ListBullet3"/>
            </w:pPr>
            <w:r w:rsidRPr="005B61BB">
              <w:t>Appropriate authorities</w:t>
            </w:r>
          </w:p>
          <w:p w:rsidR="00000000" w:rsidRPr="005B61BB" w:rsidP="005B61BB">
            <w:pPr>
              <w:pStyle w:val="ListBullet3"/>
            </w:pPr>
            <w:r w:rsidRPr="005B61BB">
              <w:t>Appropriate work platform</w:t>
            </w:r>
          </w:p>
          <w:p w:rsidR="00000000" w:rsidRPr="005B61BB" w:rsidP="005B61BB">
            <w:pPr>
              <w:pStyle w:val="ListBullet3"/>
            </w:pPr>
            <w:r w:rsidRPr="005B61BB">
              <w:t>Assessing risk</w:t>
            </w:r>
          </w:p>
          <w:p w:rsidR="00000000" w:rsidRPr="005B61BB" w:rsidP="005B61BB">
            <w:pPr>
              <w:pStyle w:val="ListBullet3"/>
            </w:pPr>
            <w:r w:rsidRPr="005B61BB">
              <w:t>Assessment</w:t>
            </w:r>
          </w:p>
          <w:p w:rsidR="00000000" w:rsidRPr="005B61BB" w:rsidP="005B61BB">
            <w:pPr>
              <w:pStyle w:val="ListBullet3"/>
            </w:pPr>
            <w:r w:rsidRPr="005B61BB">
              <w:t>Authorisation</w:t>
            </w:r>
          </w:p>
          <w:p w:rsidR="00000000" w:rsidRPr="005B61BB" w:rsidP="005B61BB">
            <w:pPr>
              <w:pStyle w:val="ListBullet3"/>
            </w:pPr>
            <w:r w:rsidRPr="005B61BB">
              <w:t>Confined space</w:t>
            </w:r>
          </w:p>
          <w:p w:rsidR="00000000" w:rsidRPr="005B61BB" w:rsidP="005B61BB">
            <w:pPr>
              <w:pStyle w:val="ListBullet3"/>
            </w:pPr>
            <w:r w:rsidRPr="005B61BB">
              <w:t>Diagnostic, testing and restoration</w:t>
            </w:r>
          </w:p>
          <w:p w:rsidR="00000000" w:rsidRPr="005B61BB" w:rsidP="005B61BB">
            <w:pPr>
              <w:pStyle w:val="ListBullet3"/>
            </w:pPr>
            <w:r w:rsidRPr="005B61BB">
              <w:t>Documenting detail of work events, record keeping and or storage of information</w:t>
            </w:r>
          </w:p>
          <w:p w:rsidR="00000000" w:rsidRPr="005B61BB" w:rsidP="005B61BB">
            <w:pPr>
              <w:pStyle w:val="ListBullet3"/>
            </w:pPr>
            <w:r w:rsidRPr="005B61BB">
              <w:t>Drawings and specifications</w:t>
            </w:r>
          </w:p>
          <w:p w:rsidR="00000000" w:rsidRPr="005B61BB" w:rsidP="005B61BB">
            <w:pPr>
              <w:pStyle w:val="ListBullet3"/>
            </w:pPr>
            <w:r w:rsidRPr="005B61BB">
              <w:t>Emergency</w:t>
            </w:r>
          </w:p>
          <w:p w:rsidR="00000000" w:rsidRPr="005B61BB" w:rsidP="005B61BB">
            <w:pPr>
              <w:pStyle w:val="ListBullet3"/>
            </w:pPr>
            <w:r w:rsidRPr="005B61BB">
              <w:t>Environmental and sustainable energy procedures</w:t>
            </w:r>
          </w:p>
          <w:p w:rsidR="00000000" w:rsidRPr="005B61BB" w:rsidP="005B61BB">
            <w:pPr>
              <w:pStyle w:val="ListBullet3"/>
            </w:pPr>
            <w:r w:rsidRPr="005B61BB">
              <w:t>Environmental legislation</w:t>
            </w:r>
          </w:p>
          <w:p w:rsidR="00000000" w:rsidRPr="005B61BB" w:rsidP="005B61BB">
            <w:pPr>
              <w:pStyle w:val="ListBullet3"/>
            </w:pPr>
            <w:r w:rsidRPr="005B61BB">
              <w:t>Environmental management documentation</w:t>
            </w:r>
          </w:p>
          <w:p w:rsidR="00000000" w:rsidRPr="005B61BB" w:rsidP="005B61BB">
            <w:pPr>
              <w:pStyle w:val="ListBullet3"/>
            </w:pPr>
            <w:r w:rsidRPr="005B61BB">
              <w:t>Established procedures</w:t>
            </w:r>
          </w:p>
          <w:p w:rsidR="00000000" w:rsidRPr="005B61BB" w:rsidP="005B61BB">
            <w:pPr>
              <w:pStyle w:val="ListBullet3"/>
            </w:pPr>
            <w:r w:rsidRPr="005B61BB">
              <w:t>Fa</w:t>
            </w:r>
            <w:r w:rsidRPr="005B61BB">
              <w:t>ll prevention</w:t>
            </w:r>
          </w:p>
          <w:p w:rsidR="00000000" w:rsidRPr="005B61BB" w:rsidP="005B61BB">
            <w:pPr>
              <w:pStyle w:val="ListBullet3"/>
            </w:pPr>
            <w:r w:rsidRPr="005B61BB">
              <w:t>Hazards</w:t>
            </w:r>
          </w:p>
          <w:p w:rsidR="00000000" w:rsidRPr="005B61BB" w:rsidP="005B61BB">
            <w:pPr>
              <w:pStyle w:val="ListBullet3"/>
            </w:pPr>
            <w:r w:rsidRPr="005B61BB">
              <w:t>Identifying hazards</w:t>
            </w:r>
          </w:p>
          <w:p w:rsidR="00000000" w:rsidRPr="005B61BB" w:rsidP="005B61BB">
            <w:pPr>
              <w:pStyle w:val="ListBullet3"/>
            </w:pPr>
            <w:r w:rsidRPr="005B61BB">
              <w:t>Inspect</w:t>
            </w:r>
          </w:p>
          <w:p w:rsidR="00000000" w:rsidRPr="005B61BB" w:rsidP="005B61BB">
            <w:pPr>
              <w:pStyle w:val="ListBullet3"/>
            </w:pPr>
            <w:r w:rsidRPr="005B61BB">
              <w:t>Legislation</w:t>
            </w:r>
          </w:p>
          <w:p w:rsidR="00000000" w:rsidRPr="005B61BB" w:rsidP="005B61BB">
            <w:pPr>
              <w:pStyle w:val="ListBullet3"/>
            </w:pPr>
            <w:r w:rsidRPr="005B61BB">
              <w:t>MSDS</w:t>
            </w:r>
          </w:p>
          <w:p w:rsidR="00000000" w:rsidRPr="005B61BB" w:rsidP="005B61BB">
            <w:pPr>
              <w:pStyle w:val="ListBullet3"/>
            </w:pPr>
            <w:r w:rsidRPr="005B61BB">
              <w:t>Notification</w:t>
            </w:r>
          </w:p>
          <w:p w:rsidR="00000000" w:rsidRPr="005B61BB" w:rsidP="005B61BB">
            <w:pPr>
              <w:pStyle w:val="ListBullet3"/>
            </w:pPr>
            <w:r w:rsidRPr="005B61BB">
              <w:t>OHS practices</w:t>
            </w:r>
          </w:p>
          <w:p w:rsidR="00000000" w:rsidRPr="005B61BB" w:rsidP="005B61BB">
            <w:pPr>
              <w:pStyle w:val="ListBullet3"/>
            </w:pPr>
            <w:r w:rsidRPr="005B61BB">
              <w:t>OHS issues</w:t>
            </w:r>
          </w:p>
          <w:p w:rsidR="00000000" w:rsidRPr="005B61BB" w:rsidP="005B61BB">
            <w:pPr>
              <w:pStyle w:val="ListBullet3"/>
            </w:pPr>
            <w:r w:rsidRPr="005B61BB">
              <w:t>Permits and/or permits to work</w:t>
            </w:r>
          </w:p>
          <w:p w:rsidR="00000000" w:rsidRPr="005B61BB" w:rsidP="005B61BB">
            <w:pPr>
              <w:pStyle w:val="ListBullet3"/>
            </w:pPr>
            <w:r w:rsidRPr="005B61BB">
              <w:t>Personnel</w:t>
            </w:r>
          </w:p>
          <w:p w:rsidR="00000000" w:rsidRPr="005B61BB" w:rsidP="005B61BB">
            <w:pPr>
              <w:pStyle w:val="ListBullet3"/>
            </w:pPr>
            <w:r w:rsidRPr="005B61BB">
              <w:t>Quality assurance systems</w:t>
            </w:r>
          </w:p>
          <w:p w:rsidR="00000000" w:rsidRPr="005B61BB" w:rsidP="005B61BB">
            <w:pPr>
              <w:pStyle w:val="ListBullet3"/>
            </w:pPr>
            <w:r w:rsidRPr="005B61BB">
              <w:t>Requirements</w:t>
            </w:r>
          </w:p>
          <w:p w:rsidR="00000000" w:rsidRPr="005B61BB" w:rsidP="005B61BB">
            <w:pPr>
              <w:pStyle w:val="ListBullet3"/>
            </w:pPr>
            <w:r w:rsidRPr="005B61BB">
              <w:t>Testing procedures</w:t>
            </w:r>
          </w:p>
          <w:p w:rsidR="00000000" w:rsidRPr="005B61BB" w:rsidP="005B61BB">
            <w:pPr>
              <w:pStyle w:val="ListBullet3"/>
            </w:pPr>
            <w:r w:rsidRPr="005B61BB">
              <w:t>Work clearance systems</w:t>
            </w:r>
          </w:p>
        </w:tc>
      </w:tr>
    </w:tbl>
    <w:p w:rsidR="00000000" w:rsidRPr="005B61BB" w:rsidP="005B61BB">
      <w:pPr>
        <w:pStyle w:val="BodyText"/>
      </w:pPr>
    </w:p>
    <w:p w:rsidR="00000000" w:rsidRPr="005B61BB" w:rsidP="005B61BB">
      <w:pPr>
        <w:pStyle w:val="AllowPageBreak"/>
      </w:pPr>
    </w:p>
    <w:p w:rsidR="00000000" w:rsidRPr="005B61BB" w:rsidP="005B61BB">
      <w:pPr>
        <w:pStyle w:val="Heading1"/>
      </w:pPr>
      <w:bookmarkStart w:id="12" w:name="O_465274"/>
      <w:bookmarkEnd w:id="12"/>
      <w:r w:rsidRPr="005B61BB">
        <w:t>Unit Sector(s)</w:t>
      </w:r>
    </w:p>
    <w:p w:rsidR="00000000" w:rsidRPr="005B61BB" w:rsidP="005B61BB">
      <w:pPr>
        <w:pStyle w:val="BodyText"/>
      </w:pPr>
      <w:r w:rsidRPr="005B61BB">
        <w:t>Not applicable.</w:t>
      </w:r>
    </w:p>
    <w:p w:rsidR="00000000" w:rsidRPr="005B61BB" w:rsidP="005B61BB">
      <w:pPr>
        <w:pStyle w:val="AllowPageBreak"/>
      </w:pPr>
    </w:p>
    <w:p w:rsidR="00000000" w:rsidRPr="005B61BB" w:rsidP="005B61BB">
      <w:pPr>
        <w:pStyle w:val="Heading1"/>
      </w:pPr>
      <w:bookmarkStart w:id="13" w:name="O_465263"/>
      <w:bookmarkEnd w:id="13"/>
      <w:r w:rsidRPr="005B61BB">
        <w:t>Competency Field</w:t>
      </w:r>
    </w:p>
    <w:tbl>
      <w:tblPr>
        <w:tblW w:w="0" w:type="auto"/>
        <w:tblLayout w:type="fixed"/>
        <w:tblCellMar>
          <w:left w:w="62" w:type="dxa"/>
          <w:right w:w="62" w:type="dxa"/>
        </w:tblCellMar>
        <w:tblLook w:val="0000"/>
      </w:tblPr>
      <w:tblGrid>
        <w:gridCol w:w="2700"/>
        <w:gridCol w:w="5760"/>
      </w:tblGrid>
      <w:tr w:rsidTr="009A2E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B61BB">
            <w:pPr>
              <w:pStyle w:val="BodyText"/>
              <w:rPr>
                <w:lang w:val="en-NZ"/>
              </w:rPr>
            </w:pPr>
            <w:r w:rsidRPr="005B61BB">
              <w:rPr>
                <w:rStyle w:val="SpecialBold"/>
              </w:rPr>
              <w:t xml:space="preserve">11) </w:t>
            </w:r>
          </w:p>
        </w:tc>
      </w:tr>
      <w:tr w:rsidTr="009A2E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61BB" w:rsidP="005B61BB">
            <w:pPr>
              <w:pStyle w:val="BodyText"/>
            </w:pPr>
            <w:r w:rsidRPr="005B61BB">
              <w:t>Rail Traction Units</w:t>
            </w:r>
          </w:p>
        </w:tc>
      </w:tr>
    </w:tbl>
    <w:p w:rsidR="00000000" w:rsidRPr="005B61BB" w:rsidP="005B61BB">
      <w:pPr>
        <w:pStyle w:val="BodyText"/>
      </w:pPr>
    </w:p>
    <w:p w:rsidR="00000000" w:rsidRPr="005B61BB" w:rsidP="005B61BB"/>
    <w:sectPr w:rsidSect="005B61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E7A" w:rsidP="009A2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7A" w:rsidP="005B61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A2E7A" w:rsidP="005B61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A2E7A" w:rsidP="005B61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E7A" w:rsidP="009A2E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7A" w:rsidP="005B61BB">
    <w:pPr>
      <w:pStyle w:val="Header"/>
      <w:framePr w:wrap="around"/>
    </w:pPr>
    <w:r>
      <w:fldChar w:fldCharType="begin"/>
    </w:r>
    <w:r>
      <w:instrText xml:space="preserve"> TITLE   \* MERGEFORMAT </w:instrText>
    </w:r>
    <w:r>
      <w:fldChar w:fldCharType="separate"/>
    </w:r>
    <w:r>
      <w:t>UETTDRRT24A Maintain rail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2E7A" w:rsidP="005B61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C2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4B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A87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1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1BB"/>
    <w:pPr>
      <w:spacing w:before="360" w:after="60"/>
      <w:outlineLvl w:val="0"/>
    </w:pPr>
    <w:rPr>
      <w:sz w:val="32"/>
    </w:rPr>
  </w:style>
  <w:style w:type="paragraph" w:styleId="Heading2">
    <w:name w:val="heading 2"/>
    <w:basedOn w:val="HeadingBase"/>
    <w:next w:val="BodyText"/>
    <w:link w:val="Heading2Char"/>
    <w:qFormat/>
    <w:rsid w:val="005B61BB"/>
    <w:pPr>
      <w:keepLines/>
      <w:spacing w:before="240" w:after="120"/>
      <w:outlineLvl w:val="1"/>
    </w:pPr>
    <w:rPr>
      <w:sz w:val="28"/>
      <w:szCs w:val="40"/>
    </w:rPr>
  </w:style>
  <w:style w:type="paragraph" w:styleId="Heading3">
    <w:name w:val="heading 3"/>
    <w:basedOn w:val="HeadingBase"/>
    <w:next w:val="BodyText"/>
    <w:link w:val="Heading3Char"/>
    <w:qFormat/>
    <w:rsid w:val="005B61BB"/>
    <w:pPr>
      <w:spacing w:before="180" w:after="120"/>
      <w:outlineLvl w:val="2"/>
    </w:pPr>
    <w:rPr>
      <w:spacing w:val="-10"/>
      <w:kern w:val="32"/>
    </w:rPr>
  </w:style>
  <w:style w:type="paragraph" w:styleId="Heading4">
    <w:name w:val="heading 4"/>
    <w:basedOn w:val="HeadingBase"/>
    <w:next w:val="BodyText"/>
    <w:link w:val="Heading4Char"/>
    <w:qFormat/>
    <w:rsid w:val="005B61BB"/>
    <w:pPr>
      <w:spacing w:before="160" w:after="120"/>
      <w:outlineLvl w:val="3"/>
    </w:pPr>
    <w:rPr>
      <w:sz w:val="22"/>
    </w:rPr>
  </w:style>
  <w:style w:type="paragraph" w:styleId="Heading5">
    <w:name w:val="heading 5"/>
    <w:basedOn w:val="HeadingBase"/>
    <w:next w:val="Normal"/>
    <w:link w:val="Heading5Char"/>
    <w:qFormat/>
    <w:rsid w:val="005B61BB"/>
    <w:pPr>
      <w:spacing w:before="80"/>
      <w:outlineLvl w:val="4"/>
    </w:pPr>
    <w:rPr>
      <w:color w:val="918585"/>
      <w:sz w:val="20"/>
    </w:rPr>
  </w:style>
  <w:style w:type="paragraph" w:styleId="Heading6">
    <w:name w:val="heading 6"/>
    <w:basedOn w:val="HeadingBase"/>
    <w:next w:val="Normal"/>
    <w:link w:val="Heading6Char"/>
    <w:qFormat/>
    <w:rsid w:val="005B61BB"/>
    <w:pPr>
      <w:spacing w:before="60"/>
      <w:outlineLvl w:val="5"/>
    </w:pPr>
    <w:rPr>
      <w:color w:val="918585"/>
      <w:sz w:val="20"/>
    </w:rPr>
  </w:style>
  <w:style w:type="paragraph" w:styleId="Heading7">
    <w:name w:val="heading 7"/>
    <w:basedOn w:val="Normal"/>
    <w:next w:val="Normal"/>
    <w:link w:val="Heading7Char"/>
    <w:qFormat/>
    <w:rsid w:val="005B61BB"/>
    <w:pPr>
      <w:ind w:left="720"/>
      <w:outlineLvl w:val="6"/>
    </w:pPr>
    <w:rPr>
      <w:i/>
    </w:rPr>
  </w:style>
  <w:style w:type="paragraph" w:styleId="Heading8">
    <w:name w:val="heading 8"/>
    <w:basedOn w:val="Normal"/>
    <w:next w:val="Normal"/>
    <w:link w:val="Heading8Char"/>
    <w:qFormat/>
    <w:rsid w:val="005B61BB"/>
    <w:pPr>
      <w:ind w:left="720"/>
      <w:outlineLvl w:val="7"/>
    </w:pPr>
    <w:rPr>
      <w:i/>
    </w:rPr>
  </w:style>
  <w:style w:type="paragraph" w:styleId="Heading9">
    <w:name w:val="heading 9"/>
    <w:basedOn w:val="Normal"/>
    <w:next w:val="Normal"/>
    <w:link w:val="Heading9Char"/>
    <w:qFormat/>
    <w:rsid w:val="005B61BB"/>
    <w:pPr>
      <w:ind w:left="720"/>
      <w:outlineLvl w:val="8"/>
    </w:pPr>
    <w:rPr>
      <w:i/>
    </w:rPr>
  </w:style>
  <w:style w:type="character" w:default="1" w:styleId="DefaultParagraphFont">
    <w:name w:val="Default Paragraph Font"/>
    <w:uiPriority w:val="1"/>
    <w:unhideWhenUsed/>
    <w:rsid w:val="005B61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1BB"/>
  </w:style>
  <w:style w:type="character" w:customStyle="1" w:styleId="Heading1Char">
    <w:name w:val="Heading 1 Char"/>
    <w:basedOn w:val="DefaultParagraphFont"/>
    <w:link w:val="Heading1"/>
    <w:rsid w:val="005B61BB"/>
    <w:rPr>
      <w:rFonts w:ascii="Times New Roman" w:eastAsia="Times New Roman" w:hAnsi="Times New Roman" w:cs="Times New Roman"/>
      <w:b/>
      <w:sz w:val="32"/>
      <w:szCs w:val="20"/>
      <w:lang w:eastAsia="en-US"/>
    </w:rPr>
  </w:style>
  <w:style w:type="paragraph" w:styleId="BodyText">
    <w:name w:val="Body Text"/>
    <w:basedOn w:val="Normal"/>
    <w:link w:val="BodyTextChar"/>
    <w:rsid w:val="005B61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1BB"/>
    <w:rPr>
      <w:rFonts w:ascii="Times New Roman" w:eastAsia="Times New Roman" w:hAnsi="Times New Roman" w:cs="Times New Roman"/>
      <w:sz w:val="24"/>
      <w:lang w:val="en-US" w:eastAsia="en-US"/>
    </w:rPr>
  </w:style>
  <w:style w:type="paragraph" w:styleId="Footer">
    <w:name w:val="footer"/>
    <w:basedOn w:val="Normal"/>
    <w:link w:val="FooterChar"/>
    <w:rsid w:val="005B61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1BB"/>
    <w:rPr>
      <w:rFonts w:ascii="Times New Roman" w:eastAsia="Times New Roman" w:hAnsi="Times New Roman" w:cs="Times New Roman"/>
      <w:sz w:val="16"/>
      <w:lang w:val="en-US" w:eastAsia="en-US"/>
    </w:rPr>
  </w:style>
  <w:style w:type="paragraph" w:styleId="ListBullet">
    <w:name w:val="List Bullet"/>
    <w:basedOn w:val="List"/>
    <w:rsid w:val="005B61BB"/>
    <w:pPr>
      <w:numPr>
        <w:numId w:val="14"/>
      </w:numPr>
      <w:tabs>
        <w:tab w:val="clear" w:pos="340"/>
      </w:tabs>
      <w:spacing w:before="40" w:after="40"/>
    </w:pPr>
  </w:style>
  <w:style w:type="character" w:customStyle="1" w:styleId="SpecialBold">
    <w:name w:val="Special Bold"/>
    <w:basedOn w:val="DefaultParagraphFont"/>
    <w:rsid w:val="005B61BB"/>
    <w:rPr>
      <w:b/>
      <w:spacing w:val="0"/>
    </w:rPr>
  </w:style>
  <w:style w:type="paragraph" w:styleId="ListBullet2">
    <w:name w:val="List Bullet 2"/>
    <w:basedOn w:val="List2"/>
    <w:rsid w:val="005B61BB"/>
    <w:pPr>
      <w:numPr>
        <w:numId w:val="15"/>
      </w:numPr>
      <w:tabs>
        <w:tab w:val="clear" w:pos="680"/>
      </w:tabs>
    </w:pPr>
  </w:style>
  <w:style w:type="paragraph" w:styleId="Header">
    <w:name w:val="header"/>
    <w:basedOn w:val="Normal"/>
    <w:link w:val="HeaderChar"/>
    <w:rsid w:val="005B61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1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61BB"/>
    <w:pPr>
      <w:spacing w:before="240" w:after="120"/>
      <w:outlineLvl w:val="0"/>
    </w:pPr>
    <w:rPr>
      <w:rFonts w:ascii="Times New Roman" w:hAnsi="Times New Roman"/>
      <w:b/>
      <w:sz w:val="28"/>
    </w:rPr>
  </w:style>
  <w:style w:type="paragraph" w:customStyle="1" w:styleId="AllowPageBreak">
    <w:name w:val="AllowPageBreak"/>
    <w:rsid w:val="005B61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61BB"/>
    <w:pPr>
      <w:numPr>
        <w:numId w:val="3"/>
      </w:numPr>
      <w:tabs>
        <w:tab w:val="clear" w:pos="1021"/>
      </w:tabs>
      <w:ind w:left="1037" w:hanging="357"/>
    </w:pPr>
  </w:style>
  <w:style w:type="character" w:customStyle="1" w:styleId="Heading2Char">
    <w:name w:val="Heading 2 Char"/>
    <w:basedOn w:val="DefaultParagraphFont"/>
    <w:link w:val="Heading2"/>
    <w:rsid w:val="005B61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1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1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1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1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1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1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1BB"/>
    <w:rPr>
      <w:rFonts w:ascii="Courier New" w:eastAsia="Times New Roman" w:hAnsi="Courier New" w:cs="Times New Roman"/>
      <w:i/>
      <w:szCs w:val="20"/>
      <w:lang w:val="en-US" w:eastAsia="en-US"/>
    </w:rPr>
  </w:style>
  <w:style w:type="paragraph" w:customStyle="1" w:styleId="HeadingBase">
    <w:name w:val="Heading Base"/>
    <w:rsid w:val="005B61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1BB"/>
    <w:pPr>
      <w:tabs>
        <w:tab w:val="right" w:leader="dot" w:pos="9072"/>
      </w:tabs>
      <w:ind w:left="567"/>
    </w:pPr>
    <w:rPr>
      <w:szCs w:val="22"/>
    </w:rPr>
  </w:style>
  <w:style w:type="paragraph" w:customStyle="1" w:styleId="TOCBase">
    <w:name w:val="TOC Base"/>
    <w:rsid w:val="005B61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1BB"/>
    <w:pPr>
      <w:tabs>
        <w:tab w:val="right" w:leader="dot" w:pos="9072"/>
      </w:tabs>
      <w:spacing w:before="40" w:after="40"/>
      <w:ind w:left="284"/>
    </w:pPr>
    <w:rPr>
      <w:rFonts w:ascii="Times New Roman" w:hAnsi="Times New Roman"/>
    </w:rPr>
  </w:style>
  <w:style w:type="paragraph" w:styleId="TOC1">
    <w:name w:val="toc 1"/>
    <w:basedOn w:val="TOCBase"/>
    <w:next w:val="Normal"/>
    <w:rsid w:val="005B61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1BB"/>
    <w:pPr>
      <w:spacing w:before="5040"/>
      <w:jc w:val="center"/>
    </w:pPr>
    <w:rPr>
      <w:sz w:val="48"/>
      <w:szCs w:val="72"/>
      <w:lang w:val="en-US"/>
    </w:rPr>
  </w:style>
  <w:style w:type="character" w:customStyle="1" w:styleId="TitleChar">
    <w:name w:val="Title Char"/>
    <w:basedOn w:val="DefaultParagraphFont"/>
    <w:link w:val="Title"/>
    <w:rsid w:val="005B61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1BB"/>
    <w:pPr>
      <w:tabs>
        <w:tab w:val="left" w:pos="3600"/>
        <w:tab w:val="left" w:pos="3958"/>
      </w:tabs>
    </w:pPr>
  </w:style>
  <w:style w:type="paragraph" w:styleId="List">
    <w:name w:val="List"/>
    <w:basedOn w:val="BodyText"/>
    <w:next w:val="BodyText"/>
    <w:rsid w:val="005B61BB"/>
    <w:pPr>
      <w:tabs>
        <w:tab w:val="left" w:pos="340"/>
      </w:tabs>
      <w:spacing w:before="60" w:after="60"/>
      <w:ind w:left="340" w:hanging="340"/>
    </w:pPr>
  </w:style>
  <w:style w:type="paragraph" w:customStyle="1" w:styleId="Note">
    <w:name w:val="Note"/>
    <w:basedOn w:val="BodyText"/>
    <w:rsid w:val="005B61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1BB"/>
    <w:pPr>
      <w:framePr w:wrap="auto" w:hAnchor="text" w:y="6049"/>
    </w:pPr>
    <w:rPr>
      <w:color w:val="000000"/>
      <w:sz w:val="40"/>
    </w:rPr>
  </w:style>
  <w:style w:type="paragraph" w:customStyle="1" w:styleId="TOCTitle">
    <w:name w:val="TOCTitle"/>
    <w:basedOn w:val="Heading1"/>
    <w:rsid w:val="005B61BB"/>
    <w:pPr>
      <w:spacing w:after="240"/>
      <w:jc w:val="center"/>
      <w:outlineLvl w:val="9"/>
    </w:pPr>
    <w:rPr>
      <w:caps/>
    </w:rPr>
  </w:style>
  <w:style w:type="paragraph" w:customStyle="1" w:styleId="Version">
    <w:name w:val="Version"/>
    <w:rsid w:val="005B61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1BB"/>
    <w:pPr>
      <w:keepNext w:val="0"/>
      <w:tabs>
        <w:tab w:val="right" w:pos="4176"/>
      </w:tabs>
      <w:ind w:left="198" w:hanging="198"/>
    </w:pPr>
    <w:rPr>
      <w:rFonts w:ascii="Garamond" w:hAnsi="Garamond"/>
    </w:rPr>
  </w:style>
  <w:style w:type="paragraph" w:styleId="IndexHeading">
    <w:name w:val="index heading"/>
    <w:basedOn w:val="Normal"/>
    <w:next w:val="Index1"/>
    <w:semiHidden/>
    <w:rsid w:val="005B61BB"/>
    <w:pPr>
      <w:spacing w:before="120" w:after="120"/>
    </w:pPr>
    <w:rPr>
      <w:rFonts w:ascii="Arial" w:hAnsi="Arial"/>
      <w:b/>
      <w:color w:val="918585"/>
      <w:sz w:val="24"/>
    </w:rPr>
  </w:style>
  <w:style w:type="paragraph" w:customStyle="1" w:styleId="Chapter">
    <w:name w:val="Chapter"/>
    <w:basedOn w:val="Normal"/>
    <w:rsid w:val="005B61BB"/>
    <w:pPr>
      <w:spacing w:before="240"/>
    </w:pPr>
    <w:rPr>
      <w:rFonts w:ascii="Times New Roman" w:hAnsi="Times New Roman"/>
      <w:smallCaps/>
      <w:spacing w:val="80"/>
      <w:sz w:val="28"/>
    </w:rPr>
  </w:style>
  <w:style w:type="paragraph" w:customStyle="1" w:styleId="InChapter">
    <w:name w:val="InChapter"/>
    <w:basedOn w:val="Heading3"/>
    <w:rsid w:val="005B61BB"/>
    <w:pPr>
      <w:spacing w:after="240"/>
      <w:outlineLvl w:val="9"/>
    </w:pPr>
    <w:rPr>
      <w:noProof/>
    </w:rPr>
  </w:style>
  <w:style w:type="paragraph" w:styleId="Index2">
    <w:name w:val="index 2"/>
    <w:basedOn w:val="Normal"/>
    <w:next w:val="Normal"/>
    <w:semiHidden/>
    <w:rsid w:val="005B61BB"/>
    <w:pPr>
      <w:tabs>
        <w:tab w:val="right" w:pos="4176"/>
      </w:tabs>
      <w:ind w:left="568" w:hanging="284"/>
    </w:pPr>
    <w:rPr>
      <w:rFonts w:ascii="Garamond" w:hAnsi="Garamond"/>
    </w:rPr>
  </w:style>
  <w:style w:type="paragraph" w:customStyle="1" w:styleId="Byline">
    <w:name w:val="Byline"/>
    <w:rsid w:val="005B61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1BB"/>
    <w:pPr>
      <w:tabs>
        <w:tab w:val="clear" w:pos="3600"/>
        <w:tab w:val="clear" w:pos="3958"/>
      </w:tabs>
      <w:jc w:val="right"/>
    </w:pPr>
  </w:style>
  <w:style w:type="character" w:styleId="Emphasis">
    <w:name w:val="Emphasis"/>
    <w:basedOn w:val="DefaultParagraphFont"/>
    <w:qFormat/>
    <w:rsid w:val="005B61BB"/>
    <w:rPr>
      <w:i/>
    </w:rPr>
  </w:style>
  <w:style w:type="paragraph" w:styleId="Caption">
    <w:name w:val="caption"/>
    <w:basedOn w:val="BodyText"/>
    <w:next w:val="Normal"/>
    <w:qFormat/>
    <w:rsid w:val="005B61BB"/>
    <w:pPr>
      <w:framePr w:w="2268" w:hSpace="181" w:vSpace="181" w:wrap="around" w:vAnchor="text" w:hAnchor="page" w:x="1135" w:y="285" w:anchorLock="1"/>
    </w:pPr>
    <w:rPr>
      <w:i/>
    </w:rPr>
  </w:style>
  <w:style w:type="paragraph" w:customStyle="1" w:styleId="MiniTOCTitle">
    <w:name w:val="MiniTOCTitle"/>
    <w:basedOn w:val="Heading4"/>
    <w:rsid w:val="005B61BB"/>
    <w:pPr>
      <w:spacing w:before="240"/>
      <w:outlineLvl w:val="9"/>
    </w:pPr>
    <w:rPr>
      <w:noProof/>
      <w:sz w:val="24"/>
    </w:rPr>
  </w:style>
  <w:style w:type="paragraph" w:customStyle="1" w:styleId="MiniTOCItem">
    <w:name w:val="MiniTOCItem"/>
    <w:basedOn w:val="ListBullet"/>
    <w:rsid w:val="005B61BB"/>
    <w:pPr>
      <w:numPr>
        <w:numId w:val="0"/>
      </w:numPr>
      <w:tabs>
        <w:tab w:val="right" w:leader="dot" w:pos="6521"/>
      </w:tabs>
      <w:spacing w:before="0" w:after="0"/>
    </w:pPr>
  </w:style>
  <w:style w:type="paragraph" w:customStyle="1" w:styleId="TOFTitle">
    <w:name w:val="TOFTitle"/>
    <w:basedOn w:val="TOCTitle"/>
    <w:rsid w:val="005B61BB"/>
  </w:style>
  <w:style w:type="paragraph" w:styleId="TableofFigures">
    <w:name w:val="table of figures"/>
    <w:basedOn w:val="Normal"/>
    <w:next w:val="Normal"/>
    <w:semiHidden/>
    <w:rsid w:val="005B61BB"/>
    <w:pPr>
      <w:tabs>
        <w:tab w:val="right" w:leader="dot" w:pos="9072"/>
      </w:tabs>
      <w:ind w:left="970" w:hanging="403"/>
    </w:pPr>
    <w:rPr>
      <w:rFonts w:ascii="Times New Roman" w:hAnsi="Times New Roman"/>
      <w:b/>
    </w:rPr>
  </w:style>
  <w:style w:type="paragraph" w:styleId="ListNumber">
    <w:name w:val="List Number"/>
    <w:basedOn w:val="List"/>
    <w:rsid w:val="005B61BB"/>
    <w:pPr>
      <w:numPr>
        <w:numId w:val="12"/>
      </w:numPr>
    </w:pPr>
  </w:style>
  <w:style w:type="character" w:customStyle="1" w:styleId="WingdingSymbols">
    <w:name w:val="Wingding Symbols"/>
    <w:rsid w:val="005B61BB"/>
    <w:rPr>
      <w:rFonts w:ascii="Wingdings" w:hAnsi="Wingdings"/>
    </w:rPr>
  </w:style>
  <w:style w:type="paragraph" w:customStyle="1" w:styleId="TableHeading">
    <w:name w:val="Table Heading"/>
    <w:basedOn w:val="HeadingBase"/>
    <w:rsid w:val="005B61BB"/>
    <w:pPr>
      <w:keepLines/>
      <w:pBdr>
        <w:bottom w:val="single" w:sz="6" w:space="1" w:color="918585"/>
      </w:pBdr>
      <w:spacing w:before="240"/>
    </w:pPr>
  </w:style>
  <w:style w:type="character" w:customStyle="1" w:styleId="HotSpot">
    <w:name w:val="HotSpot"/>
    <w:rsid w:val="005B61BB"/>
    <w:rPr>
      <w:color w:val="0033CC"/>
      <w:u w:val="none"/>
    </w:rPr>
  </w:style>
  <w:style w:type="paragraph" w:customStyle="1" w:styleId="BodyTextRight">
    <w:name w:val="Body Text Right"/>
    <w:basedOn w:val="BodyText"/>
    <w:rsid w:val="005B61BB"/>
    <w:pPr>
      <w:spacing w:before="0" w:after="0"/>
      <w:jc w:val="right"/>
    </w:pPr>
  </w:style>
  <w:style w:type="paragraph" w:styleId="Index3">
    <w:name w:val="index 3"/>
    <w:basedOn w:val="ListNumber2"/>
    <w:next w:val="Normal"/>
    <w:semiHidden/>
    <w:rsid w:val="005B61BB"/>
    <w:pPr>
      <w:numPr>
        <w:numId w:val="0"/>
      </w:numPr>
      <w:tabs>
        <w:tab w:val="right" w:leader="dot" w:pos="4176"/>
      </w:tabs>
    </w:pPr>
  </w:style>
  <w:style w:type="paragraph" w:styleId="ListNumber2">
    <w:name w:val="List Number 2"/>
    <w:basedOn w:val="List2"/>
    <w:rsid w:val="005B61BB"/>
    <w:pPr>
      <w:numPr>
        <w:numId w:val="11"/>
      </w:numPr>
      <w:tabs>
        <w:tab w:val="clear" w:pos="1060"/>
      </w:tabs>
    </w:pPr>
  </w:style>
  <w:style w:type="paragraph" w:customStyle="1" w:styleId="MarginNote">
    <w:name w:val="Margin Note"/>
    <w:basedOn w:val="BodyText"/>
    <w:rsid w:val="005B61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1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1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1BB"/>
    <w:rPr>
      <w:sz w:val="32"/>
    </w:rPr>
  </w:style>
  <w:style w:type="paragraph" w:customStyle="1" w:styleId="HeadingProcedure">
    <w:name w:val="Heading Procedure"/>
    <w:basedOn w:val="HeadingBase"/>
    <w:next w:val="Normal"/>
    <w:rsid w:val="005B61BB"/>
    <w:pPr>
      <w:tabs>
        <w:tab w:val="left" w:pos="0"/>
      </w:tabs>
      <w:spacing w:before="120" w:after="60"/>
    </w:pPr>
    <w:rPr>
      <w:i/>
      <w:color w:val="918585"/>
      <w:sz w:val="22"/>
    </w:rPr>
  </w:style>
  <w:style w:type="paragraph" w:customStyle="1" w:styleId="TableBodyText">
    <w:name w:val="Table Body Text"/>
    <w:basedOn w:val="BodyText"/>
    <w:rsid w:val="005B61BB"/>
    <w:pPr>
      <w:spacing w:before="60" w:after="60"/>
    </w:pPr>
  </w:style>
  <w:style w:type="paragraph" w:styleId="ListContinue">
    <w:name w:val="List Continue"/>
    <w:basedOn w:val="List"/>
    <w:rsid w:val="005B61BB"/>
    <w:pPr>
      <w:ind w:firstLine="0"/>
    </w:pPr>
  </w:style>
  <w:style w:type="paragraph" w:customStyle="1" w:styleId="ListNote">
    <w:name w:val="List Note"/>
    <w:basedOn w:val="List"/>
    <w:rsid w:val="005B61BB"/>
    <w:pPr>
      <w:pBdr>
        <w:top w:val="single" w:sz="6" w:space="2" w:color="918585"/>
        <w:bottom w:val="single" w:sz="6" w:space="2" w:color="918585"/>
      </w:pBdr>
      <w:tabs>
        <w:tab w:val="left" w:pos="1021"/>
      </w:tabs>
      <w:ind w:firstLine="0"/>
    </w:pPr>
  </w:style>
  <w:style w:type="paragraph" w:customStyle="1" w:styleId="Warning">
    <w:name w:val="Warning"/>
    <w:basedOn w:val="BodyText"/>
    <w:rsid w:val="005B61BB"/>
    <w:pPr>
      <w:shd w:val="clear" w:color="auto" w:fill="D9D9D9"/>
      <w:tabs>
        <w:tab w:val="left" w:pos="992"/>
      </w:tabs>
      <w:ind w:left="119" w:right="119"/>
    </w:pPr>
    <w:rPr>
      <w:sz w:val="20"/>
    </w:rPr>
  </w:style>
  <w:style w:type="paragraph" w:customStyle="1" w:styleId="MarginIcons">
    <w:name w:val="Margin Icons"/>
    <w:basedOn w:val="BodyText"/>
    <w:rsid w:val="005B61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1BB"/>
    <w:rPr>
      <w:rFonts w:ascii="Courier New" w:hAnsi="Courier New"/>
    </w:rPr>
  </w:style>
  <w:style w:type="paragraph" w:customStyle="1" w:styleId="NoteBullet">
    <w:name w:val="Note Bullet"/>
    <w:basedOn w:val="Note"/>
    <w:rsid w:val="005B61BB"/>
    <w:pPr>
      <w:tabs>
        <w:tab w:val="clear" w:pos="680"/>
      </w:tabs>
      <w:spacing w:before="60" w:after="60"/>
    </w:pPr>
  </w:style>
  <w:style w:type="paragraph" w:customStyle="1" w:styleId="SubHeading2">
    <w:name w:val="SubHeading2"/>
    <w:basedOn w:val="HeadingBase"/>
    <w:rsid w:val="005B61BB"/>
    <w:pPr>
      <w:spacing w:before="240" w:after="60"/>
    </w:pPr>
    <w:rPr>
      <w:sz w:val="20"/>
    </w:rPr>
  </w:style>
  <w:style w:type="paragraph" w:customStyle="1" w:styleId="SubHeading1">
    <w:name w:val="SubHeading1"/>
    <w:basedOn w:val="HeadingBase"/>
    <w:rsid w:val="005B61BB"/>
    <w:pPr>
      <w:spacing w:before="240" w:after="60"/>
    </w:pPr>
    <w:rPr>
      <w:color w:val="918585"/>
      <w:sz w:val="22"/>
    </w:rPr>
  </w:style>
  <w:style w:type="paragraph" w:customStyle="1" w:styleId="SideHeading">
    <w:name w:val="Side Heading"/>
    <w:basedOn w:val="HeadingBase"/>
    <w:rsid w:val="005B61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1BB"/>
    <w:pPr>
      <w:numPr>
        <w:numId w:val="13"/>
      </w:numPr>
    </w:pPr>
  </w:style>
  <w:style w:type="paragraph" w:styleId="PlainText">
    <w:name w:val="Plain Text"/>
    <w:basedOn w:val="Normal"/>
    <w:link w:val="PlainTextChar"/>
    <w:rsid w:val="005B61BB"/>
    <w:rPr>
      <w:sz w:val="20"/>
    </w:rPr>
  </w:style>
  <w:style w:type="character" w:customStyle="1" w:styleId="PlainTextChar">
    <w:name w:val="Plain Text Char"/>
    <w:basedOn w:val="DefaultParagraphFont"/>
    <w:link w:val="PlainText"/>
    <w:rsid w:val="005B61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1BB"/>
    <w:rPr>
      <w:b/>
      <w:smallCaps/>
    </w:rPr>
  </w:style>
  <w:style w:type="paragraph" w:customStyle="1" w:styleId="TableListNumber">
    <w:name w:val="Table List Number"/>
    <w:basedOn w:val="ListNumber"/>
    <w:rsid w:val="005B61BB"/>
    <w:pPr>
      <w:numPr>
        <w:numId w:val="0"/>
      </w:numPr>
    </w:pPr>
  </w:style>
  <w:style w:type="paragraph" w:styleId="TOC4">
    <w:name w:val="toc 4"/>
    <w:basedOn w:val="TOCBase"/>
    <w:next w:val="Normal"/>
    <w:semiHidden/>
    <w:rsid w:val="005B61BB"/>
    <w:pPr>
      <w:tabs>
        <w:tab w:val="right" w:leader="dot" w:pos="9071"/>
      </w:tabs>
      <w:ind w:left="1701"/>
    </w:pPr>
  </w:style>
  <w:style w:type="paragraph" w:customStyle="1" w:styleId="ListAlpha">
    <w:name w:val="List Alpha"/>
    <w:basedOn w:val="List"/>
    <w:rsid w:val="005B61BB"/>
    <w:pPr>
      <w:numPr>
        <w:numId w:val="10"/>
      </w:numPr>
    </w:pPr>
  </w:style>
  <w:style w:type="paragraph" w:customStyle="1" w:styleId="ListAlpha2">
    <w:name w:val="List Alpha 2"/>
    <w:basedOn w:val="List2"/>
    <w:rsid w:val="005B61BB"/>
    <w:pPr>
      <w:numPr>
        <w:numId w:val="9"/>
      </w:numPr>
    </w:pPr>
  </w:style>
  <w:style w:type="paragraph" w:styleId="List2">
    <w:name w:val="List 2"/>
    <w:basedOn w:val="BodyText"/>
    <w:rsid w:val="005B61BB"/>
    <w:pPr>
      <w:tabs>
        <w:tab w:val="left" w:pos="680"/>
      </w:tabs>
      <w:spacing w:before="60" w:after="60"/>
      <w:ind w:left="680" w:hanging="340"/>
    </w:pPr>
  </w:style>
  <w:style w:type="paragraph" w:styleId="List3">
    <w:name w:val="List 3"/>
    <w:basedOn w:val="BodyText"/>
    <w:rsid w:val="005B61BB"/>
    <w:pPr>
      <w:tabs>
        <w:tab w:val="left" w:pos="1021"/>
      </w:tabs>
      <w:spacing w:before="60" w:after="60"/>
      <w:ind w:left="1020" w:hanging="340"/>
    </w:pPr>
  </w:style>
  <w:style w:type="paragraph" w:styleId="List4">
    <w:name w:val="List 4"/>
    <w:basedOn w:val="BodyText"/>
    <w:rsid w:val="005B61BB"/>
    <w:pPr>
      <w:tabs>
        <w:tab w:val="left" w:pos="1361"/>
      </w:tabs>
      <w:spacing w:before="60" w:after="60"/>
      <w:ind w:left="1361" w:hanging="340"/>
    </w:pPr>
  </w:style>
  <w:style w:type="paragraph" w:styleId="List5">
    <w:name w:val="List 5"/>
    <w:basedOn w:val="BodyText"/>
    <w:rsid w:val="005B61BB"/>
    <w:pPr>
      <w:tabs>
        <w:tab w:val="left" w:pos="1701"/>
      </w:tabs>
      <w:spacing w:before="60" w:after="60"/>
      <w:ind w:left="1701" w:hanging="340"/>
    </w:pPr>
  </w:style>
  <w:style w:type="paragraph" w:styleId="ListBullet4">
    <w:name w:val="List Bullet 4"/>
    <w:basedOn w:val="List4"/>
    <w:rsid w:val="005B61BB"/>
    <w:pPr>
      <w:numPr>
        <w:numId w:val="4"/>
      </w:numPr>
    </w:pPr>
  </w:style>
  <w:style w:type="paragraph" w:styleId="ListBullet5">
    <w:name w:val="List Bullet 5"/>
    <w:basedOn w:val="List5"/>
    <w:rsid w:val="005B61BB"/>
    <w:pPr>
      <w:numPr>
        <w:numId w:val="5"/>
      </w:numPr>
    </w:pPr>
  </w:style>
  <w:style w:type="paragraph" w:styleId="ListContinue2">
    <w:name w:val="List Continue 2"/>
    <w:basedOn w:val="List2"/>
    <w:rsid w:val="005B61BB"/>
    <w:pPr>
      <w:ind w:firstLine="0"/>
    </w:pPr>
  </w:style>
  <w:style w:type="paragraph" w:styleId="ListContinue3">
    <w:name w:val="List Continue 3"/>
    <w:basedOn w:val="List3"/>
    <w:rsid w:val="005B61BB"/>
    <w:pPr>
      <w:ind w:left="1021" w:firstLine="0"/>
    </w:pPr>
  </w:style>
  <w:style w:type="paragraph" w:styleId="ListContinue4">
    <w:name w:val="List Continue 4"/>
    <w:basedOn w:val="List4"/>
    <w:rsid w:val="005B61BB"/>
    <w:pPr>
      <w:ind w:firstLine="0"/>
    </w:pPr>
  </w:style>
  <w:style w:type="paragraph" w:styleId="ListContinue5">
    <w:name w:val="List Continue 5"/>
    <w:basedOn w:val="List5"/>
    <w:rsid w:val="005B61BB"/>
    <w:pPr>
      <w:ind w:firstLine="0"/>
    </w:pPr>
  </w:style>
  <w:style w:type="paragraph" w:styleId="ListNumber3">
    <w:name w:val="List Number 3"/>
    <w:basedOn w:val="List3"/>
    <w:rsid w:val="005B61BB"/>
    <w:pPr>
      <w:numPr>
        <w:numId w:val="6"/>
      </w:numPr>
    </w:pPr>
  </w:style>
  <w:style w:type="paragraph" w:styleId="ListNumber4">
    <w:name w:val="List Number 4"/>
    <w:basedOn w:val="List4"/>
    <w:rsid w:val="005B61BB"/>
    <w:pPr>
      <w:numPr>
        <w:numId w:val="7"/>
      </w:numPr>
    </w:pPr>
  </w:style>
  <w:style w:type="paragraph" w:styleId="ListNumber5">
    <w:name w:val="List Number 5"/>
    <w:basedOn w:val="List5"/>
    <w:rsid w:val="005B61BB"/>
    <w:pPr>
      <w:numPr>
        <w:numId w:val="8"/>
      </w:numPr>
    </w:pPr>
  </w:style>
  <w:style w:type="paragraph" w:styleId="BlockText">
    <w:name w:val="Block Text"/>
    <w:basedOn w:val="Normal"/>
    <w:rsid w:val="005B61BB"/>
    <w:pPr>
      <w:spacing w:after="120"/>
      <w:ind w:left="1440" w:right="1440"/>
    </w:pPr>
  </w:style>
  <w:style w:type="character" w:customStyle="1" w:styleId="Subscript">
    <w:name w:val="Subscript"/>
    <w:basedOn w:val="DefaultParagraphFont"/>
    <w:rsid w:val="005B61BB"/>
    <w:rPr>
      <w:sz w:val="16"/>
      <w:vertAlign w:val="subscript"/>
    </w:rPr>
  </w:style>
  <w:style w:type="character" w:customStyle="1" w:styleId="Superscript">
    <w:name w:val="Superscript"/>
    <w:basedOn w:val="DefaultParagraphFont"/>
    <w:rsid w:val="005B61BB"/>
    <w:rPr>
      <w:sz w:val="16"/>
      <w:vertAlign w:val="superscript"/>
    </w:rPr>
  </w:style>
  <w:style w:type="character" w:customStyle="1" w:styleId="Symbols">
    <w:name w:val="Symbols"/>
    <w:basedOn w:val="DefaultParagraphFont"/>
    <w:rsid w:val="005B61BB"/>
    <w:rPr>
      <w:rFonts w:ascii="Symbol" w:hAnsi="Symbol"/>
    </w:rPr>
  </w:style>
  <w:style w:type="character" w:customStyle="1" w:styleId="MenuOptions">
    <w:name w:val="Menu Options"/>
    <w:basedOn w:val="DefaultParagraphFont"/>
    <w:rsid w:val="005B61BB"/>
    <w:rPr>
      <w:rFonts w:ascii="Arial Narrow" w:hAnsi="Arial Narrow"/>
      <w:smallCaps/>
    </w:rPr>
  </w:style>
  <w:style w:type="character" w:customStyle="1" w:styleId="Buttons">
    <w:name w:val="Buttons"/>
    <w:basedOn w:val="DefaultParagraphFont"/>
    <w:rsid w:val="005B61BB"/>
    <w:rPr>
      <w:b/>
    </w:rPr>
  </w:style>
  <w:style w:type="character" w:customStyle="1" w:styleId="Underlined">
    <w:name w:val="Underlined"/>
    <w:basedOn w:val="DefaultParagraphFont"/>
    <w:rsid w:val="005B61BB"/>
    <w:rPr>
      <w:u w:val="single"/>
    </w:rPr>
  </w:style>
  <w:style w:type="paragraph" w:customStyle="1" w:styleId="TableBodyTextRight">
    <w:name w:val="Table Body Text Right"/>
    <w:basedOn w:val="TableBodyText"/>
    <w:rsid w:val="005B61BB"/>
    <w:pPr>
      <w:widowControl w:val="0"/>
      <w:autoSpaceDE w:val="0"/>
      <w:autoSpaceDN w:val="0"/>
      <w:adjustRightInd w:val="0"/>
      <w:jc w:val="right"/>
    </w:pPr>
    <w:rPr>
      <w:rFonts w:cs="Arial"/>
      <w:szCs w:val="18"/>
    </w:rPr>
  </w:style>
  <w:style w:type="paragraph" w:customStyle="1" w:styleId="CopyrightText">
    <w:name w:val="Copyright Text"/>
    <w:basedOn w:val="BodyText"/>
    <w:rsid w:val="005B61BB"/>
    <w:rPr>
      <w:sz w:val="18"/>
    </w:rPr>
  </w:style>
  <w:style w:type="paragraph" w:customStyle="1" w:styleId="BodySmallRight">
    <w:name w:val="Body Small Right"/>
    <w:basedOn w:val="BodyTextRight"/>
    <w:rsid w:val="005B61BB"/>
    <w:rPr>
      <w:sz w:val="18"/>
      <w:szCs w:val="18"/>
    </w:rPr>
  </w:style>
  <w:style w:type="paragraph" w:customStyle="1" w:styleId="MarginEdition">
    <w:name w:val="Margin Edition"/>
    <w:basedOn w:val="MarginNote"/>
    <w:rsid w:val="005B61BB"/>
    <w:pPr>
      <w:spacing w:before="0" w:after="0"/>
    </w:pPr>
    <w:rPr>
      <w:rFonts w:ascii="Times New Roman" w:hAnsi="Times New Roman"/>
      <w:color w:val="999999"/>
    </w:rPr>
  </w:style>
  <w:style w:type="paragraph" w:customStyle="1" w:styleId="Spacer">
    <w:name w:val="Spacer"/>
    <w:basedOn w:val="Normal"/>
    <w:rsid w:val="005B61BB"/>
    <w:rPr>
      <w:sz w:val="2"/>
      <w:szCs w:val="2"/>
    </w:rPr>
  </w:style>
  <w:style w:type="character" w:customStyle="1" w:styleId="Small">
    <w:name w:val="Small"/>
    <w:basedOn w:val="DefaultParagraphFont"/>
    <w:rsid w:val="005B61BB"/>
    <w:rPr>
      <w:sz w:val="16"/>
    </w:rPr>
  </w:style>
  <w:style w:type="paragraph" w:customStyle="1" w:styleId="WideTable">
    <w:name w:val="Wide Table"/>
    <w:basedOn w:val="Normal"/>
    <w:rsid w:val="005B61BB"/>
    <w:pPr>
      <w:ind w:left="-1418"/>
    </w:pPr>
    <w:rPr>
      <w:sz w:val="2"/>
      <w:szCs w:val="2"/>
    </w:rPr>
  </w:style>
  <w:style w:type="character" w:styleId="PageNumber">
    <w:name w:val="page number"/>
    <w:basedOn w:val="DefaultParagraphFont"/>
    <w:rsid w:val="005B61BB"/>
  </w:style>
  <w:style w:type="paragraph" w:styleId="Quote">
    <w:name w:val="Quote"/>
    <w:basedOn w:val="Heading1"/>
    <w:link w:val="QuoteChar"/>
    <w:qFormat/>
    <w:rsid w:val="005B61BB"/>
    <w:rPr>
      <w:b w:val="0"/>
      <w:sz w:val="72"/>
      <w:szCs w:val="72"/>
      <w:lang w:val="en-NZ"/>
    </w:rPr>
  </w:style>
  <w:style w:type="character" w:customStyle="1" w:styleId="QuoteChar">
    <w:name w:val="Quote Char"/>
    <w:basedOn w:val="DefaultParagraphFont"/>
    <w:link w:val="Quote"/>
    <w:rsid w:val="005B61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1BB"/>
    <w:pPr>
      <w:pageBreakBefore/>
    </w:pPr>
  </w:style>
  <w:style w:type="paragraph" w:customStyle="1" w:styleId="Border">
    <w:name w:val="Border"/>
    <w:basedOn w:val="Normal"/>
    <w:qFormat/>
    <w:rsid w:val="005B61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1BB"/>
    <w:rPr>
      <w:b/>
      <w:bCs/>
      <w:i/>
      <w:iCs/>
      <w:color w:val="auto"/>
    </w:rPr>
  </w:style>
  <w:style w:type="paragraph" w:styleId="IntenseQuote">
    <w:name w:val="Intense Quote"/>
    <w:basedOn w:val="Normal"/>
    <w:next w:val="Normal"/>
    <w:link w:val="IntenseQuoteChar"/>
    <w:uiPriority w:val="30"/>
    <w:qFormat/>
    <w:rsid w:val="005B61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1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1BB"/>
    <w:rPr>
      <w:smallCaps/>
      <w:color w:val="auto"/>
      <w:u w:val="single"/>
    </w:rPr>
  </w:style>
  <w:style w:type="character" w:styleId="IntenseReference">
    <w:name w:val="Intense Reference"/>
    <w:basedOn w:val="DefaultParagraphFont"/>
    <w:uiPriority w:val="32"/>
    <w:qFormat/>
    <w:rsid w:val="005B61BB"/>
    <w:rPr>
      <w:b/>
      <w:bCs/>
      <w:smallCaps/>
      <w:color w:val="auto"/>
      <w:spacing w:val="5"/>
      <w:u w:val="single"/>
    </w:rPr>
  </w:style>
  <w:style w:type="paragraph" w:customStyle="1" w:styleId="2ColumnHeading">
    <w:name w:val="2Column Heading"/>
    <w:basedOn w:val="BodyText"/>
    <w:qFormat/>
    <w:rsid w:val="005B61BB"/>
    <w:pPr>
      <w:spacing w:after="60"/>
      <w:ind w:left="-2268"/>
    </w:pPr>
    <w:rPr>
      <w:b/>
    </w:rPr>
  </w:style>
  <w:style w:type="paragraph" w:customStyle="1" w:styleId="Heading1TOC">
    <w:name w:val="Heading1 TOC"/>
    <w:basedOn w:val="Normal"/>
    <w:qFormat/>
    <w:rsid w:val="005B61BB"/>
    <w:pPr>
      <w:spacing w:before="240" w:after="120"/>
    </w:pPr>
    <w:rPr>
      <w:rFonts w:ascii="Times New Roman" w:hAnsi="Times New Roman"/>
      <w:b/>
      <w:sz w:val="32"/>
    </w:rPr>
  </w:style>
  <w:style w:type="paragraph" w:customStyle="1" w:styleId="Heading2TOC">
    <w:name w:val="Heading2 TOC"/>
    <w:basedOn w:val="Normal"/>
    <w:qFormat/>
    <w:rsid w:val="005B61BB"/>
    <w:pPr>
      <w:spacing w:before="240" w:after="60"/>
    </w:pPr>
    <w:rPr>
      <w:rFonts w:ascii="Times New Roman" w:hAnsi="Times New Roman"/>
      <w:b/>
      <w:sz w:val="28"/>
    </w:rPr>
  </w:style>
  <w:style w:type="character" w:customStyle="1" w:styleId="Underline">
    <w:name w:val="Underline"/>
    <w:basedOn w:val="DefaultParagraphFont"/>
    <w:qFormat/>
    <w:rsid w:val="005B61BB"/>
    <w:rPr>
      <w:u w:val="single"/>
    </w:rPr>
  </w:style>
  <w:style w:type="character" w:customStyle="1" w:styleId="BoldandItalics">
    <w:name w:val="Bold and Italics"/>
    <w:qFormat/>
    <w:rsid w:val="005B61BB"/>
    <w:rPr>
      <w:b/>
      <w:i/>
      <w:u w:val="none"/>
    </w:rPr>
  </w:style>
  <w:style w:type="paragraph" w:styleId="BalloonText">
    <w:name w:val="Balloon Text"/>
    <w:basedOn w:val="Normal"/>
    <w:link w:val="BalloonTextChar"/>
    <w:rsid w:val="005B61BB"/>
    <w:rPr>
      <w:rFonts w:ascii="Tahoma" w:hAnsi="Tahoma" w:cs="Tahoma"/>
      <w:sz w:val="16"/>
      <w:szCs w:val="16"/>
    </w:rPr>
  </w:style>
  <w:style w:type="character" w:customStyle="1" w:styleId="BalloonTextChar">
    <w:name w:val="Balloon Text Char"/>
    <w:basedOn w:val="DefaultParagraphFont"/>
    <w:link w:val="BalloonText"/>
    <w:rsid w:val="005B61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1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1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2640</Words>
  <Characters>16360</Characters>
  <Application>Microsoft Office Word</Application>
  <DocSecurity>0</DocSecurity>
  <Lines>665</Lines>
  <Paragraphs>281</Paragraphs>
  <ScaleCrop>false</ScaleCrop>
  <Company>Author-it Software Corporation Ltd.</Company>
  <LinksUpToDate>false</LinksUpToDate>
  <CharactersWithSpaces>18796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UETTDRRT24A Maintain rail traction bonds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2012-05-26T12:17:00Z</dcterms:created>
  <dcterms:modified xsi:type="dcterms:W3CDTF">2012-05-26T12:17:00Z</dcterms:modified>
</cp:coreProperties>
</file>